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A5C2D66" w14:textId="470E5323" w:rsidR="00CB3822" w:rsidRPr="000F23E0" w:rsidRDefault="00E5564F" w:rsidP="00E5564F">
      <w:pPr>
        <w:pStyle w:val="Title"/>
        <w:spacing w:before="11140" w:after="0"/>
      </w:pPr>
      <w:bookmarkStart w:id="0" w:name="_Toc224565766"/>
      <w:bookmarkStart w:id="1" w:name="_Toc224632315"/>
      <w:r w:rsidRPr="000F23E0">
        <mc:AlternateContent>
          <mc:Choice Requires="wps">
            <w:drawing>
              <wp:anchor distT="45720" distB="45720" distL="114300" distR="114300" simplePos="0" relativeHeight="251658241" behindDoc="0" locked="1" layoutInCell="1" allowOverlap="1" wp14:anchorId="526F1424" wp14:editId="78EF5BEE">
                <wp:simplePos x="0" y="0"/>
                <wp:positionH relativeFrom="column">
                  <wp:posOffset>4709160</wp:posOffset>
                </wp:positionH>
                <wp:positionV relativeFrom="paragraph">
                  <wp:posOffset>6887845</wp:posOffset>
                </wp:positionV>
                <wp:extent cx="1044000" cy="1191600"/>
                <wp:effectExtent l="0" t="0" r="0" b="0"/>
                <wp:wrapSquare wrapText="bothSides"/>
                <wp:docPr id="217" name="Text Box 2" descr="March 20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4000" cy="1191600"/>
                        </a:xfrm>
                        <a:prstGeom prst="rect">
                          <a:avLst/>
                        </a:prstGeom>
                        <a:noFill/>
                        <a:ln w="9525">
                          <a:noFill/>
                          <a:miter lim="800000"/>
                          <a:headEnd/>
                          <a:tailEnd/>
                        </a:ln>
                      </wps:spPr>
                      <wps:txbx>
                        <w:txbxContent>
                          <w:p w14:paraId="7935CF3D" w14:textId="261589DA" w:rsidR="00E5564F" w:rsidRPr="000F23E0" w:rsidRDefault="00E5564F" w:rsidP="00E5564F">
                            <w:pPr>
                              <w:pStyle w:val="Coverdate"/>
                            </w:pPr>
                            <w:r w:rsidRPr="000F23E0">
                              <w:t>March 2026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26F1424" id="_x0000_t202" coordsize="21600,21600" o:spt="202" path="m,l,21600r21600,l21600,xe">
                <v:stroke joinstyle="miter"/>
                <v:path gradientshapeok="t" o:connecttype="rect"/>
              </v:shapetype>
              <v:shape id="Text Box 2" o:spid="_x0000_s1026" type="#_x0000_t202" alt="March 2026" style="position:absolute;margin-left:370.8pt;margin-top:542.35pt;width:82.2pt;height:93.85pt;z-index:25165824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" filled="f" stroked="f">
                <v:textbox>
                  <w:txbxContent>
                    <w:p w14:paraId="7935CF3D" w14:textId="261589DA" w:rsidR="00E5564F" w:rsidRPr="000F23E0" w:rsidRDefault="00E5564F" w:rsidP="00E5564F">
                      <w:pPr>
                        <w:pStyle w:val="Coverdate"/>
                      </w:pPr>
                      <w:r w:rsidRPr="000F23E0">
                        <w:t>March 2026</w:t>
                      </w:r>
                    </w:p>
                  </w:txbxContent>
                </v:textbox>
                <w10:wrap type="square"/>
                <w10:anchorlock/>
              </v:shape>
            </w:pict>
          </mc:Fallback>
        </mc:AlternateContent>
      </w:r>
      <w:r w:rsidRPr="000F23E0">
        <w:drawing>
          <wp:anchor distT="0" distB="0" distL="114300" distR="114300" simplePos="0" relativeHeight="251658240" behindDoc="1" locked="0" layoutInCell="1" allowOverlap="1" wp14:anchorId="078CD07E" wp14:editId="3B41BCF7">
            <wp:simplePos x="0" y="0"/>
            <wp:positionH relativeFrom="column">
              <wp:align>center</wp:align>
            </wp:positionH>
            <wp:positionV relativeFrom="page">
              <wp:align>center</wp:align>
            </wp:positionV>
            <wp:extent cx="7563600" cy="10695600"/>
            <wp:effectExtent l="0" t="0" r="0" b="0"/>
            <wp:wrapNone/>
            <wp:docPr id="711969472"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969472" name="Picture 5">
                      <a:extLst>
                        <a:ext uri="{C183D7F6-B498-43B3-948B-1728B52AA6E4}">
                          <adec:decorative xmlns:adec="http://schemas.microsoft.com/office/drawing/2017/decorative" val="1"/>
                        </a:ext>
                      </a:extLst>
                    </pic:cNvPr>
                    <pic:cNvPicPr/>
                  </pic:nvPicPr>
                  <pic:blipFill>
                    <a:blip r:embed="rId7" cstate="print">
                      <a:extLst>
                        <a:ext uri="{28A0092B-C50C-407E-A947-70E740481C1C}">
                          <a14:useLocalDpi xmlns:a14="http://schemas.microsoft.com/office/drawing/2010/main" val="0"/>
                        </a:ext>
                      </a:extLst>
                    </a:blip>
                    <a:stretch>
                      <a:fillRect/>
                    </a:stretch>
                  </pic:blipFill>
                  <pic:spPr>
                    <a:xfrm>
                      <a:off x="0" y="0"/>
                      <a:ext cx="7563600" cy="10695600"/>
                    </a:xfrm>
                    <a:prstGeom prst="rect">
                      <a:avLst/>
                    </a:prstGeom>
                  </pic:spPr>
                </pic:pic>
              </a:graphicData>
            </a:graphic>
            <wp14:sizeRelH relativeFrom="margin">
              <wp14:pctWidth>0</wp14:pctWidth>
            </wp14:sizeRelH>
            <wp14:sizeRelV relativeFrom="margin">
              <wp14:pctHeight>0</wp14:pctHeight>
            </wp14:sizeRelV>
          </wp:anchor>
        </w:drawing>
      </w:r>
      <w:r w:rsidR="00CB3822" w:rsidRPr="000F23E0">
        <w:t>Australian Government Green</w:t>
      </w:r>
      <w:r w:rsidRPr="000F23E0">
        <w:t> </w:t>
      </w:r>
      <w:r w:rsidR="00CB3822" w:rsidRPr="000F23E0">
        <w:t>Treasury</w:t>
      </w:r>
      <w:r w:rsidRPr="000F23E0">
        <w:t> </w:t>
      </w:r>
      <w:r w:rsidR="00CB3822" w:rsidRPr="000F23E0">
        <w:t>Bond Allocation</w:t>
      </w:r>
      <w:r w:rsidRPr="000F23E0">
        <w:t> </w:t>
      </w:r>
      <w:r w:rsidR="00CB3822" w:rsidRPr="000F23E0">
        <w:t>and</w:t>
      </w:r>
      <w:r w:rsidRPr="000F23E0">
        <w:t> </w:t>
      </w:r>
      <w:r w:rsidR="00CB3822" w:rsidRPr="000F23E0">
        <w:t>Impact Report</w:t>
      </w:r>
      <w:bookmarkEnd w:id="0"/>
      <w:bookmarkEnd w:id="1"/>
    </w:p>
    <w:p w14:paraId="465BA953" w14:textId="0F5EFEA8" w:rsidR="00AB03C9" w:rsidRPr="000F23E0" w:rsidRDefault="00AB03C9" w:rsidP="00CB3822">
      <w:r w:rsidRPr="000F23E0">
        <w:br w:type="page"/>
      </w:r>
    </w:p>
    <w:p w14:paraId="5A883458" w14:textId="04798E7B" w:rsidR="000E0B74" w:rsidRPr="000F23E0" w:rsidRDefault="000E0B74" w:rsidP="005877AC">
      <w:pPr>
        <w:spacing w:before="0" w:after="160" w:line="259" w:lineRule="auto"/>
      </w:pPr>
      <w:r w:rsidRPr="000F23E0">
        <w:lastRenderedPageBreak/>
        <w:t>© Commonwealth of Australia 20</w:t>
      </w:r>
      <w:r w:rsidR="00191CFE" w:rsidRPr="000F23E0">
        <w:t>2</w:t>
      </w:r>
      <w:r w:rsidR="00AF0AC8" w:rsidRPr="000F23E0">
        <w:t>6</w:t>
      </w:r>
    </w:p>
    <w:p w14:paraId="18D845BD" w14:textId="5D79AF0B" w:rsidR="00A72261" w:rsidRPr="000F23E0" w:rsidRDefault="006469CC">
      <w:pPr>
        <w:spacing w:before="0" w:after="160" w:line="259" w:lineRule="auto"/>
      </w:pPr>
      <w:r w:rsidRPr="000F23E0">
        <w:t xml:space="preserve">ISBN: </w:t>
      </w:r>
      <w:r w:rsidR="00AB03C9" w:rsidRPr="000F23E0">
        <w:t>978</w:t>
      </w:r>
      <w:r w:rsidR="002C4475" w:rsidRPr="000F23E0">
        <w:noBreakHyphen/>
      </w:r>
      <w:r w:rsidR="00AB03C9" w:rsidRPr="000F23E0">
        <w:t>1</w:t>
      </w:r>
      <w:r w:rsidR="002C4475" w:rsidRPr="000F23E0">
        <w:noBreakHyphen/>
      </w:r>
      <w:r w:rsidR="00AB03C9" w:rsidRPr="000F23E0">
        <w:t>923278</w:t>
      </w:r>
      <w:r w:rsidR="002C4475" w:rsidRPr="000F23E0">
        <w:noBreakHyphen/>
      </w:r>
      <w:r w:rsidR="00AB03C9" w:rsidRPr="000F23E0">
        <w:t>37</w:t>
      </w:r>
      <w:r w:rsidR="002C4475" w:rsidRPr="000F23E0">
        <w:noBreakHyphen/>
      </w:r>
      <w:r w:rsidR="00AB03C9" w:rsidRPr="000F23E0">
        <w:t>0</w:t>
      </w:r>
    </w:p>
    <w:p w14:paraId="4029716C" w14:textId="75F245C4" w:rsidR="000E0B74" w:rsidRPr="000F23E0" w:rsidRDefault="000E0B74" w:rsidP="000E0B74">
      <w:pPr>
        <w:tabs>
          <w:tab w:val="left" w:pos="1650"/>
        </w:tabs>
        <w:rPr>
          <w:rFonts w:cstheme="minorBidi"/>
          <w:sz w:val="24"/>
          <w:szCs w:val="24"/>
        </w:rPr>
      </w:pPr>
      <w:r w:rsidRPr="000F23E0">
        <w:t>This publication is available for your use under a</w:t>
      </w:r>
      <w:r w:rsidRPr="000F23E0">
        <w:rPr>
          <w:rFonts w:cstheme="minorHAnsi"/>
          <w:sz w:val="24"/>
          <w:szCs w:val="24"/>
        </w:rPr>
        <w:t xml:space="preserve"> </w:t>
      </w:r>
      <w:hyperlink r:id="rId8" w:history="1">
        <w:r w:rsidR="00AC102B" w:rsidRPr="000F23E0">
          <w:rPr>
            <w:rStyle w:val="Hyperlink"/>
          </w:rPr>
          <w:t>Creative Commons Attribution 4.0 International</w:t>
        </w:r>
      </w:hyperlink>
      <w:r w:rsidR="00AC102B" w:rsidRPr="000F23E0">
        <w:rPr>
          <w:rFonts w:cstheme="minorHAnsi"/>
          <w:sz w:val="24"/>
          <w:szCs w:val="24"/>
        </w:rPr>
        <w:t xml:space="preserve"> </w:t>
      </w:r>
      <w:r w:rsidRPr="000F23E0">
        <w:t xml:space="preserve">licence, with the exception of the Commonwealth Coat of Arms, the </w:t>
      </w:r>
      <w:r w:rsidR="00276A3B" w:rsidRPr="000F23E0">
        <w:t>Commonwealth of Australia</w:t>
      </w:r>
      <w:r w:rsidRPr="000F23E0">
        <w:t xml:space="preserve"> logo, photographs, images, </w:t>
      </w:r>
      <w:r w:rsidR="00372D99" w:rsidRPr="000F23E0">
        <w:t xml:space="preserve">third party materials, materials protected by a trademark, </w:t>
      </w:r>
      <w:r w:rsidRPr="000F23E0">
        <w:t>signatures and where otherwise stated</w:t>
      </w:r>
      <w:r w:rsidR="00372D99" w:rsidRPr="000F23E0">
        <w:t xml:space="preserve">. </w:t>
      </w:r>
      <w:r w:rsidRPr="000F23E0">
        <w:t>The</w:t>
      </w:r>
      <w:r w:rsidR="00276A3B" w:rsidRPr="000F23E0">
        <w:t> </w:t>
      </w:r>
      <w:r w:rsidRPr="000F23E0">
        <w:t>full licence terms are available from</w:t>
      </w:r>
      <w:r w:rsidRPr="000F23E0">
        <w:rPr>
          <w:rFonts w:cstheme="minorHAnsi"/>
          <w:sz w:val="24"/>
          <w:szCs w:val="24"/>
        </w:rPr>
        <w:t xml:space="preserve"> </w:t>
      </w:r>
      <w:hyperlink r:id="rId9" w:history="1">
        <w:r w:rsidR="00372D99" w:rsidRPr="000F23E0">
          <w:rPr>
            <w:rStyle w:val="Hyperlink"/>
          </w:rPr>
          <w:t>creativecommons.org/licenses/by/4.0/legalcode</w:t>
        </w:r>
      </w:hyperlink>
      <w:r w:rsidR="00AC102B" w:rsidRPr="000F23E0">
        <w:rPr>
          <w:rFonts w:cstheme="minorHAnsi"/>
          <w:sz w:val="24"/>
          <w:szCs w:val="24"/>
        </w:rPr>
        <w:t xml:space="preserve">. </w:t>
      </w:r>
    </w:p>
    <w:p w14:paraId="10F120B7" w14:textId="77777777" w:rsidR="000E0B74" w:rsidRPr="000F23E0" w:rsidRDefault="000E0B74" w:rsidP="00CB3822">
      <w:pPr>
        <w:pStyle w:val="ChartGraphic"/>
      </w:pPr>
      <w:r w:rsidRPr="000F23E0">
        <w:drawing>
          <wp:inline distT="0" distB="0" distL="0" distR="0" wp14:anchorId="4B0C9BA4" wp14:editId="07EA69AE">
            <wp:extent cx="809625" cy="285750"/>
            <wp:effectExtent l="0" t="0" r="9525" b="0"/>
            <wp:docPr id="3" name="Picture 1" descr="Creative Commons icon&#10;&#10;Creative Commons attribution licence 4.0 icon. ">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 descr="Creative Commons icon&#10;&#10;Creative Commons attribution licence 4.0 icon. ">
                      <a:extLst>
                        <a:ext uri="{C183D7F6-B498-43B3-948B-1728B52AA6E4}">
                          <adec:decorative xmlns:adec="http://schemas.microsoft.com/office/drawing/2017/decorative" val="0"/>
                        </a:ext>
                      </a:extLst>
                    </pic:cNvPr>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09625" cy="285750"/>
                    </a:xfrm>
                    <a:prstGeom prst="rect">
                      <a:avLst/>
                    </a:prstGeom>
                    <a:noFill/>
                    <a:ln w="9525">
                      <a:noFill/>
                      <a:miter lim="800000"/>
                      <a:headEnd/>
                      <a:tailEnd/>
                    </a:ln>
                  </pic:spPr>
                </pic:pic>
              </a:graphicData>
            </a:graphic>
          </wp:inline>
        </w:drawing>
      </w:r>
    </w:p>
    <w:p w14:paraId="0D80D637" w14:textId="78581FF9" w:rsidR="000E0B74" w:rsidRPr="000F23E0" w:rsidRDefault="000E0B74" w:rsidP="000E0B74">
      <w:pPr>
        <w:tabs>
          <w:tab w:val="left" w:pos="1650"/>
        </w:tabs>
      </w:pPr>
      <w:r w:rsidRPr="000F23E0">
        <w:t xml:space="preserve">Use of </w:t>
      </w:r>
      <w:r w:rsidR="00276A3B" w:rsidRPr="000F23E0">
        <w:t>Commonwealth of Australia</w:t>
      </w:r>
      <w:r w:rsidRPr="000F23E0">
        <w:t xml:space="preserve"> material under a</w:t>
      </w:r>
      <w:r w:rsidRPr="000F23E0">
        <w:rPr>
          <w:rFonts w:cstheme="minorHAnsi"/>
          <w:sz w:val="24"/>
          <w:szCs w:val="24"/>
        </w:rPr>
        <w:t xml:space="preserve"> </w:t>
      </w:r>
      <w:hyperlink r:id="rId11" w:history="1">
        <w:r w:rsidR="00AC102B" w:rsidRPr="000F23E0">
          <w:rPr>
            <w:rStyle w:val="Hyperlink"/>
          </w:rPr>
          <w:t>Creative Commons Attribution 4.0 International</w:t>
        </w:r>
      </w:hyperlink>
      <w:r w:rsidR="00AC102B" w:rsidRPr="000F23E0">
        <w:rPr>
          <w:color w:val="000000"/>
        </w:rPr>
        <w:t xml:space="preserve"> </w:t>
      </w:r>
      <w:r w:rsidRPr="000F23E0">
        <w:t xml:space="preserve">licence requires you to attribute the work (but not in any way that suggests that </w:t>
      </w:r>
      <w:r w:rsidR="00276A3B" w:rsidRPr="000F23E0">
        <w:t>Commonwealth of Australia</w:t>
      </w:r>
      <w:r w:rsidR="00412369" w:rsidRPr="000F23E0">
        <w:t xml:space="preserve"> </w:t>
      </w:r>
      <w:r w:rsidRPr="000F23E0">
        <w:t>endorses you or your use of the work).</w:t>
      </w:r>
    </w:p>
    <w:p w14:paraId="22A6A545" w14:textId="39E173A6" w:rsidR="000E0B74" w:rsidRPr="000F23E0" w:rsidRDefault="00FC6EC6" w:rsidP="006469CC">
      <w:pPr>
        <w:rPr>
          <w:rStyle w:val="Strong"/>
        </w:rPr>
      </w:pPr>
      <w:r w:rsidRPr="000F23E0">
        <w:rPr>
          <w:b/>
          <w:bCs/>
        </w:rPr>
        <w:t xml:space="preserve">Commonwealth of Australia </w:t>
      </w:r>
      <w:r w:rsidR="000E0B74" w:rsidRPr="000F23E0">
        <w:rPr>
          <w:rStyle w:val="Strong"/>
        </w:rPr>
        <w:t xml:space="preserve">material used </w:t>
      </w:r>
      <w:r w:rsidR="002C4475" w:rsidRPr="000F23E0">
        <w:rPr>
          <w:rStyle w:val="Strong"/>
        </w:rPr>
        <w:t>‘</w:t>
      </w:r>
      <w:r w:rsidR="000E0B74" w:rsidRPr="000F23E0">
        <w:rPr>
          <w:rStyle w:val="Strong"/>
        </w:rPr>
        <w:t>as supplied</w:t>
      </w:r>
      <w:r w:rsidR="002C4475" w:rsidRPr="000F23E0">
        <w:rPr>
          <w:rStyle w:val="Strong"/>
        </w:rPr>
        <w:t>’</w:t>
      </w:r>
    </w:p>
    <w:p w14:paraId="6E1EFEC3" w14:textId="7B5938C7" w:rsidR="000E0B74" w:rsidRPr="000F23E0" w:rsidRDefault="000E0B74" w:rsidP="000E0B74">
      <w:r w:rsidRPr="000F23E0">
        <w:t xml:space="preserve">Provided you have not modified or transformed </w:t>
      </w:r>
      <w:r w:rsidR="00276A3B" w:rsidRPr="000F23E0">
        <w:t>Commonwealth of Australia</w:t>
      </w:r>
      <w:r w:rsidR="00412369" w:rsidRPr="000F23E0">
        <w:t xml:space="preserve"> </w:t>
      </w:r>
      <w:r w:rsidRPr="000F23E0">
        <w:t>material in any way including, for example, by</w:t>
      </w:r>
      <w:r w:rsidR="00276A3B" w:rsidRPr="000F23E0">
        <w:t> </w:t>
      </w:r>
      <w:r w:rsidRPr="000F23E0">
        <w:t xml:space="preserve">changing the </w:t>
      </w:r>
      <w:r w:rsidR="00412369" w:rsidRPr="000F23E0">
        <w:t xml:space="preserve">[ORG] </w:t>
      </w:r>
      <w:r w:rsidRPr="000F23E0">
        <w:t xml:space="preserve">text; calculating percentage changes; graphing or charting data; or deriving new statistics from published </w:t>
      </w:r>
      <w:r w:rsidR="00276A3B" w:rsidRPr="000F23E0">
        <w:t>Commonwealth of Australia</w:t>
      </w:r>
      <w:r w:rsidR="00412369" w:rsidRPr="000F23E0">
        <w:t xml:space="preserve"> </w:t>
      </w:r>
      <w:r w:rsidRPr="000F23E0">
        <w:t xml:space="preserve">statistics </w:t>
      </w:r>
      <w:r w:rsidR="007169B7" w:rsidRPr="000F23E0">
        <w:t>–</w:t>
      </w:r>
      <w:r w:rsidRPr="000F23E0">
        <w:t xml:space="preserve"> then </w:t>
      </w:r>
      <w:r w:rsidR="00276A3B" w:rsidRPr="000F23E0">
        <w:t>Commonwealth of Australia</w:t>
      </w:r>
      <w:r w:rsidR="00412369" w:rsidRPr="000F23E0">
        <w:t xml:space="preserve"> </w:t>
      </w:r>
      <w:r w:rsidRPr="000F23E0">
        <w:t xml:space="preserve">prefers the following attribution: </w:t>
      </w:r>
    </w:p>
    <w:p w14:paraId="36206F9C" w14:textId="77777777" w:rsidR="000E0B74" w:rsidRPr="000F23E0" w:rsidRDefault="000E0B74" w:rsidP="000E0B74">
      <w:pPr>
        <w:ind w:firstLine="720"/>
        <w:rPr>
          <w:rStyle w:val="Emphasis"/>
        </w:rPr>
      </w:pPr>
      <w:r w:rsidRPr="000F23E0">
        <w:t>Source:</w:t>
      </w:r>
      <w:r w:rsidRPr="000F23E0">
        <w:rPr>
          <w:rStyle w:val="Emphasis"/>
        </w:rPr>
        <w:t xml:space="preserve"> </w:t>
      </w:r>
      <w:r w:rsidR="004327A3" w:rsidRPr="000F23E0">
        <w:rPr>
          <w:rStyle w:val="Emphasis"/>
        </w:rPr>
        <w:t>The Commonwealth of Australia.</w:t>
      </w:r>
    </w:p>
    <w:p w14:paraId="15667563" w14:textId="77777777" w:rsidR="000E0B74" w:rsidRPr="000F23E0" w:rsidRDefault="000E0B74" w:rsidP="000E0B74">
      <w:pPr>
        <w:rPr>
          <w:rStyle w:val="Strong"/>
        </w:rPr>
      </w:pPr>
      <w:r w:rsidRPr="000F23E0">
        <w:rPr>
          <w:rStyle w:val="Strong"/>
        </w:rPr>
        <w:t>Derivative material</w:t>
      </w:r>
    </w:p>
    <w:p w14:paraId="16B215E8" w14:textId="5897654D" w:rsidR="000E0B74" w:rsidRPr="000F23E0" w:rsidRDefault="000E0B74" w:rsidP="000E0B74">
      <w:r w:rsidRPr="000F23E0">
        <w:t>If you have modified or transformed</w:t>
      </w:r>
      <w:r w:rsidR="005B793F" w:rsidRPr="000F23E0">
        <w:t xml:space="preserve"> Commonwealth of Australia</w:t>
      </w:r>
      <w:r w:rsidR="00412369" w:rsidRPr="000F23E0">
        <w:t xml:space="preserve"> </w:t>
      </w:r>
      <w:r w:rsidRPr="000F23E0">
        <w:t xml:space="preserve">material, or derived new material from those of the </w:t>
      </w:r>
      <w:r w:rsidR="00276A3B" w:rsidRPr="000F23E0">
        <w:t>Commonwealth of Australia</w:t>
      </w:r>
      <w:r w:rsidR="00412369" w:rsidRPr="000F23E0">
        <w:t xml:space="preserve"> </w:t>
      </w:r>
      <w:r w:rsidRPr="000F23E0">
        <w:t xml:space="preserve">in any way, then </w:t>
      </w:r>
      <w:r w:rsidR="00412369" w:rsidRPr="000F23E0">
        <w:t xml:space="preserve">[ORG] </w:t>
      </w:r>
      <w:r w:rsidRPr="000F23E0">
        <w:t xml:space="preserve">prefers the following attribution: </w:t>
      </w:r>
    </w:p>
    <w:p w14:paraId="48FF2EEF" w14:textId="77777777" w:rsidR="000E0B74" w:rsidRPr="000F23E0" w:rsidRDefault="000E0B74" w:rsidP="000E0B74">
      <w:pPr>
        <w:ind w:firstLine="720"/>
        <w:rPr>
          <w:rStyle w:val="Emphasis"/>
        </w:rPr>
      </w:pPr>
      <w:r w:rsidRPr="000F23E0">
        <w:rPr>
          <w:rStyle w:val="Emphasis"/>
        </w:rPr>
        <w:t xml:space="preserve">Based on </w:t>
      </w:r>
      <w:r w:rsidR="004327A3" w:rsidRPr="000F23E0">
        <w:rPr>
          <w:rStyle w:val="Emphasis"/>
        </w:rPr>
        <w:t>Commonwealth of Australia</w:t>
      </w:r>
      <w:r w:rsidR="004327A3" w:rsidRPr="000F23E0" w:rsidDel="002A3368">
        <w:rPr>
          <w:rStyle w:val="Emphasis"/>
        </w:rPr>
        <w:t xml:space="preserve"> </w:t>
      </w:r>
      <w:r w:rsidRPr="000F23E0">
        <w:rPr>
          <w:rStyle w:val="Emphasis"/>
        </w:rPr>
        <w:t>data.</w:t>
      </w:r>
    </w:p>
    <w:p w14:paraId="00B875DF" w14:textId="77777777" w:rsidR="000E0B74" w:rsidRPr="000F23E0" w:rsidRDefault="000E0B74" w:rsidP="000E0B74">
      <w:pPr>
        <w:rPr>
          <w:rStyle w:val="Strong"/>
        </w:rPr>
      </w:pPr>
      <w:r w:rsidRPr="000F23E0">
        <w:rPr>
          <w:rStyle w:val="Strong"/>
        </w:rPr>
        <w:t>Use of the Coat of Arms</w:t>
      </w:r>
    </w:p>
    <w:p w14:paraId="3F8EA6D5" w14:textId="28F7AF25" w:rsidR="005C503A" w:rsidRPr="000F23E0" w:rsidRDefault="005C503A" w:rsidP="005C503A">
      <w:r w:rsidRPr="000F23E0">
        <w:t xml:space="preserve">The terms under which the Coat of Arms can be used are set out on the Department of the Prime Minister and Cabinet website (see </w:t>
      </w:r>
      <w:hyperlink r:id="rId12" w:history="1">
        <w:r w:rsidR="00372D99" w:rsidRPr="000F23E0">
          <w:rPr>
            <w:rStyle w:val="Hyperlink"/>
          </w:rPr>
          <w:t>www.pmc.gov.au/government/commonwealth</w:t>
        </w:r>
        <w:r w:rsidR="002C4475" w:rsidRPr="000F23E0">
          <w:rPr>
            <w:rStyle w:val="Hyperlink"/>
          </w:rPr>
          <w:noBreakHyphen/>
        </w:r>
        <w:r w:rsidR="00372D99" w:rsidRPr="000F23E0">
          <w:rPr>
            <w:rStyle w:val="Hyperlink"/>
          </w:rPr>
          <w:t>coat</w:t>
        </w:r>
        <w:r w:rsidR="002C4475" w:rsidRPr="000F23E0">
          <w:rPr>
            <w:rStyle w:val="Hyperlink"/>
          </w:rPr>
          <w:noBreakHyphen/>
        </w:r>
        <w:r w:rsidR="00372D99" w:rsidRPr="000F23E0">
          <w:rPr>
            <w:rStyle w:val="Hyperlink"/>
          </w:rPr>
          <w:t>arms</w:t>
        </w:r>
      </w:hyperlink>
      <w:r w:rsidRPr="000F23E0">
        <w:t>).</w:t>
      </w:r>
    </w:p>
    <w:p w14:paraId="5EA30368" w14:textId="77777777" w:rsidR="000E0B74" w:rsidRPr="000F23E0" w:rsidRDefault="000E0B74" w:rsidP="000E0B74">
      <w:pPr>
        <w:rPr>
          <w:rStyle w:val="Strong"/>
        </w:rPr>
      </w:pPr>
      <w:r w:rsidRPr="000F23E0">
        <w:rPr>
          <w:rStyle w:val="Strong"/>
        </w:rPr>
        <w:t>Other uses</w:t>
      </w:r>
    </w:p>
    <w:p w14:paraId="2EC6A3C5" w14:textId="77777777" w:rsidR="000E0B74" w:rsidRPr="000F23E0" w:rsidRDefault="000E0B74" w:rsidP="000E0B74">
      <w:r w:rsidRPr="000F23E0">
        <w:t>Enquiries regarding this licence and any other use of this document are welcome at:</w:t>
      </w:r>
    </w:p>
    <w:p w14:paraId="15858121" w14:textId="472285E1" w:rsidR="000E0B74" w:rsidRPr="000F23E0" w:rsidRDefault="000E0B74" w:rsidP="000E0B74">
      <w:pPr>
        <w:ind w:left="720"/>
        <w:rPr>
          <w:rStyle w:val="Hyperlink"/>
        </w:rPr>
      </w:pPr>
      <w:r w:rsidRPr="000F23E0">
        <w:t>Manager</w:t>
      </w:r>
      <w:r w:rsidR="00A72960" w:rsidRPr="000F23E0">
        <w:br/>
      </w:r>
      <w:r w:rsidRPr="000F23E0">
        <w:t>Media Unit</w:t>
      </w:r>
      <w:r w:rsidRPr="000F23E0">
        <w:br/>
        <w:t>The Treasury</w:t>
      </w:r>
      <w:r w:rsidRPr="000F23E0">
        <w:br/>
        <w:t xml:space="preserve">Langton Crescent </w:t>
      </w:r>
      <w:r w:rsidRPr="000F23E0">
        <w:br/>
        <w:t>Parkes</w:t>
      </w:r>
      <w:r w:rsidR="005005F5" w:rsidRPr="000F23E0">
        <w:t> </w:t>
      </w:r>
      <w:r w:rsidRPr="000F23E0">
        <w:t>ACT</w:t>
      </w:r>
      <w:r w:rsidR="005005F5" w:rsidRPr="000F23E0">
        <w:t> </w:t>
      </w:r>
      <w:r w:rsidRPr="000F23E0">
        <w:t>2600</w:t>
      </w:r>
      <w:r w:rsidRPr="000F23E0">
        <w:br/>
        <w:t xml:space="preserve">Email: </w:t>
      </w:r>
      <w:hyperlink r:id="rId13" w:history="1">
        <w:r w:rsidR="001515FD" w:rsidRPr="000F23E0">
          <w:rPr>
            <w:rStyle w:val="Hyperlink"/>
          </w:rPr>
          <w:t>media@treasury.gov.au</w:t>
        </w:r>
      </w:hyperlink>
    </w:p>
    <w:p w14:paraId="71B8B12F" w14:textId="77777777" w:rsidR="0022251F" w:rsidRPr="000F23E0" w:rsidRDefault="0022251F" w:rsidP="00276A3B">
      <w:pPr>
        <w:keepNext/>
        <w:keepLines/>
        <w:spacing w:before="0" w:after="160" w:line="259" w:lineRule="auto"/>
        <w:rPr>
          <w:b/>
          <w:bCs/>
        </w:rPr>
      </w:pPr>
      <w:r w:rsidRPr="000F23E0">
        <w:rPr>
          <w:b/>
          <w:bCs/>
        </w:rPr>
        <w:lastRenderedPageBreak/>
        <w:t xml:space="preserve">Acknowledgement of Country </w:t>
      </w:r>
    </w:p>
    <w:p w14:paraId="3DB78A2F" w14:textId="557248EA" w:rsidR="00F836F9" w:rsidRPr="000F23E0" w:rsidRDefault="0022251F" w:rsidP="00276A3B">
      <w:pPr>
        <w:keepNext/>
        <w:keepLines/>
      </w:pPr>
      <w:r w:rsidRPr="000F23E0">
        <w:t>In the spirit of reconciliation, the Treasury acknowledges the Traditional Custodians of country throughout Australia and their connections to land, sea and community. We pay our respect to their Elders past and present and extend that respect to all Aboriginal and Torres Strait Islander peoples.</w:t>
      </w:r>
    </w:p>
    <w:p w14:paraId="43EF6806" w14:textId="6D982C0C" w:rsidR="00276A3B" w:rsidRPr="000F23E0" w:rsidRDefault="00652FB0" w:rsidP="00276A3B">
      <w:pPr>
        <w:pStyle w:val="ChartorTableNote"/>
      </w:pPr>
      <w:r w:rsidRPr="000F23E0">
        <w:drawing>
          <wp:inline distT="0" distB="0" distL="0" distR="0" wp14:anchorId="62A8532F" wp14:editId="61CD5986">
            <wp:extent cx="5758727" cy="7126014"/>
            <wp:effectExtent l="0" t="0" r="0" b="0"/>
            <wp:docPr id="45593823" name="Picture 12" descr="An aerial view of turquoise lagoon at Gathaagudu/Shark Bay, Western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93823" name="Picture 12" descr="An aerial view of turquoise lagoon at Gathaagudu/Shark Bay, Western Australia."/>
                    <pic:cNvPicPr/>
                  </pic:nvPicPr>
                  <pic:blipFill rotWithShape="1">
                    <a:blip r:embed="rId14" cstate="print">
                      <a:extLst>
                        <a:ext uri="{28A0092B-C50C-407E-A947-70E740481C1C}">
                          <a14:useLocalDpi xmlns:a14="http://schemas.microsoft.com/office/drawing/2010/main" val="0"/>
                        </a:ext>
                      </a:extLst>
                    </a:blip>
                    <a:srcRect/>
                    <a:stretch>
                      <a:fillRect/>
                    </a:stretch>
                  </pic:blipFill>
                  <pic:spPr bwMode="auto">
                    <a:xfrm>
                      <a:off x="0" y="0"/>
                      <a:ext cx="5759115" cy="7126494"/>
                    </a:xfrm>
                    <a:prstGeom prst="rect">
                      <a:avLst/>
                    </a:prstGeom>
                    <a:ln>
                      <a:noFill/>
                    </a:ln>
                    <a:extLst>
                      <a:ext uri="{53640926-AAD7-44D8-BBD7-CCE9431645EC}">
                        <a14:shadowObscured xmlns:a14="http://schemas.microsoft.com/office/drawing/2010/main"/>
                      </a:ext>
                    </a:extLst>
                  </pic:spPr>
                </pic:pic>
              </a:graphicData>
            </a:graphic>
          </wp:inline>
        </w:drawing>
      </w:r>
      <w:r w:rsidR="00086496" w:rsidRPr="000F23E0">
        <w:t xml:space="preserve"> </w:t>
      </w:r>
      <w:r w:rsidR="00086496" w:rsidRPr="000F23E0">
        <w:rPr>
          <w:spacing w:val="-2"/>
        </w:rPr>
        <w:t>Gathaagudu/Shark Bay, Western Australia, on the Country of the Malgana people, the Traditional Owners of this land and waters</w:t>
      </w:r>
      <w:r w:rsidR="00276A3B" w:rsidRPr="000F23E0">
        <w:rPr>
          <w:spacing w:val="-2"/>
        </w:rPr>
        <w:t>.</w:t>
      </w:r>
    </w:p>
    <w:p w14:paraId="251D6354" w14:textId="77777777" w:rsidR="00276A3B" w:rsidRPr="000F23E0" w:rsidRDefault="00276A3B" w:rsidP="00276A3B">
      <w:pPr>
        <w:keepNext/>
        <w:keepLines/>
      </w:pPr>
    </w:p>
    <w:p w14:paraId="453CF395" w14:textId="77777777" w:rsidR="005005F5" w:rsidRPr="000F23E0" w:rsidRDefault="005005F5" w:rsidP="005005F5">
      <w:pPr>
        <w:sectPr w:rsidR="005005F5" w:rsidRPr="000F23E0" w:rsidSect="00253878">
          <w:endnotePr>
            <w:numFmt w:val="decimal"/>
          </w:endnotePr>
          <w:pgSz w:w="11906" w:h="16838" w:code="9"/>
          <w:pgMar w:top="1843" w:right="1418" w:bottom="1418" w:left="1418" w:header="709" w:footer="709" w:gutter="0"/>
          <w:pgNumType w:fmt="lowerRoman" w:start="0"/>
          <w:cols w:space="708"/>
          <w:titlePg/>
          <w:docGrid w:linePitch="360"/>
        </w:sectPr>
      </w:pPr>
    </w:p>
    <w:p w14:paraId="4E59720C" w14:textId="4721FC6F" w:rsidR="000E0B74" w:rsidRPr="000F23E0" w:rsidRDefault="000E0B74" w:rsidP="004535A2">
      <w:pPr>
        <w:pStyle w:val="TOCHeading1"/>
        <w:keepNext/>
        <w:keepLines/>
        <w:rPr>
          <w:noProof w:val="0"/>
        </w:rPr>
      </w:pPr>
      <w:r w:rsidRPr="000F23E0">
        <w:rPr>
          <w:noProof w:val="0"/>
        </w:rPr>
        <w:lastRenderedPageBreak/>
        <w:t>Contents</w:t>
      </w:r>
    </w:p>
    <w:p w14:paraId="372C4259" w14:textId="77750756" w:rsidR="004C05DA" w:rsidRPr="000F23E0" w:rsidRDefault="004535A2">
      <w:pPr>
        <w:pStyle w:val="TOC1"/>
        <w:rPr>
          <w:rFonts w:asciiTheme="minorHAnsi" w:eastAsiaTheme="minorEastAsia" w:hAnsiTheme="minorHAnsi" w:cstheme="minorBidi"/>
          <w:b w:val="0"/>
          <w:noProof w:val="0"/>
          <w:color w:val="auto"/>
          <w:kern w:val="2"/>
          <w:szCs w:val="24"/>
          <w14:ligatures w14:val="standardContextual"/>
        </w:rPr>
      </w:pPr>
      <w:r w:rsidRPr="000F23E0">
        <w:rPr>
          <w:noProof w:val="0"/>
          <w:color w:val="004A7F"/>
        </w:rPr>
        <w:fldChar w:fldCharType="begin"/>
      </w:r>
      <w:r w:rsidRPr="000F23E0">
        <w:rPr>
          <w:noProof w:val="0"/>
          <w:color w:val="004A7F"/>
        </w:rPr>
        <w:instrText xml:space="preserve"> TOC \o "2-2" \h \z \t "Heading 1,1,Chart Main Heading,3,Heading 1 Numbered,1,Appendix Heading,1,Heading Basic,1,Table Main Heading,3" </w:instrText>
      </w:r>
      <w:r w:rsidRPr="000F23E0">
        <w:rPr>
          <w:noProof w:val="0"/>
          <w:color w:val="004A7F"/>
        </w:rPr>
        <w:fldChar w:fldCharType="separate"/>
      </w:r>
      <w:hyperlink w:anchor="_Toc225155724" w:history="1">
        <w:r w:rsidR="004C05DA" w:rsidRPr="000F23E0">
          <w:rPr>
            <w:rStyle w:val="Hyperlink"/>
            <w:noProof w:val="0"/>
          </w:rPr>
          <w:t>Overview</w:t>
        </w:r>
        <w:r w:rsidR="004C05DA" w:rsidRPr="000F23E0">
          <w:rPr>
            <w:noProof w:val="0"/>
            <w:webHidden/>
          </w:rPr>
          <w:tab/>
        </w:r>
        <w:r w:rsidR="004C05DA" w:rsidRPr="000F23E0">
          <w:rPr>
            <w:noProof w:val="0"/>
            <w:webHidden/>
          </w:rPr>
          <w:fldChar w:fldCharType="begin"/>
        </w:r>
        <w:r w:rsidR="004C05DA" w:rsidRPr="000F23E0">
          <w:rPr>
            <w:noProof w:val="0"/>
            <w:webHidden/>
          </w:rPr>
          <w:instrText xml:space="preserve"> PAGEREF _Toc225155724 \h </w:instrText>
        </w:r>
        <w:r w:rsidR="004C05DA" w:rsidRPr="000F23E0">
          <w:rPr>
            <w:noProof w:val="0"/>
            <w:webHidden/>
          </w:rPr>
        </w:r>
        <w:r w:rsidR="004C05DA" w:rsidRPr="000F23E0">
          <w:rPr>
            <w:noProof w:val="0"/>
            <w:webHidden/>
          </w:rPr>
          <w:fldChar w:fldCharType="separate"/>
        </w:r>
        <w:r w:rsidR="004C05DA" w:rsidRPr="000F23E0">
          <w:rPr>
            <w:noProof w:val="0"/>
            <w:webHidden/>
          </w:rPr>
          <w:t>viii</w:t>
        </w:r>
        <w:r w:rsidR="004C05DA" w:rsidRPr="000F23E0">
          <w:rPr>
            <w:noProof w:val="0"/>
            <w:webHidden/>
          </w:rPr>
          <w:fldChar w:fldCharType="end"/>
        </w:r>
      </w:hyperlink>
    </w:p>
    <w:p w14:paraId="37FA321D" w14:textId="31486AFF" w:rsidR="004C05DA" w:rsidRPr="000F23E0" w:rsidRDefault="004C05DA">
      <w:pPr>
        <w:pStyle w:val="TOC2"/>
        <w:rPr>
          <w:rFonts w:asciiTheme="minorHAnsi" w:eastAsiaTheme="minorEastAsia" w:hAnsiTheme="minorHAnsi" w:cstheme="minorBidi"/>
          <w:noProof w:val="0"/>
          <w:color w:val="auto"/>
          <w:kern w:val="2"/>
          <w:sz w:val="24"/>
          <w:szCs w:val="24"/>
          <w14:ligatures w14:val="standardContextual"/>
        </w:rPr>
      </w:pPr>
      <w:hyperlink w:anchor="_Toc225155725" w:history="1">
        <w:r w:rsidRPr="000F23E0">
          <w:rPr>
            <w:rStyle w:val="Hyperlink"/>
            <w:noProof w:val="0"/>
          </w:rPr>
          <w:t>Summary of Green Treasury Bonds allocation</w:t>
        </w:r>
        <w:r w:rsidRPr="000F23E0">
          <w:rPr>
            <w:noProof w:val="0"/>
            <w:webHidden/>
          </w:rPr>
          <w:tab/>
        </w:r>
        <w:r w:rsidRPr="000F23E0">
          <w:rPr>
            <w:noProof w:val="0"/>
            <w:webHidden/>
          </w:rPr>
          <w:fldChar w:fldCharType="begin"/>
        </w:r>
        <w:r w:rsidRPr="000F23E0">
          <w:rPr>
            <w:noProof w:val="0"/>
            <w:webHidden/>
          </w:rPr>
          <w:instrText xml:space="preserve"> PAGEREF _Toc225155725 \h </w:instrText>
        </w:r>
        <w:r w:rsidRPr="000F23E0">
          <w:rPr>
            <w:noProof w:val="0"/>
            <w:webHidden/>
          </w:rPr>
        </w:r>
        <w:r w:rsidRPr="000F23E0">
          <w:rPr>
            <w:noProof w:val="0"/>
            <w:webHidden/>
          </w:rPr>
          <w:fldChar w:fldCharType="separate"/>
        </w:r>
        <w:r w:rsidRPr="000F23E0">
          <w:rPr>
            <w:noProof w:val="0"/>
            <w:webHidden/>
          </w:rPr>
          <w:t>x</w:t>
        </w:r>
        <w:r w:rsidRPr="000F23E0">
          <w:rPr>
            <w:noProof w:val="0"/>
            <w:webHidden/>
          </w:rPr>
          <w:fldChar w:fldCharType="end"/>
        </w:r>
      </w:hyperlink>
    </w:p>
    <w:p w14:paraId="34A19DE2" w14:textId="65993959" w:rsidR="004C05DA" w:rsidRPr="000F23E0" w:rsidRDefault="004C05DA">
      <w:pPr>
        <w:pStyle w:val="TOC2"/>
        <w:rPr>
          <w:rFonts w:asciiTheme="minorHAnsi" w:eastAsiaTheme="minorEastAsia" w:hAnsiTheme="minorHAnsi" w:cstheme="minorBidi"/>
          <w:noProof w:val="0"/>
          <w:color w:val="auto"/>
          <w:kern w:val="2"/>
          <w:sz w:val="24"/>
          <w:szCs w:val="24"/>
          <w14:ligatures w14:val="standardContextual"/>
        </w:rPr>
      </w:pPr>
      <w:hyperlink w:anchor="_Toc225155729" w:history="1">
        <w:r w:rsidRPr="000F23E0">
          <w:rPr>
            <w:rStyle w:val="Hyperlink"/>
            <w:noProof w:val="0"/>
          </w:rPr>
          <w:t>Summary of eligible Australian Green Treasury Bond projects</w:t>
        </w:r>
        <w:r w:rsidRPr="000F23E0">
          <w:rPr>
            <w:noProof w:val="0"/>
            <w:webHidden/>
          </w:rPr>
          <w:tab/>
        </w:r>
        <w:r w:rsidRPr="000F23E0">
          <w:rPr>
            <w:noProof w:val="0"/>
            <w:webHidden/>
          </w:rPr>
          <w:fldChar w:fldCharType="begin"/>
        </w:r>
        <w:r w:rsidRPr="000F23E0">
          <w:rPr>
            <w:noProof w:val="0"/>
            <w:webHidden/>
          </w:rPr>
          <w:instrText xml:space="preserve"> PAGEREF _Toc225155729 \h </w:instrText>
        </w:r>
        <w:r w:rsidRPr="000F23E0">
          <w:rPr>
            <w:noProof w:val="0"/>
            <w:webHidden/>
          </w:rPr>
        </w:r>
        <w:r w:rsidRPr="000F23E0">
          <w:rPr>
            <w:noProof w:val="0"/>
            <w:webHidden/>
          </w:rPr>
          <w:fldChar w:fldCharType="separate"/>
        </w:r>
        <w:r w:rsidRPr="000F23E0">
          <w:rPr>
            <w:noProof w:val="0"/>
            <w:webHidden/>
          </w:rPr>
          <w:t>xii</w:t>
        </w:r>
        <w:r w:rsidRPr="000F23E0">
          <w:rPr>
            <w:noProof w:val="0"/>
            <w:webHidden/>
          </w:rPr>
          <w:fldChar w:fldCharType="end"/>
        </w:r>
      </w:hyperlink>
    </w:p>
    <w:p w14:paraId="618F7145" w14:textId="7C8FDF36" w:rsidR="004C05DA" w:rsidRPr="000F23E0" w:rsidRDefault="004C05DA">
      <w:pPr>
        <w:pStyle w:val="TOC1"/>
        <w:rPr>
          <w:rFonts w:asciiTheme="minorHAnsi" w:eastAsiaTheme="minorEastAsia" w:hAnsiTheme="minorHAnsi" w:cstheme="minorBidi"/>
          <w:b w:val="0"/>
          <w:noProof w:val="0"/>
          <w:color w:val="auto"/>
          <w:kern w:val="2"/>
          <w:szCs w:val="24"/>
          <w14:ligatures w14:val="standardContextual"/>
        </w:rPr>
      </w:pPr>
      <w:hyperlink w:anchor="_Toc225155732" w:history="1">
        <w:r w:rsidRPr="000F23E0">
          <w:rPr>
            <w:rStyle w:val="Hyperlink"/>
            <w:noProof w:val="0"/>
          </w:rPr>
          <w:t>Chapter 1: Australian context</w:t>
        </w:r>
        <w:r w:rsidRPr="000F23E0">
          <w:rPr>
            <w:noProof w:val="0"/>
            <w:webHidden/>
          </w:rPr>
          <w:tab/>
        </w:r>
        <w:r w:rsidRPr="000F23E0">
          <w:rPr>
            <w:noProof w:val="0"/>
            <w:webHidden/>
          </w:rPr>
          <w:fldChar w:fldCharType="begin"/>
        </w:r>
        <w:r w:rsidRPr="000F23E0">
          <w:rPr>
            <w:noProof w:val="0"/>
            <w:webHidden/>
          </w:rPr>
          <w:instrText xml:space="preserve"> PAGEREF _Toc225155732 \h </w:instrText>
        </w:r>
        <w:r w:rsidRPr="000F23E0">
          <w:rPr>
            <w:noProof w:val="0"/>
            <w:webHidden/>
          </w:rPr>
        </w:r>
        <w:r w:rsidRPr="000F23E0">
          <w:rPr>
            <w:noProof w:val="0"/>
            <w:webHidden/>
          </w:rPr>
          <w:fldChar w:fldCharType="separate"/>
        </w:r>
        <w:r w:rsidRPr="000F23E0">
          <w:rPr>
            <w:noProof w:val="0"/>
            <w:webHidden/>
          </w:rPr>
          <w:t>1</w:t>
        </w:r>
        <w:r w:rsidRPr="000F23E0">
          <w:rPr>
            <w:noProof w:val="0"/>
            <w:webHidden/>
          </w:rPr>
          <w:fldChar w:fldCharType="end"/>
        </w:r>
      </w:hyperlink>
    </w:p>
    <w:p w14:paraId="56F93F67" w14:textId="7A00CEC9" w:rsidR="004C05DA" w:rsidRPr="000F23E0" w:rsidRDefault="004C05DA">
      <w:pPr>
        <w:pStyle w:val="TOC2"/>
        <w:rPr>
          <w:rFonts w:asciiTheme="minorHAnsi" w:eastAsiaTheme="minorEastAsia" w:hAnsiTheme="minorHAnsi" w:cstheme="minorBidi"/>
          <w:noProof w:val="0"/>
          <w:color w:val="auto"/>
          <w:kern w:val="2"/>
          <w:sz w:val="24"/>
          <w:szCs w:val="24"/>
          <w14:ligatures w14:val="standardContextual"/>
        </w:rPr>
      </w:pPr>
      <w:hyperlink w:anchor="_Toc225155733" w:history="1">
        <w:r w:rsidRPr="000F23E0">
          <w:rPr>
            <w:rStyle w:val="Hyperlink"/>
            <w:noProof w:val="0"/>
          </w:rPr>
          <w:t>Sustainable finance in Australia</w:t>
        </w:r>
        <w:r w:rsidRPr="000F23E0">
          <w:rPr>
            <w:noProof w:val="0"/>
            <w:webHidden/>
          </w:rPr>
          <w:tab/>
        </w:r>
        <w:r w:rsidRPr="000F23E0">
          <w:rPr>
            <w:noProof w:val="0"/>
            <w:webHidden/>
          </w:rPr>
          <w:fldChar w:fldCharType="begin"/>
        </w:r>
        <w:r w:rsidRPr="000F23E0">
          <w:rPr>
            <w:noProof w:val="0"/>
            <w:webHidden/>
          </w:rPr>
          <w:instrText xml:space="preserve"> PAGEREF _Toc225155733 \h </w:instrText>
        </w:r>
        <w:r w:rsidRPr="000F23E0">
          <w:rPr>
            <w:noProof w:val="0"/>
            <w:webHidden/>
          </w:rPr>
        </w:r>
        <w:r w:rsidRPr="000F23E0">
          <w:rPr>
            <w:noProof w:val="0"/>
            <w:webHidden/>
          </w:rPr>
          <w:fldChar w:fldCharType="separate"/>
        </w:r>
        <w:r w:rsidRPr="000F23E0">
          <w:rPr>
            <w:noProof w:val="0"/>
            <w:webHidden/>
          </w:rPr>
          <w:t>2</w:t>
        </w:r>
        <w:r w:rsidRPr="000F23E0">
          <w:rPr>
            <w:noProof w:val="0"/>
            <w:webHidden/>
          </w:rPr>
          <w:fldChar w:fldCharType="end"/>
        </w:r>
      </w:hyperlink>
    </w:p>
    <w:p w14:paraId="33023C5E" w14:textId="76B7EA84" w:rsidR="004C05DA" w:rsidRPr="000F23E0" w:rsidRDefault="004C05DA">
      <w:pPr>
        <w:pStyle w:val="TOC2"/>
        <w:rPr>
          <w:rFonts w:asciiTheme="minorHAnsi" w:eastAsiaTheme="minorEastAsia" w:hAnsiTheme="minorHAnsi" w:cstheme="minorBidi"/>
          <w:noProof w:val="0"/>
          <w:color w:val="auto"/>
          <w:kern w:val="2"/>
          <w:sz w:val="24"/>
          <w:szCs w:val="24"/>
          <w14:ligatures w14:val="standardContextual"/>
        </w:rPr>
      </w:pPr>
      <w:hyperlink w:anchor="_Toc225155734" w:history="1">
        <w:r w:rsidRPr="000F23E0">
          <w:rPr>
            <w:rStyle w:val="Hyperlink"/>
            <w:noProof w:val="0"/>
          </w:rPr>
          <w:t>Climate change mitigation</w:t>
        </w:r>
        <w:r w:rsidRPr="000F23E0">
          <w:rPr>
            <w:noProof w:val="0"/>
            <w:webHidden/>
          </w:rPr>
          <w:tab/>
        </w:r>
        <w:r w:rsidRPr="000F23E0">
          <w:rPr>
            <w:noProof w:val="0"/>
            <w:webHidden/>
          </w:rPr>
          <w:fldChar w:fldCharType="begin"/>
        </w:r>
        <w:r w:rsidRPr="000F23E0">
          <w:rPr>
            <w:noProof w:val="0"/>
            <w:webHidden/>
          </w:rPr>
          <w:instrText xml:space="preserve"> PAGEREF _Toc225155734 \h </w:instrText>
        </w:r>
        <w:r w:rsidRPr="000F23E0">
          <w:rPr>
            <w:noProof w:val="0"/>
            <w:webHidden/>
          </w:rPr>
        </w:r>
        <w:r w:rsidRPr="000F23E0">
          <w:rPr>
            <w:noProof w:val="0"/>
            <w:webHidden/>
          </w:rPr>
          <w:fldChar w:fldCharType="separate"/>
        </w:r>
        <w:r w:rsidRPr="000F23E0">
          <w:rPr>
            <w:noProof w:val="0"/>
            <w:webHidden/>
          </w:rPr>
          <w:t>3</w:t>
        </w:r>
        <w:r w:rsidRPr="000F23E0">
          <w:rPr>
            <w:noProof w:val="0"/>
            <w:webHidden/>
          </w:rPr>
          <w:fldChar w:fldCharType="end"/>
        </w:r>
      </w:hyperlink>
    </w:p>
    <w:p w14:paraId="5F49047B" w14:textId="44595CD3" w:rsidR="004C05DA" w:rsidRPr="000F23E0" w:rsidRDefault="004C05DA">
      <w:pPr>
        <w:pStyle w:val="TOC2"/>
        <w:rPr>
          <w:rFonts w:asciiTheme="minorHAnsi" w:eastAsiaTheme="minorEastAsia" w:hAnsiTheme="minorHAnsi" w:cstheme="minorBidi"/>
          <w:noProof w:val="0"/>
          <w:color w:val="auto"/>
          <w:kern w:val="2"/>
          <w:sz w:val="24"/>
          <w:szCs w:val="24"/>
          <w14:ligatures w14:val="standardContextual"/>
        </w:rPr>
      </w:pPr>
      <w:hyperlink w:anchor="_Toc225155737" w:history="1">
        <w:r w:rsidRPr="000F23E0">
          <w:rPr>
            <w:rStyle w:val="Hyperlink"/>
            <w:noProof w:val="0"/>
          </w:rPr>
          <w:t>Climate change adaptation</w:t>
        </w:r>
        <w:r w:rsidRPr="000F23E0">
          <w:rPr>
            <w:noProof w:val="0"/>
            <w:webHidden/>
          </w:rPr>
          <w:tab/>
        </w:r>
        <w:r w:rsidRPr="000F23E0">
          <w:rPr>
            <w:noProof w:val="0"/>
            <w:webHidden/>
          </w:rPr>
          <w:fldChar w:fldCharType="begin"/>
        </w:r>
        <w:r w:rsidRPr="000F23E0">
          <w:rPr>
            <w:noProof w:val="0"/>
            <w:webHidden/>
          </w:rPr>
          <w:instrText xml:space="preserve"> PAGEREF _Toc225155737 \h </w:instrText>
        </w:r>
        <w:r w:rsidRPr="000F23E0">
          <w:rPr>
            <w:noProof w:val="0"/>
            <w:webHidden/>
          </w:rPr>
        </w:r>
        <w:r w:rsidRPr="000F23E0">
          <w:rPr>
            <w:noProof w:val="0"/>
            <w:webHidden/>
          </w:rPr>
          <w:fldChar w:fldCharType="separate"/>
        </w:r>
        <w:r w:rsidRPr="000F23E0">
          <w:rPr>
            <w:noProof w:val="0"/>
            <w:webHidden/>
          </w:rPr>
          <w:t>8</w:t>
        </w:r>
        <w:r w:rsidRPr="000F23E0">
          <w:rPr>
            <w:noProof w:val="0"/>
            <w:webHidden/>
          </w:rPr>
          <w:fldChar w:fldCharType="end"/>
        </w:r>
      </w:hyperlink>
    </w:p>
    <w:p w14:paraId="0F3DDEEB" w14:textId="5BE19F4C" w:rsidR="004C05DA" w:rsidRPr="000F23E0" w:rsidRDefault="004C05DA">
      <w:pPr>
        <w:pStyle w:val="TOC2"/>
        <w:rPr>
          <w:rFonts w:asciiTheme="minorHAnsi" w:eastAsiaTheme="minorEastAsia" w:hAnsiTheme="minorHAnsi" w:cstheme="minorBidi"/>
          <w:noProof w:val="0"/>
          <w:color w:val="auto"/>
          <w:kern w:val="2"/>
          <w:sz w:val="24"/>
          <w:szCs w:val="24"/>
          <w14:ligatures w14:val="standardContextual"/>
        </w:rPr>
      </w:pPr>
      <w:hyperlink w:anchor="_Toc225155738" w:history="1">
        <w:r w:rsidRPr="000F23E0">
          <w:rPr>
            <w:rStyle w:val="Hyperlink"/>
            <w:noProof w:val="0"/>
          </w:rPr>
          <w:t>Environmental policies and programs</w:t>
        </w:r>
        <w:r w:rsidRPr="000F23E0">
          <w:rPr>
            <w:noProof w:val="0"/>
            <w:webHidden/>
          </w:rPr>
          <w:tab/>
        </w:r>
        <w:r w:rsidRPr="000F23E0">
          <w:rPr>
            <w:noProof w:val="0"/>
            <w:webHidden/>
          </w:rPr>
          <w:fldChar w:fldCharType="begin"/>
        </w:r>
        <w:r w:rsidRPr="000F23E0">
          <w:rPr>
            <w:noProof w:val="0"/>
            <w:webHidden/>
          </w:rPr>
          <w:instrText xml:space="preserve"> PAGEREF _Toc225155738 \h </w:instrText>
        </w:r>
        <w:r w:rsidRPr="000F23E0">
          <w:rPr>
            <w:noProof w:val="0"/>
            <w:webHidden/>
          </w:rPr>
        </w:r>
        <w:r w:rsidRPr="000F23E0">
          <w:rPr>
            <w:noProof w:val="0"/>
            <w:webHidden/>
          </w:rPr>
          <w:fldChar w:fldCharType="separate"/>
        </w:r>
        <w:r w:rsidRPr="000F23E0">
          <w:rPr>
            <w:noProof w:val="0"/>
            <w:webHidden/>
          </w:rPr>
          <w:t>10</w:t>
        </w:r>
        <w:r w:rsidRPr="000F23E0">
          <w:rPr>
            <w:noProof w:val="0"/>
            <w:webHidden/>
          </w:rPr>
          <w:fldChar w:fldCharType="end"/>
        </w:r>
      </w:hyperlink>
    </w:p>
    <w:p w14:paraId="539D96FD" w14:textId="64C7DED5" w:rsidR="004C05DA" w:rsidRPr="000F23E0" w:rsidRDefault="004C05DA">
      <w:pPr>
        <w:pStyle w:val="TOC1"/>
        <w:rPr>
          <w:rFonts w:asciiTheme="minorHAnsi" w:eastAsiaTheme="minorEastAsia" w:hAnsiTheme="minorHAnsi" w:cstheme="minorBidi"/>
          <w:b w:val="0"/>
          <w:noProof w:val="0"/>
          <w:color w:val="auto"/>
          <w:kern w:val="2"/>
          <w:szCs w:val="24"/>
          <w14:ligatures w14:val="standardContextual"/>
        </w:rPr>
      </w:pPr>
      <w:hyperlink w:anchor="_Toc225155739" w:history="1">
        <w:r w:rsidRPr="000F23E0">
          <w:rPr>
            <w:rStyle w:val="Hyperlink"/>
            <w:noProof w:val="0"/>
          </w:rPr>
          <w:t>Chapter 2: Renewable energy</w:t>
        </w:r>
        <w:r w:rsidRPr="000F23E0">
          <w:rPr>
            <w:noProof w:val="0"/>
            <w:webHidden/>
          </w:rPr>
          <w:tab/>
        </w:r>
        <w:r w:rsidRPr="000F23E0">
          <w:rPr>
            <w:noProof w:val="0"/>
            <w:webHidden/>
          </w:rPr>
          <w:fldChar w:fldCharType="begin"/>
        </w:r>
        <w:r w:rsidRPr="000F23E0">
          <w:rPr>
            <w:noProof w:val="0"/>
            <w:webHidden/>
          </w:rPr>
          <w:instrText xml:space="preserve"> PAGEREF _Toc225155739 \h </w:instrText>
        </w:r>
        <w:r w:rsidRPr="000F23E0">
          <w:rPr>
            <w:noProof w:val="0"/>
            <w:webHidden/>
          </w:rPr>
        </w:r>
        <w:r w:rsidRPr="000F23E0">
          <w:rPr>
            <w:noProof w:val="0"/>
            <w:webHidden/>
          </w:rPr>
          <w:fldChar w:fldCharType="separate"/>
        </w:r>
        <w:r w:rsidRPr="000F23E0">
          <w:rPr>
            <w:noProof w:val="0"/>
            <w:webHidden/>
          </w:rPr>
          <w:t>12</w:t>
        </w:r>
        <w:r w:rsidRPr="000F23E0">
          <w:rPr>
            <w:noProof w:val="0"/>
            <w:webHidden/>
          </w:rPr>
          <w:fldChar w:fldCharType="end"/>
        </w:r>
      </w:hyperlink>
    </w:p>
    <w:p w14:paraId="5FB65BE6" w14:textId="764F5CA0" w:rsidR="004C05DA" w:rsidRPr="000F23E0" w:rsidRDefault="004C05DA">
      <w:pPr>
        <w:pStyle w:val="TOC2"/>
        <w:rPr>
          <w:rFonts w:asciiTheme="minorHAnsi" w:eastAsiaTheme="minorEastAsia" w:hAnsiTheme="minorHAnsi" w:cstheme="minorBidi"/>
          <w:noProof w:val="0"/>
          <w:color w:val="auto"/>
          <w:kern w:val="2"/>
          <w:sz w:val="24"/>
          <w:szCs w:val="24"/>
          <w14:ligatures w14:val="standardContextual"/>
        </w:rPr>
      </w:pPr>
      <w:hyperlink w:anchor="_Toc225155740" w:history="1">
        <w:r w:rsidRPr="000F23E0">
          <w:rPr>
            <w:rStyle w:val="Hyperlink"/>
            <w:noProof w:val="0"/>
          </w:rPr>
          <w:t>Renewable energy investments</w:t>
        </w:r>
        <w:r w:rsidRPr="000F23E0">
          <w:rPr>
            <w:noProof w:val="0"/>
            <w:webHidden/>
          </w:rPr>
          <w:tab/>
        </w:r>
        <w:r w:rsidRPr="000F23E0">
          <w:rPr>
            <w:noProof w:val="0"/>
            <w:webHidden/>
          </w:rPr>
          <w:fldChar w:fldCharType="begin"/>
        </w:r>
        <w:r w:rsidRPr="000F23E0">
          <w:rPr>
            <w:noProof w:val="0"/>
            <w:webHidden/>
          </w:rPr>
          <w:instrText xml:space="preserve"> PAGEREF _Toc225155740 \h </w:instrText>
        </w:r>
        <w:r w:rsidRPr="000F23E0">
          <w:rPr>
            <w:noProof w:val="0"/>
            <w:webHidden/>
          </w:rPr>
        </w:r>
        <w:r w:rsidRPr="000F23E0">
          <w:rPr>
            <w:noProof w:val="0"/>
            <w:webHidden/>
          </w:rPr>
          <w:fldChar w:fldCharType="separate"/>
        </w:r>
        <w:r w:rsidRPr="000F23E0">
          <w:rPr>
            <w:noProof w:val="0"/>
            <w:webHidden/>
          </w:rPr>
          <w:t>13</w:t>
        </w:r>
        <w:r w:rsidRPr="000F23E0">
          <w:rPr>
            <w:noProof w:val="0"/>
            <w:webHidden/>
          </w:rPr>
          <w:fldChar w:fldCharType="end"/>
        </w:r>
      </w:hyperlink>
    </w:p>
    <w:p w14:paraId="4863DB44" w14:textId="09CE9AFF" w:rsidR="004C05DA" w:rsidRPr="000F23E0" w:rsidRDefault="004C05DA">
      <w:pPr>
        <w:pStyle w:val="TOC2"/>
        <w:rPr>
          <w:rFonts w:asciiTheme="minorHAnsi" w:eastAsiaTheme="minorEastAsia" w:hAnsiTheme="minorHAnsi" w:cstheme="minorBidi"/>
          <w:noProof w:val="0"/>
          <w:color w:val="auto"/>
          <w:kern w:val="2"/>
          <w:sz w:val="24"/>
          <w:szCs w:val="24"/>
          <w14:ligatures w14:val="standardContextual"/>
        </w:rPr>
      </w:pPr>
      <w:hyperlink w:anchor="_Toc225155743" w:history="1">
        <w:r w:rsidRPr="000F23E0">
          <w:rPr>
            <w:rStyle w:val="Hyperlink"/>
            <w:noProof w:val="0"/>
          </w:rPr>
          <w:t>Rewiring the Nation</w:t>
        </w:r>
        <w:r w:rsidRPr="000F23E0">
          <w:rPr>
            <w:noProof w:val="0"/>
            <w:webHidden/>
          </w:rPr>
          <w:tab/>
        </w:r>
        <w:r w:rsidRPr="000F23E0">
          <w:rPr>
            <w:noProof w:val="0"/>
            <w:webHidden/>
          </w:rPr>
          <w:fldChar w:fldCharType="begin"/>
        </w:r>
        <w:r w:rsidRPr="000F23E0">
          <w:rPr>
            <w:noProof w:val="0"/>
            <w:webHidden/>
          </w:rPr>
          <w:instrText xml:space="preserve"> PAGEREF _Toc225155743 \h </w:instrText>
        </w:r>
        <w:r w:rsidRPr="000F23E0">
          <w:rPr>
            <w:noProof w:val="0"/>
            <w:webHidden/>
          </w:rPr>
        </w:r>
        <w:r w:rsidRPr="000F23E0">
          <w:rPr>
            <w:noProof w:val="0"/>
            <w:webHidden/>
          </w:rPr>
          <w:fldChar w:fldCharType="separate"/>
        </w:r>
        <w:r w:rsidRPr="000F23E0">
          <w:rPr>
            <w:noProof w:val="0"/>
            <w:webHidden/>
          </w:rPr>
          <w:t>16</w:t>
        </w:r>
        <w:r w:rsidRPr="000F23E0">
          <w:rPr>
            <w:noProof w:val="0"/>
            <w:webHidden/>
          </w:rPr>
          <w:fldChar w:fldCharType="end"/>
        </w:r>
      </w:hyperlink>
    </w:p>
    <w:p w14:paraId="4A55EB6E" w14:textId="13520BD4" w:rsidR="004C05DA" w:rsidRPr="000F23E0" w:rsidRDefault="004C05DA">
      <w:pPr>
        <w:pStyle w:val="TOC2"/>
        <w:rPr>
          <w:rFonts w:asciiTheme="minorHAnsi" w:eastAsiaTheme="minorEastAsia" w:hAnsiTheme="minorHAnsi" w:cstheme="minorBidi"/>
          <w:noProof w:val="0"/>
          <w:color w:val="auto"/>
          <w:kern w:val="2"/>
          <w:sz w:val="24"/>
          <w:szCs w:val="24"/>
          <w14:ligatures w14:val="standardContextual"/>
        </w:rPr>
      </w:pPr>
      <w:hyperlink w:anchor="_Toc225155748" w:history="1">
        <w:r w:rsidRPr="000F23E0">
          <w:rPr>
            <w:rStyle w:val="Hyperlink"/>
            <w:noProof w:val="0"/>
          </w:rPr>
          <w:t>Snowy Hydro</w:t>
        </w:r>
        <w:r w:rsidRPr="000F23E0">
          <w:rPr>
            <w:noProof w:val="0"/>
            <w:webHidden/>
          </w:rPr>
          <w:tab/>
        </w:r>
        <w:r w:rsidRPr="000F23E0">
          <w:rPr>
            <w:noProof w:val="0"/>
            <w:webHidden/>
          </w:rPr>
          <w:fldChar w:fldCharType="begin"/>
        </w:r>
        <w:r w:rsidRPr="000F23E0">
          <w:rPr>
            <w:noProof w:val="0"/>
            <w:webHidden/>
          </w:rPr>
          <w:instrText xml:space="preserve"> PAGEREF _Toc225155748 \h </w:instrText>
        </w:r>
        <w:r w:rsidRPr="000F23E0">
          <w:rPr>
            <w:noProof w:val="0"/>
            <w:webHidden/>
          </w:rPr>
        </w:r>
        <w:r w:rsidRPr="000F23E0">
          <w:rPr>
            <w:noProof w:val="0"/>
            <w:webHidden/>
          </w:rPr>
          <w:fldChar w:fldCharType="separate"/>
        </w:r>
        <w:r w:rsidRPr="000F23E0">
          <w:rPr>
            <w:noProof w:val="0"/>
            <w:webHidden/>
          </w:rPr>
          <w:t>21</w:t>
        </w:r>
        <w:r w:rsidRPr="000F23E0">
          <w:rPr>
            <w:noProof w:val="0"/>
            <w:webHidden/>
          </w:rPr>
          <w:fldChar w:fldCharType="end"/>
        </w:r>
      </w:hyperlink>
    </w:p>
    <w:p w14:paraId="3A846392" w14:textId="102B18D5" w:rsidR="004C05DA" w:rsidRPr="000F23E0" w:rsidRDefault="004C05DA">
      <w:pPr>
        <w:pStyle w:val="TOC2"/>
        <w:rPr>
          <w:rFonts w:asciiTheme="minorHAnsi" w:eastAsiaTheme="minorEastAsia" w:hAnsiTheme="minorHAnsi" w:cstheme="minorBidi"/>
          <w:noProof w:val="0"/>
          <w:color w:val="auto"/>
          <w:kern w:val="2"/>
          <w:sz w:val="24"/>
          <w:szCs w:val="24"/>
          <w14:ligatures w14:val="standardContextual"/>
        </w:rPr>
      </w:pPr>
      <w:hyperlink w:anchor="_Toc225155752" w:history="1">
        <w:r w:rsidRPr="000F23E0">
          <w:rPr>
            <w:rStyle w:val="Hyperlink"/>
            <w:noProof w:val="0"/>
          </w:rPr>
          <w:t>Regional Hydrogen Hubs</w:t>
        </w:r>
        <w:r w:rsidRPr="000F23E0">
          <w:rPr>
            <w:noProof w:val="0"/>
            <w:webHidden/>
          </w:rPr>
          <w:tab/>
        </w:r>
        <w:r w:rsidRPr="000F23E0">
          <w:rPr>
            <w:noProof w:val="0"/>
            <w:webHidden/>
          </w:rPr>
          <w:fldChar w:fldCharType="begin"/>
        </w:r>
        <w:r w:rsidRPr="000F23E0">
          <w:rPr>
            <w:noProof w:val="0"/>
            <w:webHidden/>
          </w:rPr>
          <w:instrText xml:space="preserve"> PAGEREF _Toc225155752 \h </w:instrText>
        </w:r>
        <w:r w:rsidRPr="000F23E0">
          <w:rPr>
            <w:noProof w:val="0"/>
            <w:webHidden/>
          </w:rPr>
        </w:r>
        <w:r w:rsidRPr="000F23E0">
          <w:rPr>
            <w:noProof w:val="0"/>
            <w:webHidden/>
          </w:rPr>
          <w:fldChar w:fldCharType="separate"/>
        </w:r>
        <w:r w:rsidRPr="000F23E0">
          <w:rPr>
            <w:noProof w:val="0"/>
            <w:webHidden/>
          </w:rPr>
          <w:t>24</w:t>
        </w:r>
        <w:r w:rsidRPr="000F23E0">
          <w:rPr>
            <w:noProof w:val="0"/>
            <w:webHidden/>
          </w:rPr>
          <w:fldChar w:fldCharType="end"/>
        </w:r>
      </w:hyperlink>
    </w:p>
    <w:p w14:paraId="7B878A49" w14:textId="39D97D34" w:rsidR="004C05DA" w:rsidRPr="000F23E0" w:rsidRDefault="004C05DA">
      <w:pPr>
        <w:pStyle w:val="TOC2"/>
        <w:rPr>
          <w:rFonts w:asciiTheme="minorHAnsi" w:eastAsiaTheme="minorEastAsia" w:hAnsiTheme="minorHAnsi" w:cstheme="minorBidi"/>
          <w:noProof w:val="0"/>
          <w:color w:val="auto"/>
          <w:kern w:val="2"/>
          <w:sz w:val="24"/>
          <w:szCs w:val="24"/>
          <w14:ligatures w14:val="standardContextual"/>
        </w:rPr>
      </w:pPr>
      <w:hyperlink w:anchor="_Toc225155755" w:history="1">
        <w:r w:rsidRPr="000F23E0">
          <w:rPr>
            <w:rStyle w:val="Hyperlink"/>
            <w:noProof w:val="0"/>
          </w:rPr>
          <w:t>Community Batteries</w:t>
        </w:r>
        <w:r w:rsidRPr="000F23E0">
          <w:rPr>
            <w:noProof w:val="0"/>
            <w:webHidden/>
          </w:rPr>
          <w:tab/>
        </w:r>
        <w:r w:rsidRPr="000F23E0">
          <w:rPr>
            <w:noProof w:val="0"/>
            <w:webHidden/>
          </w:rPr>
          <w:fldChar w:fldCharType="begin"/>
        </w:r>
        <w:r w:rsidRPr="000F23E0">
          <w:rPr>
            <w:noProof w:val="0"/>
            <w:webHidden/>
          </w:rPr>
          <w:instrText xml:space="preserve"> PAGEREF _Toc225155755 \h </w:instrText>
        </w:r>
        <w:r w:rsidRPr="000F23E0">
          <w:rPr>
            <w:noProof w:val="0"/>
            <w:webHidden/>
          </w:rPr>
        </w:r>
        <w:r w:rsidRPr="000F23E0">
          <w:rPr>
            <w:noProof w:val="0"/>
            <w:webHidden/>
          </w:rPr>
          <w:fldChar w:fldCharType="separate"/>
        </w:r>
        <w:r w:rsidRPr="000F23E0">
          <w:rPr>
            <w:noProof w:val="0"/>
            <w:webHidden/>
          </w:rPr>
          <w:t>28</w:t>
        </w:r>
        <w:r w:rsidRPr="000F23E0">
          <w:rPr>
            <w:noProof w:val="0"/>
            <w:webHidden/>
          </w:rPr>
          <w:fldChar w:fldCharType="end"/>
        </w:r>
      </w:hyperlink>
    </w:p>
    <w:p w14:paraId="790001C7" w14:textId="25DBAE37" w:rsidR="004C05DA" w:rsidRPr="000F23E0" w:rsidRDefault="004C05DA">
      <w:pPr>
        <w:pStyle w:val="TOC2"/>
        <w:rPr>
          <w:rFonts w:asciiTheme="minorHAnsi" w:eastAsiaTheme="minorEastAsia" w:hAnsiTheme="minorHAnsi" w:cstheme="minorBidi"/>
          <w:noProof w:val="0"/>
          <w:color w:val="auto"/>
          <w:kern w:val="2"/>
          <w:sz w:val="24"/>
          <w:szCs w:val="24"/>
          <w14:ligatures w14:val="standardContextual"/>
        </w:rPr>
      </w:pPr>
      <w:hyperlink w:anchor="_Toc225155758" w:history="1">
        <w:r w:rsidRPr="000F23E0">
          <w:rPr>
            <w:rStyle w:val="Hyperlink"/>
            <w:noProof w:val="0"/>
          </w:rPr>
          <w:t>Advancing Renewables Program</w:t>
        </w:r>
        <w:r w:rsidRPr="000F23E0">
          <w:rPr>
            <w:noProof w:val="0"/>
            <w:webHidden/>
          </w:rPr>
          <w:tab/>
        </w:r>
        <w:r w:rsidRPr="000F23E0">
          <w:rPr>
            <w:noProof w:val="0"/>
            <w:webHidden/>
          </w:rPr>
          <w:fldChar w:fldCharType="begin"/>
        </w:r>
        <w:r w:rsidRPr="000F23E0">
          <w:rPr>
            <w:noProof w:val="0"/>
            <w:webHidden/>
          </w:rPr>
          <w:instrText xml:space="preserve"> PAGEREF _Toc225155758 \h </w:instrText>
        </w:r>
        <w:r w:rsidRPr="000F23E0">
          <w:rPr>
            <w:noProof w:val="0"/>
            <w:webHidden/>
          </w:rPr>
        </w:r>
        <w:r w:rsidRPr="000F23E0">
          <w:rPr>
            <w:noProof w:val="0"/>
            <w:webHidden/>
          </w:rPr>
          <w:fldChar w:fldCharType="separate"/>
        </w:r>
        <w:r w:rsidRPr="000F23E0">
          <w:rPr>
            <w:noProof w:val="0"/>
            <w:webHidden/>
          </w:rPr>
          <w:t>31</w:t>
        </w:r>
        <w:r w:rsidRPr="000F23E0">
          <w:rPr>
            <w:noProof w:val="0"/>
            <w:webHidden/>
          </w:rPr>
          <w:fldChar w:fldCharType="end"/>
        </w:r>
      </w:hyperlink>
    </w:p>
    <w:p w14:paraId="31691D57" w14:textId="0E5A59E1" w:rsidR="004C05DA" w:rsidRPr="000F23E0" w:rsidRDefault="004C05DA">
      <w:pPr>
        <w:pStyle w:val="TOC1"/>
        <w:rPr>
          <w:rFonts w:asciiTheme="minorHAnsi" w:eastAsiaTheme="minorEastAsia" w:hAnsiTheme="minorHAnsi" w:cstheme="minorBidi"/>
          <w:b w:val="0"/>
          <w:noProof w:val="0"/>
          <w:color w:val="auto"/>
          <w:kern w:val="2"/>
          <w:szCs w:val="24"/>
          <w14:ligatures w14:val="standardContextual"/>
        </w:rPr>
      </w:pPr>
      <w:hyperlink w:anchor="_Toc225155761" w:history="1">
        <w:r w:rsidRPr="000F23E0">
          <w:rPr>
            <w:rStyle w:val="Hyperlink"/>
            <w:noProof w:val="0"/>
          </w:rPr>
          <w:t>Chapter 3: Energy efficiency</w:t>
        </w:r>
        <w:r w:rsidRPr="000F23E0">
          <w:rPr>
            <w:noProof w:val="0"/>
            <w:webHidden/>
          </w:rPr>
          <w:tab/>
        </w:r>
        <w:r w:rsidRPr="000F23E0">
          <w:rPr>
            <w:noProof w:val="0"/>
            <w:webHidden/>
          </w:rPr>
          <w:fldChar w:fldCharType="begin"/>
        </w:r>
        <w:r w:rsidRPr="000F23E0">
          <w:rPr>
            <w:noProof w:val="0"/>
            <w:webHidden/>
          </w:rPr>
          <w:instrText xml:space="preserve"> PAGEREF _Toc225155761 \h </w:instrText>
        </w:r>
        <w:r w:rsidRPr="000F23E0">
          <w:rPr>
            <w:noProof w:val="0"/>
            <w:webHidden/>
          </w:rPr>
        </w:r>
        <w:r w:rsidRPr="000F23E0">
          <w:rPr>
            <w:noProof w:val="0"/>
            <w:webHidden/>
          </w:rPr>
          <w:fldChar w:fldCharType="separate"/>
        </w:r>
        <w:r w:rsidRPr="000F23E0">
          <w:rPr>
            <w:noProof w:val="0"/>
            <w:webHidden/>
          </w:rPr>
          <w:t>34</w:t>
        </w:r>
        <w:r w:rsidRPr="000F23E0">
          <w:rPr>
            <w:noProof w:val="0"/>
            <w:webHidden/>
          </w:rPr>
          <w:fldChar w:fldCharType="end"/>
        </w:r>
      </w:hyperlink>
    </w:p>
    <w:p w14:paraId="2897634E" w14:textId="3C8A65E6" w:rsidR="004C05DA" w:rsidRPr="000F23E0" w:rsidRDefault="004C05DA">
      <w:pPr>
        <w:pStyle w:val="TOC2"/>
        <w:rPr>
          <w:rFonts w:asciiTheme="minorHAnsi" w:eastAsiaTheme="minorEastAsia" w:hAnsiTheme="minorHAnsi" w:cstheme="minorBidi"/>
          <w:noProof w:val="0"/>
          <w:color w:val="auto"/>
          <w:kern w:val="2"/>
          <w:sz w:val="24"/>
          <w:szCs w:val="24"/>
          <w14:ligatures w14:val="standardContextual"/>
        </w:rPr>
      </w:pPr>
      <w:hyperlink w:anchor="_Toc225155762" w:history="1">
        <w:r w:rsidRPr="000F23E0">
          <w:rPr>
            <w:rStyle w:val="Hyperlink"/>
            <w:noProof w:val="0"/>
          </w:rPr>
          <w:t>Household Energy Upgrades Fund™</w:t>
        </w:r>
        <w:r w:rsidRPr="000F23E0">
          <w:rPr>
            <w:noProof w:val="0"/>
            <w:webHidden/>
          </w:rPr>
          <w:tab/>
        </w:r>
        <w:r w:rsidRPr="000F23E0">
          <w:rPr>
            <w:noProof w:val="0"/>
            <w:webHidden/>
          </w:rPr>
          <w:fldChar w:fldCharType="begin"/>
        </w:r>
        <w:r w:rsidRPr="000F23E0">
          <w:rPr>
            <w:noProof w:val="0"/>
            <w:webHidden/>
          </w:rPr>
          <w:instrText xml:space="preserve"> PAGEREF _Toc225155762 \h </w:instrText>
        </w:r>
        <w:r w:rsidRPr="000F23E0">
          <w:rPr>
            <w:noProof w:val="0"/>
            <w:webHidden/>
          </w:rPr>
        </w:r>
        <w:r w:rsidRPr="000F23E0">
          <w:rPr>
            <w:noProof w:val="0"/>
            <w:webHidden/>
          </w:rPr>
          <w:fldChar w:fldCharType="separate"/>
        </w:r>
        <w:r w:rsidRPr="000F23E0">
          <w:rPr>
            <w:noProof w:val="0"/>
            <w:webHidden/>
          </w:rPr>
          <w:t>35</w:t>
        </w:r>
        <w:r w:rsidRPr="000F23E0">
          <w:rPr>
            <w:noProof w:val="0"/>
            <w:webHidden/>
          </w:rPr>
          <w:fldChar w:fldCharType="end"/>
        </w:r>
      </w:hyperlink>
    </w:p>
    <w:p w14:paraId="15733118" w14:textId="16B6BC26" w:rsidR="004C05DA" w:rsidRPr="000F23E0" w:rsidRDefault="004C05DA">
      <w:pPr>
        <w:pStyle w:val="TOC2"/>
        <w:rPr>
          <w:rFonts w:asciiTheme="minorHAnsi" w:eastAsiaTheme="minorEastAsia" w:hAnsiTheme="minorHAnsi" w:cstheme="minorBidi"/>
          <w:noProof w:val="0"/>
          <w:color w:val="auto"/>
          <w:kern w:val="2"/>
          <w:sz w:val="24"/>
          <w:szCs w:val="24"/>
          <w14:ligatures w14:val="standardContextual"/>
        </w:rPr>
      </w:pPr>
      <w:hyperlink w:anchor="_Toc225155765" w:history="1">
        <w:r w:rsidRPr="000F23E0">
          <w:rPr>
            <w:rStyle w:val="Hyperlink"/>
            <w:noProof w:val="0"/>
          </w:rPr>
          <w:t>Social Housing Energy Performance Initiative</w:t>
        </w:r>
        <w:r w:rsidRPr="000F23E0">
          <w:rPr>
            <w:noProof w:val="0"/>
            <w:webHidden/>
          </w:rPr>
          <w:tab/>
        </w:r>
        <w:r w:rsidRPr="000F23E0">
          <w:rPr>
            <w:noProof w:val="0"/>
            <w:webHidden/>
          </w:rPr>
          <w:fldChar w:fldCharType="begin"/>
        </w:r>
        <w:r w:rsidRPr="000F23E0">
          <w:rPr>
            <w:noProof w:val="0"/>
            <w:webHidden/>
          </w:rPr>
          <w:instrText xml:space="preserve"> PAGEREF _Toc225155765 \h </w:instrText>
        </w:r>
        <w:r w:rsidRPr="000F23E0">
          <w:rPr>
            <w:noProof w:val="0"/>
            <w:webHidden/>
          </w:rPr>
        </w:r>
        <w:r w:rsidRPr="000F23E0">
          <w:rPr>
            <w:noProof w:val="0"/>
            <w:webHidden/>
          </w:rPr>
          <w:fldChar w:fldCharType="separate"/>
        </w:r>
        <w:r w:rsidRPr="000F23E0">
          <w:rPr>
            <w:noProof w:val="0"/>
            <w:webHidden/>
          </w:rPr>
          <w:t>38</w:t>
        </w:r>
        <w:r w:rsidRPr="000F23E0">
          <w:rPr>
            <w:noProof w:val="0"/>
            <w:webHidden/>
          </w:rPr>
          <w:fldChar w:fldCharType="end"/>
        </w:r>
      </w:hyperlink>
    </w:p>
    <w:p w14:paraId="1E5AD824" w14:textId="7DECE9D0" w:rsidR="004C05DA" w:rsidRPr="000F23E0" w:rsidRDefault="004C05DA">
      <w:pPr>
        <w:pStyle w:val="TOC1"/>
        <w:rPr>
          <w:rFonts w:asciiTheme="minorHAnsi" w:eastAsiaTheme="minorEastAsia" w:hAnsiTheme="minorHAnsi" w:cstheme="minorBidi"/>
          <w:b w:val="0"/>
          <w:noProof w:val="0"/>
          <w:color w:val="auto"/>
          <w:kern w:val="2"/>
          <w:szCs w:val="24"/>
          <w14:ligatures w14:val="standardContextual"/>
        </w:rPr>
      </w:pPr>
      <w:hyperlink w:anchor="_Toc225155769" w:history="1">
        <w:r w:rsidRPr="000F23E0">
          <w:rPr>
            <w:rStyle w:val="Hyperlink"/>
            <w:noProof w:val="0"/>
          </w:rPr>
          <w:t>Chapter 4: Clean transportation</w:t>
        </w:r>
        <w:r w:rsidRPr="000F23E0">
          <w:rPr>
            <w:noProof w:val="0"/>
            <w:webHidden/>
          </w:rPr>
          <w:tab/>
        </w:r>
        <w:r w:rsidRPr="000F23E0">
          <w:rPr>
            <w:noProof w:val="0"/>
            <w:webHidden/>
          </w:rPr>
          <w:fldChar w:fldCharType="begin"/>
        </w:r>
        <w:r w:rsidRPr="000F23E0">
          <w:rPr>
            <w:noProof w:val="0"/>
            <w:webHidden/>
          </w:rPr>
          <w:instrText xml:space="preserve"> PAGEREF _Toc225155769 \h </w:instrText>
        </w:r>
        <w:r w:rsidRPr="000F23E0">
          <w:rPr>
            <w:noProof w:val="0"/>
            <w:webHidden/>
          </w:rPr>
        </w:r>
        <w:r w:rsidRPr="000F23E0">
          <w:rPr>
            <w:noProof w:val="0"/>
            <w:webHidden/>
          </w:rPr>
          <w:fldChar w:fldCharType="separate"/>
        </w:r>
        <w:r w:rsidRPr="000F23E0">
          <w:rPr>
            <w:noProof w:val="0"/>
            <w:webHidden/>
          </w:rPr>
          <w:t>41</w:t>
        </w:r>
        <w:r w:rsidRPr="000F23E0">
          <w:rPr>
            <w:noProof w:val="0"/>
            <w:webHidden/>
          </w:rPr>
          <w:fldChar w:fldCharType="end"/>
        </w:r>
      </w:hyperlink>
    </w:p>
    <w:p w14:paraId="1E22A4C9" w14:textId="2404DEF5" w:rsidR="004C05DA" w:rsidRPr="000F23E0" w:rsidRDefault="004C05DA">
      <w:pPr>
        <w:pStyle w:val="TOC2"/>
        <w:rPr>
          <w:rFonts w:asciiTheme="minorHAnsi" w:eastAsiaTheme="minorEastAsia" w:hAnsiTheme="minorHAnsi" w:cstheme="minorBidi"/>
          <w:noProof w:val="0"/>
          <w:color w:val="auto"/>
          <w:kern w:val="2"/>
          <w:sz w:val="24"/>
          <w:szCs w:val="24"/>
          <w14:ligatures w14:val="standardContextual"/>
        </w:rPr>
      </w:pPr>
      <w:hyperlink w:anchor="_Toc225155770" w:history="1">
        <w:r w:rsidRPr="000F23E0">
          <w:rPr>
            <w:rStyle w:val="Hyperlink"/>
            <w:noProof w:val="0"/>
          </w:rPr>
          <w:t>Electric rail infrastructure in the Infrastructure Investment Program</w:t>
        </w:r>
        <w:r w:rsidRPr="000F23E0">
          <w:rPr>
            <w:noProof w:val="0"/>
            <w:webHidden/>
          </w:rPr>
          <w:tab/>
        </w:r>
        <w:r w:rsidRPr="000F23E0">
          <w:rPr>
            <w:noProof w:val="0"/>
            <w:webHidden/>
          </w:rPr>
          <w:fldChar w:fldCharType="begin"/>
        </w:r>
        <w:r w:rsidRPr="000F23E0">
          <w:rPr>
            <w:noProof w:val="0"/>
            <w:webHidden/>
          </w:rPr>
          <w:instrText xml:space="preserve"> PAGEREF _Toc225155770 \h </w:instrText>
        </w:r>
        <w:r w:rsidRPr="000F23E0">
          <w:rPr>
            <w:noProof w:val="0"/>
            <w:webHidden/>
          </w:rPr>
        </w:r>
        <w:r w:rsidRPr="000F23E0">
          <w:rPr>
            <w:noProof w:val="0"/>
            <w:webHidden/>
          </w:rPr>
          <w:fldChar w:fldCharType="separate"/>
        </w:r>
        <w:r w:rsidRPr="000F23E0">
          <w:rPr>
            <w:noProof w:val="0"/>
            <w:webHidden/>
          </w:rPr>
          <w:t>42</w:t>
        </w:r>
        <w:r w:rsidRPr="000F23E0">
          <w:rPr>
            <w:noProof w:val="0"/>
            <w:webHidden/>
          </w:rPr>
          <w:fldChar w:fldCharType="end"/>
        </w:r>
      </w:hyperlink>
    </w:p>
    <w:p w14:paraId="49189A68" w14:textId="7D9A3BE1" w:rsidR="004C05DA" w:rsidRPr="000F23E0" w:rsidRDefault="004C05DA">
      <w:pPr>
        <w:pStyle w:val="TOC2"/>
        <w:rPr>
          <w:rFonts w:asciiTheme="minorHAnsi" w:eastAsiaTheme="minorEastAsia" w:hAnsiTheme="minorHAnsi" w:cstheme="minorBidi"/>
          <w:noProof w:val="0"/>
          <w:color w:val="auto"/>
          <w:kern w:val="2"/>
          <w:sz w:val="24"/>
          <w:szCs w:val="24"/>
          <w14:ligatures w14:val="standardContextual"/>
        </w:rPr>
      </w:pPr>
      <w:hyperlink w:anchor="_Toc225155774" w:history="1">
        <w:r w:rsidRPr="000F23E0">
          <w:rPr>
            <w:rStyle w:val="Hyperlink"/>
            <w:noProof w:val="0"/>
          </w:rPr>
          <w:t>Driving the Nation Fund</w:t>
        </w:r>
        <w:r w:rsidRPr="000F23E0">
          <w:rPr>
            <w:noProof w:val="0"/>
            <w:webHidden/>
          </w:rPr>
          <w:tab/>
        </w:r>
        <w:r w:rsidRPr="000F23E0">
          <w:rPr>
            <w:noProof w:val="0"/>
            <w:webHidden/>
          </w:rPr>
          <w:fldChar w:fldCharType="begin"/>
        </w:r>
        <w:r w:rsidRPr="000F23E0">
          <w:rPr>
            <w:noProof w:val="0"/>
            <w:webHidden/>
          </w:rPr>
          <w:instrText xml:space="preserve"> PAGEREF _Toc225155774 \h </w:instrText>
        </w:r>
        <w:r w:rsidRPr="000F23E0">
          <w:rPr>
            <w:noProof w:val="0"/>
            <w:webHidden/>
          </w:rPr>
        </w:r>
        <w:r w:rsidRPr="000F23E0">
          <w:rPr>
            <w:noProof w:val="0"/>
            <w:webHidden/>
          </w:rPr>
          <w:fldChar w:fldCharType="separate"/>
        </w:r>
        <w:r w:rsidRPr="000F23E0">
          <w:rPr>
            <w:noProof w:val="0"/>
            <w:webHidden/>
          </w:rPr>
          <w:t>47</w:t>
        </w:r>
        <w:r w:rsidRPr="000F23E0">
          <w:rPr>
            <w:noProof w:val="0"/>
            <w:webHidden/>
          </w:rPr>
          <w:fldChar w:fldCharType="end"/>
        </w:r>
      </w:hyperlink>
    </w:p>
    <w:p w14:paraId="3E5989E2" w14:textId="1CA2F65A" w:rsidR="004C05DA" w:rsidRPr="000F23E0" w:rsidRDefault="004C05DA">
      <w:pPr>
        <w:pStyle w:val="TOC2"/>
        <w:rPr>
          <w:rFonts w:asciiTheme="minorHAnsi" w:eastAsiaTheme="minorEastAsia" w:hAnsiTheme="minorHAnsi" w:cstheme="minorBidi"/>
          <w:noProof w:val="0"/>
          <w:color w:val="auto"/>
          <w:kern w:val="2"/>
          <w:sz w:val="24"/>
          <w:szCs w:val="24"/>
          <w14:ligatures w14:val="standardContextual"/>
        </w:rPr>
      </w:pPr>
      <w:hyperlink w:anchor="_Toc225155778" w:history="1">
        <w:r w:rsidRPr="000F23E0">
          <w:rPr>
            <w:rStyle w:val="Hyperlink"/>
            <w:noProof w:val="0"/>
          </w:rPr>
          <w:t>Electric bus charging infrastructure</w:t>
        </w:r>
        <w:r w:rsidRPr="000F23E0">
          <w:rPr>
            <w:noProof w:val="0"/>
            <w:webHidden/>
          </w:rPr>
          <w:tab/>
        </w:r>
        <w:r w:rsidRPr="000F23E0">
          <w:rPr>
            <w:noProof w:val="0"/>
            <w:webHidden/>
          </w:rPr>
          <w:fldChar w:fldCharType="begin"/>
        </w:r>
        <w:r w:rsidRPr="000F23E0">
          <w:rPr>
            <w:noProof w:val="0"/>
            <w:webHidden/>
          </w:rPr>
          <w:instrText xml:space="preserve"> PAGEREF _Toc225155778 \h </w:instrText>
        </w:r>
        <w:r w:rsidRPr="000F23E0">
          <w:rPr>
            <w:noProof w:val="0"/>
            <w:webHidden/>
          </w:rPr>
        </w:r>
        <w:r w:rsidRPr="000F23E0">
          <w:rPr>
            <w:noProof w:val="0"/>
            <w:webHidden/>
          </w:rPr>
          <w:fldChar w:fldCharType="separate"/>
        </w:r>
        <w:r w:rsidRPr="000F23E0">
          <w:rPr>
            <w:noProof w:val="0"/>
            <w:webHidden/>
          </w:rPr>
          <w:t>51</w:t>
        </w:r>
        <w:r w:rsidRPr="000F23E0">
          <w:rPr>
            <w:noProof w:val="0"/>
            <w:webHidden/>
          </w:rPr>
          <w:fldChar w:fldCharType="end"/>
        </w:r>
      </w:hyperlink>
    </w:p>
    <w:p w14:paraId="41132C24" w14:textId="4EA85890" w:rsidR="004C05DA" w:rsidRPr="000F23E0" w:rsidRDefault="004C05DA">
      <w:pPr>
        <w:pStyle w:val="TOC1"/>
        <w:rPr>
          <w:rFonts w:asciiTheme="minorHAnsi" w:eastAsiaTheme="minorEastAsia" w:hAnsiTheme="minorHAnsi" w:cstheme="minorBidi"/>
          <w:b w:val="0"/>
          <w:noProof w:val="0"/>
          <w:color w:val="auto"/>
          <w:kern w:val="2"/>
          <w:szCs w:val="24"/>
          <w14:ligatures w14:val="standardContextual"/>
        </w:rPr>
      </w:pPr>
      <w:hyperlink w:anchor="_Toc225155782" w:history="1">
        <w:r w:rsidRPr="000F23E0">
          <w:rPr>
            <w:rStyle w:val="Hyperlink"/>
            <w:noProof w:val="0"/>
          </w:rPr>
          <w:t>Chapter 5: Climate change adaptation</w:t>
        </w:r>
        <w:r w:rsidRPr="000F23E0">
          <w:rPr>
            <w:noProof w:val="0"/>
            <w:webHidden/>
          </w:rPr>
          <w:tab/>
        </w:r>
        <w:r w:rsidRPr="000F23E0">
          <w:rPr>
            <w:noProof w:val="0"/>
            <w:webHidden/>
          </w:rPr>
          <w:fldChar w:fldCharType="begin"/>
        </w:r>
        <w:r w:rsidRPr="000F23E0">
          <w:rPr>
            <w:noProof w:val="0"/>
            <w:webHidden/>
          </w:rPr>
          <w:instrText xml:space="preserve"> PAGEREF _Toc225155782 \h </w:instrText>
        </w:r>
        <w:r w:rsidRPr="000F23E0">
          <w:rPr>
            <w:noProof w:val="0"/>
            <w:webHidden/>
          </w:rPr>
        </w:r>
        <w:r w:rsidRPr="000F23E0">
          <w:rPr>
            <w:noProof w:val="0"/>
            <w:webHidden/>
          </w:rPr>
          <w:fldChar w:fldCharType="separate"/>
        </w:r>
        <w:r w:rsidRPr="000F23E0">
          <w:rPr>
            <w:noProof w:val="0"/>
            <w:webHidden/>
          </w:rPr>
          <w:t>54</w:t>
        </w:r>
        <w:r w:rsidRPr="000F23E0">
          <w:rPr>
            <w:noProof w:val="0"/>
            <w:webHidden/>
          </w:rPr>
          <w:fldChar w:fldCharType="end"/>
        </w:r>
      </w:hyperlink>
    </w:p>
    <w:p w14:paraId="17913D3E" w14:textId="476C6810" w:rsidR="004C05DA" w:rsidRPr="000F23E0" w:rsidRDefault="004C05DA">
      <w:pPr>
        <w:pStyle w:val="TOC2"/>
        <w:rPr>
          <w:rFonts w:asciiTheme="minorHAnsi" w:eastAsiaTheme="minorEastAsia" w:hAnsiTheme="minorHAnsi" w:cstheme="minorBidi"/>
          <w:noProof w:val="0"/>
          <w:color w:val="auto"/>
          <w:kern w:val="2"/>
          <w:sz w:val="24"/>
          <w:szCs w:val="24"/>
          <w14:ligatures w14:val="standardContextual"/>
        </w:rPr>
      </w:pPr>
      <w:hyperlink w:anchor="_Toc225155783" w:history="1">
        <w:r w:rsidRPr="000F23E0">
          <w:rPr>
            <w:rStyle w:val="Hyperlink"/>
            <w:noProof w:val="0"/>
          </w:rPr>
          <w:t>International climate finance projects</w:t>
        </w:r>
        <w:r w:rsidRPr="000F23E0">
          <w:rPr>
            <w:noProof w:val="0"/>
            <w:webHidden/>
          </w:rPr>
          <w:tab/>
        </w:r>
        <w:r w:rsidRPr="000F23E0">
          <w:rPr>
            <w:noProof w:val="0"/>
            <w:webHidden/>
          </w:rPr>
          <w:fldChar w:fldCharType="begin"/>
        </w:r>
        <w:r w:rsidRPr="000F23E0">
          <w:rPr>
            <w:noProof w:val="0"/>
            <w:webHidden/>
          </w:rPr>
          <w:instrText xml:space="preserve"> PAGEREF _Toc225155783 \h </w:instrText>
        </w:r>
        <w:r w:rsidRPr="000F23E0">
          <w:rPr>
            <w:noProof w:val="0"/>
            <w:webHidden/>
          </w:rPr>
        </w:r>
        <w:r w:rsidRPr="000F23E0">
          <w:rPr>
            <w:noProof w:val="0"/>
            <w:webHidden/>
          </w:rPr>
          <w:fldChar w:fldCharType="separate"/>
        </w:r>
        <w:r w:rsidRPr="000F23E0">
          <w:rPr>
            <w:noProof w:val="0"/>
            <w:webHidden/>
          </w:rPr>
          <w:t>55</w:t>
        </w:r>
        <w:r w:rsidRPr="000F23E0">
          <w:rPr>
            <w:noProof w:val="0"/>
            <w:webHidden/>
          </w:rPr>
          <w:fldChar w:fldCharType="end"/>
        </w:r>
      </w:hyperlink>
    </w:p>
    <w:p w14:paraId="51330E88" w14:textId="30330D95" w:rsidR="004C05DA" w:rsidRPr="000F23E0" w:rsidRDefault="004C05DA">
      <w:pPr>
        <w:pStyle w:val="TOC1"/>
        <w:rPr>
          <w:rFonts w:asciiTheme="minorHAnsi" w:eastAsiaTheme="minorEastAsia" w:hAnsiTheme="minorHAnsi" w:cstheme="minorBidi"/>
          <w:b w:val="0"/>
          <w:noProof w:val="0"/>
          <w:color w:val="auto"/>
          <w:kern w:val="2"/>
          <w:szCs w:val="24"/>
          <w14:ligatures w14:val="standardContextual"/>
        </w:rPr>
      </w:pPr>
      <w:hyperlink w:anchor="_Toc225155788" w:history="1">
        <w:r w:rsidRPr="000F23E0">
          <w:rPr>
            <w:rStyle w:val="Hyperlink"/>
            <w:noProof w:val="0"/>
          </w:rPr>
          <w:t xml:space="preserve">Chapter 6: Environmentally sustainable management </w:t>
        </w:r>
        <w:r w:rsidR="00C26F03" w:rsidRPr="000F23E0">
          <w:rPr>
            <w:rStyle w:val="Hyperlink"/>
            <w:noProof w:val="0"/>
          </w:rPr>
          <w:br/>
        </w:r>
        <w:r w:rsidRPr="000F23E0">
          <w:rPr>
            <w:rStyle w:val="Hyperlink"/>
            <w:noProof w:val="0"/>
          </w:rPr>
          <w:t>of living natural resources and land use</w:t>
        </w:r>
        <w:r w:rsidRPr="000F23E0">
          <w:rPr>
            <w:noProof w:val="0"/>
            <w:webHidden/>
          </w:rPr>
          <w:tab/>
        </w:r>
        <w:r w:rsidRPr="000F23E0">
          <w:rPr>
            <w:noProof w:val="0"/>
            <w:webHidden/>
          </w:rPr>
          <w:fldChar w:fldCharType="begin"/>
        </w:r>
        <w:r w:rsidRPr="000F23E0">
          <w:rPr>
            <w:noProof w:val="0"/>
            <w:webHidden/>
          </w:rPr>
          <w:instrText xml:space="preserve"> PAGEREF _Toc225155788 \h </w:instrText>
        </w:r>
        <w:r w:rsidRPr="000F23E0">
          <w:rPr>
            <w:noProof w:val="0"/>
            <w:webHidden/>
          </w:rPr>
        </w:r>
        <w:r w:rsidRPr="000F23E0">
          <w:rPr>
            <w:noProof w:val="0"/>
            <w:webHidden/>
          </w:rPr>
          <w:fldChar w:fldCharType="separate"/>
        </w:r>
        <w:r w:rsidRPr="000F23E0">
          <w:rPr>
            <w:noProof w:val="0"/>
            <w:webHidden/>
          </w:rPr>
          <w:t>63</w:t>
        </w:r>
        <w:r w:rsidRPr="000F23E0">
          <w:rPr>
            <w:noProof w:val="0"/>
            <w:webHidden/>
          </w:rPr>
          <w:fldChar w:fldCharType="end"/>
        </w:r>
      </w:hyperlink>
    </w:p>
    <w:p w14:paraId="2EC16806" w14:textId="0F47D474" w:rsidR="004C05DA" w:rsidRPr="000F23E0" w:rsidRDefault="004C05DA">
      <w:pPr>
        <w:pStyle w:val="TOC2"/>
        <w:rPr>
          <w:rFonts w:asciiTheme="minorHAnsi" w:eastAsiaTheme="minorEastAsia" w:hAnsiTheme="minorHAnsi" w:cstheme="minorBidi"/>
          <w:noProof w:val="0"/>
          <w:color w:val="auto"/>
          <w:kern w:val="2"/>
          <w:sz w:val="24"/>
          <w:szCs w:val="24"/>
          <w14:ligatures w14:val="standardContextual"/>
        </w:rPr>
      </w:pPr>
      <w:hyperlink w:anchor="_Toc225155789" w:history="1">
        <w:r w:rsidRPr="000F23E0">
          <w:rPr>
            <w:rStyle w:val="Hyperlink"/>
            <w:noProof w:val="0"/>
          </w:rPr>
          <w:t>Urban Rivers and Catchments Program</w:t>
        </w:r>
        <w:r w:rsidRPr="000F23E0">
          <w:rPr>
            <w:noProof w:val="0"/>
            <w:webHidden/>
          </w:rPr>
          <w:tab/>
        </w:r>
        <w:r w:rsidRPr="000F23E0">
          <w:rPr>
            <w:noProof w:val="0"/>
            <w:webHidden/>
          </w:rPr>
          <w:fldChar w:fldCharType="begin"/>
        </w:r>
        <w:r w:rsidRPr="000F23E0">
          <w:rPr>
            <w:noProof w:val="0"/>
            <w:webHidden/>
          </w:rPr>
          <w:instrText xml:space="preserve"> PAGEREF _Toc225155789 \h </w:instrText>
        </w:r>
        <w:r w:rsidRPr="000F23E0">
          <w:rPr>
            <w:noProof w:val="0"/>
            <w:webHidden/>
          </w:rPr>
        </w:r>
        <w:r w:rsidRPr="000F23E0">
          <w:rPr>
            <w:noProof w:val="0"/>
            <w:webHidden/>
          </w:rPr>
          <w:fldChar w:fldCharType="separate"/>
        </w:r>
        <w:r w:rsidRPr="000F23E0">
          <w:rPr>
            <w:noProof w:val="0"/>
            <w:webHidden/>
          </w:rPr>
          <w:t>64</w:t>
        </w:r>
        <w:r w:rsidRPr="000F23E0">
          <w:rPr>
            <w:noProof w:val="0"/>
            <w:webHidden/>
          </w:rPr>
          <w:fldChar w:fldCharType="end"/>
        </w:r>
      </w:hyperlink>
    </w:p>
    <w:p w14:paraId="1CF94779" w14:textId="4A64CAE8" w:rsidR="004C05DA" w:rsidRPr="000F23E0" w:rsidRDefault="004C05DA">
      <w:pPr>
        <w:pStyle w:val="TOC1"/>
        <w:rPr>
          <w:rFonts w:asciiTheme="minorHAnsi" w:eastAsiaTheme="minorEastAsia" w:hAnsiTheme="minorHAnsi" w:cstheme="minorBidi"/>
          <w:b w:val="0"/>
          <w:noProof w:val="0"/>
          <w:color w:val="auto"/>
          <w:kern w:val="2"/>
          <w:szCs w:val="24"/>
          <w14:ligatures w14:val="standardContextual"/>
        </w:rPr>
      </w:pPr>
      <w:hyperlink w:anchor="_Toc225155792" w:history="1">
        <w:r w:rsidRPr="000F23E0">
          <w:rPr>
            <w:rStyle w:val="Hyperlink"/>
            <w:noProof w:val="0"/>
          </w:rPr>
          <w:t>Chapter 7: Biodiversity conservation (terrestrial and aquatic)</w:t>
        </w:r>
        <w:r w:rsidRPr="000F23E0">
          <w:rPr>
            <w:noProof w:val="0"/>
            <w:webHidden/>
          </w:rPr>
          <w:tab/>
        </w:r>
        <w:r w:rsidRPr="000F23E0">
          <w:rPr>
            <w:noProof w:val="0"/>
            <w:webHidden/>
          </w:rPr>
          <w:fldChar w:fldCharType="begin"/>
        </w:r>
        <w:r w:rsidRPr="000F23E0">
          <w:rPr>
            <w:noProof w:val="0"/>
            <w:webHidden/>
          </w:rPr>
          <w:instrText xml:space="preserve"> PAGEREF _Toc225155792 \h </w:instrText>
        </w:r>
        <w:r w:rsidRPr="000F23E0">
          <w:rPr>
            <w:noProof w:val="0"/>
            <w:webHidden/>
          </w:rPr>
        </w:r>
        <w:r w:rsidRPr="000F23E0">
          <w:rPr>
            <w:noProof w:val="0"/>
            <w:webHidden/>
          </w:rPr>
          <w:fldChar w:fldCharType="separate"/>
        </w:r>
        <w:r w:rsidRPr="000F23E0">
          <w:rPr>
            <w:noProof w:val="0"/>
            <w:webHidden/>
          </w:rPr>
          <w:t>67</w:t>
        </w:r>
        <w:r w:rsidRPr="000F23E0">
          <w:rPr>
            <w:noProof w:val="0"/>
            <w:webHidden/>
          </w:rPr>
          <w:fldChar w:fldCharType="end"/>
        </w:r>
      </w:hyperlink>
    </w:p>
    <w:p w14:paraId="2237BC4F" w14:textId="130E2E58" w:rsidR="004C05DA" w:rsidRPr="000F23E0" w:rsidRDefault="004C05DA">
      <w:pPr>
        <w:pStyle w:val="TOC2"/>
        <w:rPr>
          <w:rFonts w:asciiTheme="minorHAnsi" w:eastAsiaTheme="minorEastAsia" w:hAnsiTheme="minorHAnsi" w:cstheme="minorBidi"/>
          <w:noProof w:val="0"/>
          <w:color w:val="auto"/>
          <w:kern w:val="2"/>
          <w:sz w:val="24"/>
          <w:szCs w:val="24"/>
          <w14:ligatures w14:val="standardContextual"/>
        </w:rPr>
      </w:pPr>
      <w:hyperlink w:anchor="_Toc225155793" w:history="1">
        <w:r w:rsidRPr="000F23E0">
          <w:rPr>
            <w:rStyle w:val="Hyperlink"/>
            <w:noProof w:val="0"/>
          </w:rPr>
          <w:t>Saving Koalas Fund</w:t>
        </w:r>
        <w:r w:rsidRPr="000F23E0">
          <w:rPr>
            <w:noProof w:val="0"/>
            <w:webHidden/>
          </w:rPr>
          <w:tab/>
        </w:r>
        <w:r w:rsidRPr="000F23E0">
          <w:rPr>
            <w:noProof w:val="0"/>
            <w:webHidden/>
          </w:rPr>
          <w:fldChar w:fldCharType="begin"/>
        </w:r>
        <w:r w:rsidRPr="000F23E0">
          <w:rPr>
            <w:noProof w:val="0"/>
            <w:webHidden/>
          </w:rPr>
          <w:instrText xml:space="preserve"> PAGEREF _Toc225155793 \h </w:instrText>
        </w:r>
        <w:r w:rsidRPr="000F23E0">
          <w:rPr>
            <w:noProof w:val="0"/>
            <w:webHidden/>
          </w:rPr>
        </w:r>
        <w:r w:rsidRPr="000F23E0">
          <w:rPr>
            <w:noProof w:val="0"/>
            <w:webHidden/>
          </w:rPr>
          <w:fldChar w:fldCharType="separate"/>
        </w:r>
        <w:r w:rsidRPr="000F23E0">
          <w:rPr>
            <w:noProof w:val="0"/>
            <w:webHidden/>
          </w:rPr>
          <w:t>68</w:t>
        </w:r>
        <w:r w:rsidRPr="000F23E0">
          <w:rPr>
            <w:noProof w:val="0"/>
            <w:webHidden/>
          </w:rPr>
          <w:fldChar w:fldCharType="end"/>
        </w:r>
      </w:hyperlink>
    </w:p>
    <w:p w14:paraId="4063E796" w14:textId="488339C3" w:rsidR="004C05DA" w:rsidRPr="000F23E0" w:rsidRDefault="004C05DA">
      <w:pPr>
        <w:pStyle w:val="TOC2"/>
        <w:rPr>
          <w:rFonts w:asciiTheme="minorHAnsi" w:eastAsiaTheme="minorEastAsia" w:hAnsiTheme="minorHAnsi" w:cstheme="minorBidi"/>
          <w:noProof w:val="0"/>
          <w:color w:val="auto"/>
          <w:kern w:val="2"/>
          <w:sz w:val="24"/>
          <w:szCs w:val="24"/>
          <w14:ligatures w14:val="standardContextual"/>
        </w:rPr>
      </w:pPr>
      <w:hyperlink w:anchor="_Toc225155797" w:history="1">
        <w:r w:rsidRPr="000F23E0">
          <w:rPr>
            <w:rStyle w:val="Hyperlink"/>
            <w:noProof w:val="0"/>
          </w:rPr>
          <w:t>Reef 2050</w:t>
        </w:r>
        <w:r w:rsidRPr="000F23E0">
          <w:rPr>
            <w:noProof w:val="0"/>
            <w:webHidden/>
          </w:rPr>
          <w:tab/>
        </w:r>
        <w:r w:rsidRPr="000F23E0">
          <w:rPr>
            <w:noProof w:val="0"/>
            <w:webHidden/>
          </w:rPr>
          <w:fldChar w:fldCharType="begin"/>
        </w:r>
        <w:r w:rsidRPr="000F23E0">
          <w:rPr>
            <w:noProof w:val="0"/>
            <w:webHidden/>
          </w:rPr>
          <w:instrText xml:space="preserve"> PAGEREF _Toc225155797 \h </w:instrText>
        </w:r>
        <w:r w:rsidRPr="000F23E0">
          <w:rPr>
            <w:noProof w:val="0"/>
            <w:webHidden/>
          </w:rPr>
        </w:r>
        <w:r w:rsidRPr="000F23E0">
          <w:rPr>
            <w:noProof w:val="0"/>
            <w:webHidden/>
          </w:rPr>
          <w:fldChar w:fldCharType="separate"/>
        </w:r>
        <w:r w:rsidRPr="000F23E0">
          <w:rPr>
            <w:noProof w:val="0"/>
            <w:webHidden/>
          </w:rPr>
          <w:t>71</w:t>
        </w:r>
        <w:r w:rsidRPr="000F23E0">
          <w:rPr>
            <w:noProof w:val="0"/>
            <w:webHidden/>
          </w:rPr>
          <w:fldChar w:fldCharType="end"/>
        </w:r>
      </w:hyperlink>
    </w:p>
    <w:p w14:paraId="6449DEE7" w14:textId="536965F0" w:rsidR="004C05DA" w:rsidRPr="000F23E0" w:rsidRDefault="004C05DA">
      <w:pPr>
        <w:pStyle w:val="TOC1"/>
        <w:rPr>
          <w:rFonts w:asciiTheme="minorHAnsi" w:eastAsiaTheme="minorEastAsia" w:hAnsiTheme="minorHAnsi" w:cstheme="minorBidi"/>
          <w:b w:val="0"/>
          <w:noProof w:val="0"/>
          <w:color w:val="auto"/>
          <w:kern w:val="2"/>
          <w:szCs w:val="24"/>
          <w14:ligatures w14:val="standardContextual"/>
        </w:rPr>
      </w:pPr>
      <w:hyperlink w:anchor="_Toc225155800" w:history="1">
        <w:r w:rsidRPr="000F23E0">
          <w:rPr>
            <w:rStyle w:val="Hyperlink"/>
            <w:noProof w:val="0"/>
          </w:rPr>
          <w:t>Chapter 8: Sustainable water and wastewater management</w:t>
        </w:r>
        <w:r w:rsidRPr="000F23E0">
          <w:rPr>
            <w:noProof w:val="0"/>
            <w:webHidden/>
          </w:rPr>
          <w:tab/>
        </w:r>
        <w:r w:rsidRPr="000F23E0">
          <w:rPr>
            <w:noProof w:val="0"/>
            <w:webHidden/>
          </w:rPr>
          <w:fldChar w:fldCharType="begin"/>
        </w:r>
        <w:r w:rsidRPr="000F23E0">
          <w:rPr>
            <w:noProof w:val="0"/>
            <w:webHidden/>
          </w:rPr>
          <w:instrText xml:space="preserve"> PAGEREF _Toc225155800 \h </w:instrText>
        </w:r>
        <w:r w:rsidRPr="000F23E0">
          <w:rPr>
            <w:noProof w:val="0"/>
            <w:webHidden/>
          </w:rPr>
        </w:r>
        <w:r w:rsidRPr="000F23E0">
          <w:rPr>
            <w:noProof w:val="0"/>
            <w:webHidden/>
          </w:rPr>
          <w:fldChar w:fldCharType="separate"/>
        </w:r>
        <w:r w:rsidRPr="000F23E0">
          <w:rPr>
            <w:noProof w:val="0"/>
            <w:webHidden/>
          </w:rPr>
          <w:t>74</w:t>
        </w:r>
        <w:r w:rsidRPr="000F23E0">
          <w:rPr>
            <w:noProof w:val="0"/>
            <w:webHidden/>
          </w:rPr>
          <w:fldChar w:fldCharType="end"/>
        </w:r>
      </w:hyperlink>
    </w:p>
    <w:p w14:paraId="00F93F08" w14:textId="6285DF32" w:rsidR="004C05DA" w:rsidRPr="000F23E0" w:rsidRDefault="004C05DA">
      <w:pPr>
        <w:pStyle w:val="TOC2"/>
        <w:rPr>
          <w:rFonts w:asciiTheme="minorHAnsi" w:eastAsiaTheme="minorEastAsia" w:hAnsiTheme="minorHAnsi" w:cstheme="minorBidi"/>
          <w:noProof w:val="0"/>
          <w:color w:val="auto"/>
          <w:kern w:val="2"/>
          <w:sz w:val="24"/>
          <w:szCs w:val="24"/>
          <w14:ligatures w14:val="standardContextual"/>
        </w:rPr>
      </w:pPr>
      <w:hyperlink w:anchor="_Toc225155801" w:history="1">
        <w:r w:rsidRPr="000F23E0">
          <w:rPr>
            <w:rStyle w:val="Hyperlink"/>
            <w:noProof w:val="0"/>
          </w:rPr>
          <w:t>Murray–Darling Basin Plan</w:t>
        </w:r>
        <w:r w:rsidRPr="000F23E0">
          <w:rPr>
            <w:noProof w:val="0"/>
            <w:webHidden/>
          </w:rPr>
          <w:tab/>
        </w:r>
        <w:r w:rsidRPr="000F23E0">
          <w:rPr>
            <w:noProof w:val="0"/>
            <w:webHidden/>
          </w:rPr>
          <w:fldChar w:fldCharType="begin"/>
        </w:r>
        <w:r w:rsidRPr="000F23E0">
          <w:rPr>
            <w:noProof w:val="0"/>
            <w:webHidden/>
          </w:rPr>
          <w:instrText xml:space="preserve"> PAGEREF _Toc225155801 \h </w:instrText>
        </w:r>
        <w:r w:rsidRPr="000F23E0">
          <w:rPr>
            <w:noProof w:val="0"/>
            <w:webHidden/>
          </w:rPr>
        </w:r>
        <w:r w:rsidRPr="000F23E0">
          <w:rPr>
            <w:noProof w:val="0"/>
            <w:webHidden/>
          </w:rPr>
          <w:fldChar w:fldCharType="separate"/>
        </w:r>
        <w:r w:rsidRPr="000F23E0">
          <w:rPr>
            <w:noProof w:val="0"/>
            <w:webHidden/>
          </w:rPr>
          <w:t>75</w:t>
        </w:r>
        <w:r w:rsidRPr="000F23E0">
          <w:rPr>
            <w:noProof w:val="0"/>
            <w:webHidden/>
          </w:rPr>
          <w:fldChar w:fldCharType="end"/>
        </w:r>
      </w:hyperlink>
    </w:p>
    <w:p w14:paraId="518B8608" w14:textId="72248721" w:rsidR="004C05DA" w:rsidRPr="000F23E0" w:rsidRDefault="004C05DA">
      <w:pPr>
        <w:pStyle w:val="TOC1"/>
        <w:rPr>
          <w:rFonts w:asciiTheme="minorHAnsi" w:eastAsiaTheme="minorEastAsia" w:hAnsiTheme="minorHAnsi" w:cstheme="minorBidi"/>
          <w:b w:val="0"/>
          <w:noProof w:val="0"/>
          <w:color w:val="auto"/>
          <w:kern w:val="2"/>
          <w:szCs w:val="24"/>
          <w14:ligatures w14:val="standardContextual"/>
        </w:rPr>
      </w:pPr>
      <w:hyperlink w:anchor="_Toc225155804" w:history="1">
        <w:r w:rsidRPr="000F23E0">
          <w:rPr>
            <w:rStyle w:val="Hyperlink"/>
            <w:noProof w:val="0"/>
          </w:rPr>
          <w:t>Chapter 9: Circular economy</w:t>
        </w:r>
        <w:r w:rsidRPr="000F23E0">
          <w:rPr>
            <w:noProof w:val="0"/>
            <w:webHidden/>
          </w:rPr>
          <w:tab/>
        </w:r>
        <w:r w:rsidRPr="000F23E0">
          <w:rPr>
            <w:noProof w:val="0"/>
            <w:webHidden/>
          </w:rPr>
          <w:fldChar w:fldCharType="begin"/>
        </w:r>
        <w:r w:rsidRPr="000F23E0">
          <w:rPr>
            <w:noProof w:val="0"/>
            <w:webHidden/>
          </w:rPr>
          <w:instrText xml:space="preserve"> PAGEREF _Toc225155804 \h </w:instrText>
        </w:r>
        <w:r w:rsidRPr="000F23E0">
          <w:rPr>
            <w:noProof w:val="0"/>
            <w:webHidden/>
          </w:rPr>
        </w:r>
        <w:r w:rsidRPr="000F23E0">
          <w:rPr>
            <w:noProof w:val="0"/>
            <w:webHidden/>
          </w:rPr>
          <w:fldChar w:fldCharType="separate"/>
        </w:r>
        <w:r w:rsidRPr="000F23E0">
          <w:rPr>
            <w:noProof w:val="0"/>
            <w:webHidden/>
          </w:rPr>
          <w:t>80</w:t>
        </w:r>
        <w:r w:rsidRPr="000F23E0">
          <w:rPr>
            <w:noProof w:val="0"/>
            <w:webHidden/>
          </w:rPr>
          <w:fldChar w:fldCharType="end"/>
        </w:r>
      </w:hyperlink>
    </w:p>
    <w:p w14:paraId="70A1BBDE" w14:textId="6959D87F" w:rsidR="004C05DA" w:rsidRPr="000F23E0" w:rsidRDefault="004C05DA">
      <w:pPr>
        <w:pStyle w:val="TOC2"/>
        <w:rPr>
          <w:rFonts w:asciiTheme="minorHAnsi" w:eastAsiaTheme="minorEastAsia" w:hAnsiTheme="minorHAnsi" w:cstheme="minorBidi"/>
          <w:noProof w:val="0"/>
          <w:color w:val="auto"/>
          <w:kern w:val="2"/>
          <w:sz w:val="24"/>
          <w:szCs w:val="24"/>
          <w14:ligatures w14:val="standardContextual"/>
        </w:rPr>
      </w:pPr>
      <w:hyperlink w:anchor="_Toc225155805" w:history="1">
        <w:r w:rsidRPr="000F23E0">
          <w:rPr>
            <w:rStyle w:val="Hyperlink"/>
            <w:noProof w:val="0"/>
          </w:rPr>
          <w:t>Recycling Modernisation Fund</w:t>
        </w:r>
        <w:r w:rsidRPr="000F23E0">
          <w:rPr>
            <w:noProof w:val="0"/>
            <w:webHidden/>
          </w:rPr>
          <w:tab/>
        </w:r>
        <w:r w:rsidRPr="000F23E0">
          <w:rPr>
            <w:noProof w:val="0"/>
            <w:webHidden/>
          </w:rPr>
          <w:fldChar w:fldCharType="begin"/>
        </w:r>
        <w:r w:rsidRPr="000F23E0">
          <w:rPr>
            <w:noProof w:val="0"/>
            <w:webHidden/>
          </w:rPr>
          <w:instrText xml:space="preserve"> PAGEREF _Toc225155805 \h </w:instrText>
        </w:r>
        <w:r w:rsidRPr="000F23E0">
          <w:rPr>
            <w:noProof w:val="0"/>
            <w:webHidden/>
          </w:rPr>
        </w:r>
        <w:r w:rsidRPr="000F23E0">
          <w:rPr>
            <w:noProof w:val="0"/>
            <w:webHidden/>
          </w:rPr>
          <w:fldChar w:fldCharType="separate"/>
        </w:r>
        <w:r w:rsidRPr="000F23E0">
          <w:rPr>
            <w:noProof w:val="0"/>
            <w:webHidden/>
          </w:rPr>
          <w:t>81</w:t>
        </w:r>
        <w:r w:rsidRPr="000F23E0">
          <w:rPr>
            <w:noProof w:val="0"/>
            <w:webHidden/>
          </w:rPr>
          <w:fldChar w:fldCharType="end"/>
        </w:r>
      </w:hyperlink>
    </w:p>
    <w:p w14:paraId="1793A60F" w14:textId="1A97E275" w:rsidR="004C05DA" w:rsidRPr="000F23E0" w:rsidRDefault="004C05DA">
      <w:pPr>
        <w:pStyle w:val="TOC1"/>
        <w:rPr>
          <w:rFonts w:asciiTheme="minorHAnsi" w:eastAsiaTheme="minorEastAsia" w:hAnsiTheme="minorHAnsi" w:cstheme="minorBidi"/>
          <w:b w:val="0"/>
          <w:noProof w:val="0"/>
          <w:color w:val="auto"/>
          <w:kern w:val="2"/>
          <w:szCs w:val="24"/>
          <w14:ligatures w14:val="standardContextual"/>
        </w:rPr>
      </w:pPr>
      <w:hyperlink w:anchor="_Toc225155809" w:history="1">
        <w:r w:rsidRPr="000F23E0">
          <w:rPr>
            <w:rStyle w:val="Hyperlink"/>
            <w:noProof w:val="0"/>
          </w:rPr>
          <w:t>Chapter 10: Eligibility process and reporting</w:t>
        </w:r>
        <w:r w:rsidRPr="000F23E0">
          <w:rPr>
            <w:noProof w:val="0"/>
            <w:webHidden/>
          </w:rPr>
          <w:tab/>
        </w:r>
        <w:r w:rsidRPr="000F23E0">
          <w:rPr>
            <w:noProof w:val="0"/>
            <w:webHidden/>
          </w:rPr>
          <w:fldChar w:fldCharType="begin"/>
        </w:r>
        <w:r w:rsidRPr="000F23E0">
          <w:rPr>
            <w:noProof w:val="0"/>
            <w:webHidden/>
          </w:rPr>
          <w:instrText xml:space="preserve"> PAGEREF _Toc225155809 \h </w:instrText>
        </w:r>
        <w:r w:rsidRPr="000F23E0">
          <w:rPr>
            <w:noProof w:val="0"/>
            <w:webHidden/>
          </w:rPr>
        </w:r>
        <w:r w:rsidRPr="000F23E0">
          <w:rPr>
            <w:noProof w:val="0"/>
            <w:webHidden/>
          </w:rPr>
          <w:fldChar w:fldCharType="separate"/>
        </w:r>
        <w:r w:rsidRPr="000F23E0">
          <w:rPr>
            <w:noProof w:val="0"/>
            <w:webHidden/>
          </w:rPr>
          <w:t>85</w:t>
        </w:r>
        <w:r w:rsidRPr="000F23E0">
          <w:rPr>
            <w:noProof w:val="0"/>
            <w:webHidden/>
          </w:rPr>
          <w:fldChar w:fldCharType="end"/>
        </w:r>
      </w:hyperlink>
    </w:p>
    <w:p w14:paraId="165657B5" w14:textId="13C80753" w:rsidR="004C05DA" w:rsidRPr="000F23E0" w:rsidRDefault="004C05DA">
      <w:pPr>
        <w:pStyle w:val="TOC2"/>
        <w:rPr>
          <w:rFonts w:asciiTheme="minorHAnsi" w:eastAsiaTheme="minorEastAsia" w:hAnsiTheme="minorHAnsi" w:cstheme="minorBidi"/>
          <w:noProof w:val="0"/>
          <w:color w:val="auto"/>
          <w:kern w:val="2"/>
          <w:sz w:val="24"/>
          <w:szCs w:val="24"/>
          <w14:ligatures w14:val="standardContextual"/>
        </w:rPr>
      </w:pPr>
      <w:hyperlink w:anchor="_Toc225155810" w:history="1">
        <w:r w:rsidRPr="000F23E0">
          <w:rPr>
            <w:rStyle w:val="Hyperlink"/>
            <w:noProof w:val="0"/>
          </w:rPr>
          <w:t>Selection of Eligible Green Expenditures</w:t>
        </w:r>
        <w:r w:rsidRPr="000F23E0">
          <w:rPr>
            <w:noProof w:val="0"/>
            <w:webHidden/>
          </w:rPr>
          <w:tab/>
        </w:r>
        <w:r w:rsidRPr="000F23E0">
          <w:rPr>
            <w:noProof w:val="0"/>
            <w:webHidden/>
          </w:rPr>
          <w:fldChar w:fldCharType="begin"/>
        </w:r>
        <w:r w:rsidRPr="000F23E0">
          <w:rPr>
            <w:noProof w:val="0"/>
            <w:webHidden/>
          </w:rPr>
          <w:instrText xml:space="preserve"> PAGEREF _Toc225155810 \h </w:instrText>
        </w:r>
        <w:r w:rsidRPr="000F23E0">
          <w:rPr>
            <w:noProof w:val="0"/>
            <w:webHidden/>
          </w:rPr>
        </w:r>
        <w:r w:rsidRPr="000F23E0">
          <w:rPr>
            <w:noProof w:val="0"/>
            <w:webHidden/>
          </w:rPr>
          <w:fldChar w:fldCharType="separate"/>
        </w:r>
        <w:r w:rsidRPr="000F23E0">
          <w:rPr>
            <w:noProof w:val="0"/>
            <w:webHidden/>
          </w:rPr>
          <w:t>85</w:t>
        </w:r>
        <w:r w:rsidRPr="000F23E0">
          <w:rPr>
            <w:noProof w:val="0"/>
            <w:webHidden/>
          </w:rPr>
          <w:fldChar w:fldCharType="end"/>
        </w:r>
      </w:hyperlink>
    </w:p>
    <w:p w14:paraId="096F6E75" w14:textId="1C1BAEE3" w:rsidR="004C05DA" w:rsidRPr="000F23E0" w:rsidRDefault="004C05DA">
      <w:pPr>
        <w:pStyle w:val="TOC2"/>
        <w:rPr>
          <w:rFonts w:asciiTheme="minorHAnsi" w:eastAsiaTheme="minorEastAsia" w:hAnsiTheme="minorHAnsi" w:cstheme="minorBidi"/>
          <w:noProof w:val="0"/>
          <w:color w:val="auto"/>
          <w:kern w:val="2"/>
          <w:sz w:val="24"/>
          <w:szCs w:val="24"/>
          <w14:ligatures w14:val="standardContextual"/>
        </w:rPr>
      </w:pPr>
      <w:hyperlink w:anchor="_Toc225155811" w:history="1">
        <w:r w:rsidRPr="000F23E0">
          <w:rPr>
            <w:rStyle w:val="Hyperlink"/>
            <w:noProof w:val="0"/>
          </w:rPr>
          <w:t>Green Treasury Bonds eligibility window</w:t>
        </w:r>
        <w:r w:rsidRPr="000F23E0">
          <w:rPr>
            <w:noProof w:val="0"/>
            <w:webHidden/>
          </w:rPr>
          <w:tab/>
        </w:r>
        <w:r w:rsidRPr="000F23E0">
          <w:rPr>
            <w:noProof w:val="0"/>
            <w:webHidden/>
          </w:rPr>
          <w:fldChar w:fldCharType="begin"/>
        </w:r>
        <w:r w:rsidRPr="000F23E0">
          <w:rPr>
            <w:noProof w:val="0"/>
            <w:webHidden/>
          </w:rPr>
          <w:instrText xml:space="preserve"> PAGEREF _Toc225155811 \h </w:instrText>
        </w:r>
        <w:r w:rsidRPr="000F23E0">
          <w:rPr>
            <w:noProof w:val="0"/>
            <w:webHidden/>
          </w:rPr>
        </w:r>
        <w:r w:rsidRPr="000F23E0">
          <w:rPr>
            <w:noProof w:val="0"/>
            <w:webHidden/>
          </w:rPr>
          <w:fldChar w:fldCharType="separate"/>
        </w:r>
        <w:r w:rsidRPr="000F23E0">
          <w:rPr>
            <w:noProof w:val="0"/>
            <w:webHidden/>
          </w:rPr>
          <w:t>86</w:t>
        </w:r>
        <w:r w:rsidRPr="000F23E0">
          <w:rPr>
            <w:noProof w:val="0"/>
            <w:webHidden/>
          </w:rPr>
          <w:fldChar w:fldCharType="end"/>
        </w:r>
      </w:hyperlink>
    </w:p>
    <w:p w14:paraId="328BE5DF" w14:textId="6B4BA511" w:rsidR="004C05DA" w:rsidRPr="000F23E0" w:rsidRDefault="004C05DA">
      <w:pPr>
        <w:pStyle w:val="TOC2"/>
        <w:rPr>
          <w:rFonts w:asciiTheme="minorHAnsi" w:eastAsiaTheme="minorEastAsia" w:hAnsiTheme="minorHAnsi" w:cstheme="minorBidi"/>
          <w:noProof w:val="0"/>
          <w:color w:val="auto"/>
          <w:kern w:val="2"/>
          <w:sz w:val="24"/>
          <w:szCs w:val="24"/>
          <w14:ligatures w14:val="standardContextual"/>
        </w:rPr>
      </w:pPr>
      <w:hyperlink w:anchor="_Toc225155813" w:history="1">
        <w:r w:rsidRPr="000F23E0">
          <w:rPr>
            <w:rStyle w:val="Hyperlink"/>
            <w:noProof w:val="0"/>
          </w:rPr>
          <w:t>Approach to impact and allocation reporting</w:t>
        </w:r>
        <w:r w:rsidRPr="000F23E0">
          <w:rPr>
            <w:noProof w:val="0"/>
            <w:webHidden/>
          </w:rPr>
          <w:tab/>
        </w:r>
        <w:r w:rsidRPr="000F23E0">
          <w:rPr>
            <w:noProof w:val="0"/>
            <w:webHidden/>
          </w:rPr>
          <w:fldChar w:fldCharType="begin"/>
        </w:r>
        <w:r w:rsidRPr="000F23E0">
          <w:rPr>
            <w:noProof w:val="0"/>
            <w:webHidden/>
          </w:rPr>
          <w:instrText xml:space="preserve"> PAGEREF _Toc225155813 \h </w:instrText>
        </w:r>
        <w:r w:rsidRPr="000F23E0">
          <w:rPr>
            <w:noProof w:val="0"/>
            <w:webHidden/>
          </w:rPr>
        </w:r>
        <w:r w:rsidRPr="000F23E0">
          <w:rPr>
            <w:noProof w:val="0"/>
            <w:webHidden/>
          </w:rPr>
          <w:fldChar w:fldCharType="separate"/>
        </w:r>
        <w:r w:rsidRPr="000F23E0">
          <w:rPr>
            <w:noProof w:val="0"/>
            <w:webHidden/>
          </w:rPr>
          <w:t>86</w:t>
        </w:r>
        <w:r w:rsidRPr="000F23E0">
          <w:rPr>
            <w:noProof w:val="0"/>
            <w:webHidden/>
          </w:rPr>
          <w:fldChar w:fldCharType="end"/>
        </w:r>
      </w:hyperlink>
    </w:p>
    <w:p w14:paraId="3BFE6B5D" w14:textId="6C6935E7" w:rsidR="004C05DA" w:rsidRPr="000F23E0" w:rsidRDefault="004C05DA">
      <w:pPr>
        <w:pStyle w:val="TOC1"/>
        <w:rPr>
          <w:rFonts w:asciiTheme="minorHAnsi" w:eastAsiaTheme="minorEastAsia" w:hAnsiTheme="minorHAnsi" w:cstheme="minorBidi"/>
          <w:b w:val="0"/>
          <w:noProof w:val="0"/>
          <w:color w:val="auto"/>
          <w:kern w:val="2"/>
          <w:szCs w:val="24"/>
          <w14:ligatures w14:val="standardContextual"/>
        </w:rPr>
      </w:pPr>
      <w:hyperlink w:anchor="_Toc225155814" w:history="1">
        <w:r w:rsidRPr="000F23E0">
          <w:rPr>
            <w:rStyle w:val="Hyperlink"/>
            <w:noProof w:val="0"/>
          </w:rPr>
          <w:t>Statement by the Co</w:t>
        </w:r>
        <w:r w:rsidRPr="000F23E0">
          <w:rPr>
            <w:rStyle w:val="Hyperlink"/>
            <w:noProof w:val="0"/>
          </w:rPr>
          <w:noBreakHyphen/>
          <w:t>Chairs of the Green Bond Committee</w:t>
        </w:r>
        <w:r w:rsidRPr="000F23E0">
          <w:rPr>
            <w:noProof w:val="0"/>
            <w:webHidden/>
          </w:rPr>
          <w:tab/>
        </w:r>
        <w:r w:rsidRPr="000F23E0">
          <w:rPr>
            <w:noProof w:val="0"/>
            <w:webHidden/>
          </w:rPr>
          <w:fldChar w:fldCharType="begin"/>
        </w:r>
        <w:r w:rsidRPr="000F23E0">
          <w:rPr>
            <w:noProof w:val="0"/>
            <w:webHidden/>
          </w:rPr>
          <w:instrText xml:space="preserve"> PAGEREF _Toc225155814 \h </w:instrText>
        </w:r>
        <w:r w:rsidRPr="000F23E0">
          <w:rPr>
            <w:noProof w:val="0"/>
            <w:webHidden/>
          </w:rPr>
        </w:r>
        <w:r w:rsidRPr="000F23E0">
          <w:rPr>
            <w:noProof w:val="0"/>
            <w:webHidden/>
          </w:rPr>
          <w:fldChar w:fldCharType="separate"/>
        </w:r>
        <w:r w:rsidRPr="000F23E0">
          <w:rPr>
            <w:noProof w:val="0"/>
            <w:webHidden/>
          </w:rPr>
          <w:t>88</w:t>
        </w:r>
        <w:r w:rsidRPr="000F23E0">
          <w:rPr>
            <w:noProof w:val="0"/>
            <w:webHidden/>
          </w:rPr>
          <w:fldChar w:fldCharType="end"/>
        </w:r>
      </w:hyperlink>
    </w:p>
    <w:p w14:paraId="2A698FF9" w14:textId="6073F21E" w:rsidR="004C05DA" w:rsidRPr="000F23E0" w:rsidRDefault="004C05DA">
      <w:pPr>
        <w:pStyle w:val="TOC1"/>
        <w:rPr>
          <w:rFonts w:asciiTheme="minorHAnsi" w:eastAsiaTheme="minorEastAsia" w:hAnsiTheme="minorHAnsi" w:cstheme="minorBidi"/>
          <w:b w:val="0"/>
          <w:noProof w:val="0"/>
          <w:color w:val="auto"/>
          <w:kern w:val="2"/>
          <w:szCs w:val="24"/>
          <w14:ligatures w14:val="standardContextual"/>
        </w:rPr>
      </w:pPr>
      <w:hyperlink w:anchor="_Toc225155815" w:history="1">
        <w:r w:rsidRPr="000F23E0">
          <w:rPr>
            <w:rStyle w:val="Hyperlink"/>
            <w:noProof w:val="0"/>
          </w:rPr>
          <w:t>Assurance Reports</w:t>
        </w:r>
        <w:r w:rsidRPr="000F23E0">
          <w:rPr>
            <w:noProof w:val="0"/>
            <w:webHidden/>
          </w:rPr>
          <w:tab/>
        </w:r>
        <w:r w:rsidRPr="000F23E0">
          <w:rPr>
            <w:noProof w:val="0"/>
            <w:webHidden/>
          </w:rPr>
          <w:fldChar w:fldCharType="begin"/>
        </w:r>
        <w:r w:rsidRPr="000F23E0">
          <w:rPr>
            <w:noProof w:val="0"/>
            <w:webHidden/>
          </w:rPr>
          <w:instrText xml:space="preserve"> PAGEREF _Toc225155815 \h </w:instrText>
        </w:r>
        <w:r w:rsidRPr="000F23E0">
          <w:rPr>
            <w:noProof w:val="0"/>
            <w:webHidden/>
          </w:rPr>
        </w:r>
        <w:r w:rsidRPr="000F23E0">
          <w:rPr>
            <w:noProof w:val="0"/>
            <w:webHidden/>
          </w:rPr>
          <w:fldChar w:fldCharType="separate"/>
        </w:r>
        <w:r w:rsidRPr="000F23E0">
          <w:rPr>
            <w:noProof w:val="0"/>
            <w:webHidden/>
          </w:rPr>
          <w:t>89</w:t>
        </w:r>
        <w:r w:rsidRPr="000F23E0">
          <w:rPr>
            <w:noProof w:val="0"/>
            <w:webHidden/>
          </w:rPr>
          <w:fldChar w:fldCharType="end"/>
        </w:r>
      </w:hyperlink>
    </w:p>
    <w:p w14:paraId="2EC51E59" w14:textId="66A93949" w:rsidR="004C05DA" w:rsidRPr="000F23E0" w:rsidRDefault="004C05DA">
      <w:pPr>
        <w:pStyle w:val="TOC2"/>
        <w:rPr>
          <w:rFonts w:asciiTheme="minorHAnsi" w:eastAsiaTheme="minorEastAsia" w:hAnsiTheme="minorHAnsi" w:cstheme="minorBidi"/>
          <w:noProof w:val="0"/>
          <w:color w:val="auto"/>
          <w:kern w:val="2"/>
          <w:sz w:val="24"/>
          <w:szCs w:val="24"/>
          <w14:ligatures w14:val="standardContextual"/>
        </w:rPr>
      </w:pPr>
      <w:hyperlink w:anchor="_Toc225155816" w:history="1">
        <w:r w:rsidRPr="000F23E0">
          <w:rPr>
            <w:rStyle w:val="Hyperlink"/>
            <w:noProof w:val="0"/>
          </w:rPr>
          <w:t>Third party verification</w:t>
        </w:r>
        <w:r w:rsidRPr="000F23E0">
          <w:rPr>
            <w:noProof w:val="0"/>
            <w:webHidden/>
          </w:rPr>
          <w:tab/>
        </w:r>
        <w:r w:rsidRPr="000F23E0">
          <w:rPr>
            <w:noProof w:val="0"/>
            <w:webHidden/>
          </w:rPr>
          <w:fldChar w:fldCharType="begin"/>
        </w:r>
        <w:r w:rsidRPr="000F23E0">
          <w:rPr>
            <w:noProof w:val="0"/>
            <w:webHidden/>
          </w:rPr>
          <w:instrText xml:space="preserve"> PAGEREF _Toc225155816 \h </w:instrText>
        </w:r>
        <w:r w:rsidRPr="000F23E0">
          <w:rPr>
            <w:noProof w:val="0"/>
            <w:webHidden/>
          </w:rPr>
        </w:r>
        <w:r w:rsidRPr="000F23E0">
          <w:rPr>
            <w:noProof w:val="0"/>
            <w:webHidden/>
          </w:rPr>
          <w:fldChar w:fldCharType="separate"/>
        </w:r>
        <w:r w:rsidRPr="000F23E0">
          <w:rPr>
            <w:noProof w:val="0"/>
            <w:webHidden/>
          </w:rPr>
          <w:t>89</w:t>
        </w:r>
        <w:r w:rsidRPr="000F23E0">
          <w:rPr>
            <w:noProof w:val="0"/>
            <w:webHidden/>
          </w:rPr>
          <w:fldChar w:fldCharType="end"/>
        </w:r>
      </w:hyperlink>
    </w:p>
    <w:p w14:paraId="5B29FC78" w14:textId="10456934" w:rsidR="004C05DA" w:rsidRPr="000F23E0" w:rsidRDefault="004C05DA">
      <w:pPr>
        <w:pStyle w:val="TOC1"/>
        <w:rPr>
          <w:rFonts w:asciiTheme="minorHAnsi" w:eastAsiaTheme="minorEastAsia" w:hAnsiTheme="minorHAnsi" w:cstheme="minorBidi"/>
          <w:b w:val="0"/>
          <w:noProof w:val="0"/>
          <w:color w:val="auto"/>
          <w:kern w:val="2"/>
          <w:szCs w:val="24"/>
          <w14:ligatures w14:val="standardContextual"/>
        </w:rPr>
      </w:pPr>
      <w:hyperlink w:anchor="_Toc225155817" w:history="1">
        <w:r w:rsidRPr="000F23E0">
          <w:rPr>
            <w:rStyle w:val="Hyperlink"/>
            <w:noProof w:val="0"/>
          </w:rPr>
          <w:t>Disclaimer</w:t>
        </w:r>
        <w:r w:rsidRPr="000F23E0">
          <w:rPr>
            <w:noProof w:val="0"/>
            <w:webHidden/>
          </w:rPr>
          <w:tab/>
        </w:r>
        <w:r w:rsidRPr="000F23E0">
          <w:rPr>
            <w:noProof w:val="0"/>
            <w:webHidden/>
          </w:rPr>
          <w:fldChar w:fldCharType="begin"/>
        </w:r>
        <w:r w:rsidRPr="000F23E0">
          <w:rPr>
            <w:noProof w:val="0"/>
            <w:webHidden/>
          </w:rPr>
          <w:instrText xml:space="preserve"> PAGEREF _Toc225155817 \h </w:instrText>
        </w:r>
        <w:r w:rsidRPr="000F23E0">
          <w:rPr>
            <w:noProof w:val="0"/>
            <w:webHidden/>
          </w:rPr>
        </w:r>
        <w:r w:rsidRPr="000F23E0">
          <w:rPr>
            <w:noProof w:val="0"/>
            <w:webHidden/>
          </w:rPr>
          <w:fldChar w:fldCharType="separate"/>
        </w:r>
        <w:r w:rsidRPr="000F23E0">
          <w:rPr>
            <w:noProof w:val="0"/>
            <w:webHidden/>
          </w:rPr>
          <w:t>92</w:t>
        </w:r>
        <w:r w:rsidRPr="000F23E0">
          <w:rPr>
            <w:noProof w:val="0"/>
            <w:webHidden/>
          </w:rPr>
          <w:fldChar w:fldCharType="end"/>
        </w:r>
      </w:hyperlink>
    </w:p>
    <w:p w14:paraId="74C77403" w14:textId="5892BB54" w:rsidR="004C05DA" w:rsidRPr="000F23E0" w:rsidRDefault="004C05DA">
      <w:pPr>
        <w:pStyle w:val="TOC1"/>
        <w:rPr>
          <w:rFonts w:asciiTheme="minorHAnsi" w:eastAsiaTheme="minorEastAsia" w:hAnsiTheme="minorHAnsi" w:cstheme="minorBidi"/>
          <w:b w:val="0"/>
          <w:noProof w:val="0"/>
          <w:color w:val="auto"/>
          <w:kern w:val="2"/>
          <w:szCs w:val="24"/>
          <w14:ligatures w14:val="standardContextual"/>
        </w:rPr>
      </w:pPr>
      <w:hyperlink w:anchor="_Toc225155818" w:history="1">
        <w:r w:rsidRPr="000F23E0">
          <w:rPr>
            <w:rStyle w:val="Hyperlink"/>
            <w:noProof w:val="0"/>
          </w:rPr>
          <w:t>Endnotes</w:t>
        </w:r>
        <w:r w:rsidRPr="000F23E0">
          <w:rPr>
            <w:noProof w:val="0"/>
            <w:webHidden/>
          </w:rPr>
          <w:tab/>
        </w:r>
        <w:r w:rsidRPr="000F23E0">
          <w:rPr>
            <w:noProof w:val="0"/>
            <w:webHidden/>
          </w:rPr>
          <w:fldChar w:fldCharType="begin"/>
        </w:r>
        <w:r w:rsidRPr="000F23E0">
          <w:rPr>
            <w:noProof w:val="0"/>
            <w:webHidden/>
          </w:rPr>
          <w:instrText xml:space="preserve"> PAGEREF _Toc225155818 \h </w:instrText>
        </w:r>
        <w:r w:rsidRPr="000F23E0">
          <w:rPr>
            <w:noProof w:val="0"/>
            <w:webHidden/>
          </w:rPr>
        </w:r>
        <w:r w:rsidRPr="000F23E0">
          <w:rPr>
            <w:noProof w:val="0"/>
            <w:webHidden/>
          </w:rPr>
          <w:fldChar w:fldCharType="separate"/>
        </w:r>
        <w:r w:rsidRPr="000F23E0">
          <w:rPr>
            <w:noProof w:val="0"/>
            <w:webHidden/>
          </w:rPr>
          <w:t>94</w:t>
        </w:r>
        <w:r w:rsidRPr="000F23E0">
          <w:rPr>
            <w:noProof w:val="0"/>
            <w:webHidden/>
          </w:rPr>
          <w:fldChar w:fldCharType="end"/>
        </w:r>
      </w:hyperlink>
    </w:p>
    <w:p w14:paraId="58BAF45A" w14:textId="22BA90ED" w:rsidR="004535A2" w:rsidRPr="000F23E0" w:rsidRDefault="004535A2" w:rsidP="00743535">
      <w:pPr>
        <w:pStyle w:val="SingleParagraph"/>
      </w:pPr>
      <w:r w:rsidRPr="000F23E0">
        <w:fldChar w:fldCharType="end"/>
      </w:r>
    </w:p>
    <w:p w14:paraId="7D63CA09" w14:textId="3F2A66EA" w:rsidR="00AF0AC8" w:rsidRPr="000F23E0" w:rsidRDefault="00AB03C9" w:rsidP="00955B2F">
      <w:pPr>
        <w:pStyle w:val="TOCHeading2"/>
        <w:spacing w:before="180" w:after="180"/>
      </w:pPr>
      <w:r w:rsidRPr="000F23E0">
        <w:t>List of figures</w:t>
      </w:r>
    </w:p>
    <w:p w14:paraId="6D6344D9" w14:textId="026A7066" w:rsidR="00C26F03" w:rsidRPr="000F23E0" w:rsidRDefault="00C26F03" w:rsidP="00C26F03">
      <w:pPr>
        <w:pStyle w:val="TOC2"/>
        <w:tabs>
          <w:tab w:val="left" w:pos="993"/>
        </w:tabs>
        <w:ind w:left="993" w:hanging="993"/>
        <w:rPr>
          <w:rFonts w:asciiTheme="minorHAnsi" w:eastAsiaTheme="minorEastAsia" w:hAnsiTheme="minorHAnsi" w:cstheme="minorBidi"/>
          <w:noProof w:val="0"/>
          <w:color w:val="auto"/>
          <w:kern w:val="2"/>
          <w:sz w:val="24"/>
          <w:szCs w:val="24"/>
          <w14:ligatures w14:val="standardContextual"/>
        </w:rPr>
      </w:pPr>
      <w:hyperlink w:anchor="_Toc225155726" w:history="1">
        <w:r w:rsidRPr="000F23E0">
          <w:rPr>
            <w:rStyle w:val="Hyperlink"/>
            <w:noProof w:val="0"/>
            <w:u w:val="none"/>
          </w:rPr>
          <w:t>Figure 1:</w:t>
        </w:r>
        <w:r w:rsidRPr="000F23E0">
          <w:rPr>
            <w:rStyle w:val="Hyperlink"/>
            <w:noProof w:val="0"/>
            <w:u w:val="none"/>
          </w:rPr>
          <w:tab/>
          <w:t>Expenditure of eligible projects by year</w:t>
        </w:r>
        <w:r w:rsidRPr="000F23E0">
          <w:rPr>
            <w:noProof w:val="0"/>
            <w:webHidden/>
          </w:rPr>
          <w:tab/>
        </w:r>
        <w:r w:rsidRPr="000F23E0">
          <w:rPr>
            <w:noProof w:val="0"/>
            <w:webHidden/>
          </w:rPr>
          <w:fldChar w:fldCharType="begin"/>
        </w:r>
        <w:r w:rsidRPr="000F23E0">
          <w:rPr>
            <w:noProof w:val="0"/>
            <w:webHidden/>
          </w:rPr>
          <w:instrText xml:space="preserve"> PAGEREF _Toc225155726 \h </w:instrText>
        </w:r>
        <w:r w:rsidRPr="000F23E0">
          <w:rPr>
            <w:noProof w:val="0"/>
            <w:webHidden/>
          </w:rPr>
        </w:r>
        <w:r w:rsidRPr="000F23E0">
          <w:rPr>
            <w:noProof w:val="0"/>
            <w:webHidden/>
          </w:rPr>
          <w:fldChar w:fldCharType="separate"/>
        </w:r>
        <w:r w:rsidRPr="000F23E0">
          <w:rPr>
            <w:noProof w:val="0"/>
            <w:webHidden/>
          </w:rPr>
          <w:t>x</w:t>
        </w:r>
        <w:r w:rsidRPr="000F23E0">
          <w:rPr>
            <w:noProof w:val="0"/>
            <w:webHidden/>
          </w:rPr>
          <w:fldChar w:fldCharType="end"/>
        </w:r>
      </w:hyperlink>
    </w:p>
    <w:p w14:paraId="145537D7" w14:textId="59486C3D" w:rsidR="00C26F03" w:rsidRPr="000F23E0" w:rsidRDefault="00C26F03" w:rsidP="00C26F03">
      <w:pPr>
        <w:pStyle w:val="TOC2"/>
        <w:tabs>
          <w:tab w:val="left" w:pos="993"/>
        </w:tabs>
        <w:ind w:left="993" w:hanging="993"/>
        <w:rPr>
          <w:rFonts w:asciiTheme="minorHAnsi" w:eastAsiaTheme="minorEastAsia" w:hAnsiTheme="minorHAnsi" w:cstheme="minorBidi"/>
          <w:noProof w:val="0"/>
          <w:color w:val="auto"/>
          <w:kern w:val="2"/>
          <w:sz w:val="24"/>
          <w:szCs w:val="24"/>
          <w14:ligatures w14:val="standardContextual"/>
        </w:rPr>
      </w:pPr>
      <w:hyperlink w:anchor="_Toc225155727" w:history="1">
        <w:r w:rsidRPr="000F23E0">
          <w:rPr>
            <w:rStyle w:val="Hyperlink"/>
            <w:noProof w:val="0"/>
            <w:u w:val="none"/>
          </w:rPr>
          <w:t>Figure 2:</w:t>
        </w:r>
        <w:r w:rsidRPr="000F23E0">
          <w:rPr>
            <w:rStyle w:val="Hyperlink"/>
            <w:noProof w:val="0"/>
            <w:u w:val="none"/>
          </w:rPr>
          <w:tab/>
          <w:t>Green Treasury Bond proceeds allocation by expenditure year</w:t>
        </w:r>
        <w:r w:rsidRPr="000F23E0">
          <w:rPr>
            <w:noProof w:val="0"/>
            <w:webHidden/>
          </w:rPr>
          <w:tab/>
        </w:r>
        <w:r w:rsidRPr="000F23E0">
          <w:rPr>
            <w:noProof w:val="0"/>
            <w:webHidden/>
          </w:rPr>
          <w:fldChar w:fldCharType="begin"/>
        </w:r>
        <w:r w:rsidRPr="000F23E0">
          <w:rPr>
            <w:noProof w:val="0"/>
            <w:webHidden/>
          </w:rPr>
          <w:instrText xml:space="preserve"> PAGEREF _Toc225155727 \h </w:instrText>
        </w:r>
        <w:r w:rsidRPr="000F23E0">
          <w:rPr>
            <w:noProof w:val="0"/>
            <w:webHidden/>
          </w:rPr>
        </w:r>
        <w:r w:rsidRPr="000F23E0">
          <w:rPr>
            <w:noProof w:val="0"/>
            <w:webHidden/>
          </w:rPr>
          <w:fldChar w:fldCharType="separate"/>
        </w:r>
        <w:r w:rsidRPr="000F23E0">
          <w:rPr>
            <w:noProof w:val="0"/>
            <w:webHidden/>
          </w:rPr>
          <w:t>xi</w:t>
        </w:r>
        <w:r w:rsidRPr="000F23E0">
          <w:rPr>
            <w:noProof w:val="0"/>
            <w:webHidden/>
          </w:rPr>
          <w:fldChar w:fldCharType="end"/>
        </w:r>
      </w:hyperlink>
    </w:p>
    <w:p w14:paraId="244BE216" w14:textId="67048312" w:rsidR="00C26F03" w:rsidRPr="000F23E0" w:rsidRDefault="00C26F03" w:rsidP="00C26F03">
      <w:pPr>
        <w:pStyle w:val="TOC2"/>
        <w:tabs>
          <w:tab w:val="left" w:pos="993"/>
        </w:tabs>
        <w:ind w:left="993" w:hanging="993"/>
        <w:rPr>
          <w:rStyle w:val="Hyperlink"/>
          <w:noProof w:val="0"/>
          <w:u w:val="none"/>
        </w:rPr>
      </w:pPr>
      <w:hyperlink w:anchor="_Toc225155728" w:history="1">
        <w:r w:rsidRPr="000F23E0">
          <w:rPr>
            <w:rStyle w:val="Hyperlink"/>
            <w:noProof w:val="0"/>
            <w:u w:val="none"/>
          </w:rPr>
          <w:t>Figure 3:</w:t>
        </w:r>
        <w:r w:rsidRPr="000F23E0">
          <w:rPr>
            <w:rStyle w:val="Hyperlink"/>
            <w:noProof w:val="0"/>
            <w:u w:val="none"/>
          </w:rPr>
          <w:tab/>
          <w:t xml:space="preserve">Allocation of Green Treasury Bond proceeds </w:t>
        </w:r>
        <w:r w:rsidRPr="000F23E0">
          <w:rPr>
            <w:rStyle w:val="Hyperlink"/>
            <w:noProof w:val="0"/>
            <w:u w:val="none"/>
          </w:rPr>
          <w:br/>
          <w:t>by ICMA Green Bond Principles project category</w:t>
        </w:r>
        <w:r w:rsidRPr="000F23E0">
          <w:rPr>
            <w:noProof w:val="0"/>
            <w:webHidden/>
          </w:rPr>
          <w:tab/>
        </w:r>
        <w:r w:rsidRPr="000F23E0">
          <w:rPr>
            <w:noProof w:val="0"/>
            <w:webHidden/>
          </w:rPr>
          <w:fldChar w:fldCharType="begin"/>
        </w:r>
        <w:r w:rsidRPr="000F23E0">
          <w:rPr>
            <w:noProof w:val="0"/>
            <w:webHidden/>
          </w:rPr>
          <w:instrText xml:space="preserve"> PAGEREF _Toc225155728 \h </w:instrText>
        </w:r>
        <w:r w:rsidRPr="000F23E0">
          <w:rPr>
            <w:noProof w:val="0"/>
            <w:webHidden/>
          </w:rPr>
        </w:r>
        <w:r w:rsidRPr="000F23E0">
          <w:rPr>
            <w:noProof w:val="0"/>
            <w:webHidden/>
          </w:rPr>
          <w:fldChar w:fldCharType="separate"/>
        </w:r>
        <w:r w:rsidRPr="000F23E0">
          <w:rPr>
            <w:noProof w:val="0"/>
            <w:webHidden/>
          </w:rPr>
          <w:t>xi</w:t>
        </w:r>
        <w:r w:rsidRPr="000F23E0">
          <w:rPr>
            <w:noProof w:val="0"/>
            <w:webHidden/>
          </w:rPr>
          <w:fldChar w:fldCharType="end"/>
        </w:r>
      </w:hyperlink>
    </w:p>
    <w:p w14:paraId="19929766" w14:textId="3D2CCDE1" w:rsidR="00C26F03" w:rsidRPr="000F23E0" w:rsidRDefault="00C26F03" w:rsidP="00C26F03">
      <w:pPr>
        <w:pStyle w:val="TOC2"/>
        <w:tabs>
          <w:tab w:val="left" w:pos="993"/>
        </w:tabs>
        <w:ind w:left="993" w:hanging="993"/>
        <w:rPr>
          <w:rFonts w:asciiTheme="minorHAnsi" w:eastAsiaTheme="minorEastAsia" w:hAnsiTheme="minorHAnsi" w:cstheme="minorBidi"/>
          <w:noProof w:val="0"/>
          <w:color w:val="auto"/>
          <w:kern w:val="2"/>
          <w:sz w:val="24"/>
          <w:szCs w:val="24"/>
          <w14:ligatures w14:val="standardContextual"/>
        </w:rPr>
      </w:pPr>
      <w:hyperlink w:anchor="_Toc225155735" w:history="1">
        <w:r w:rsidRPr="000F23E0">
          <w:rPr>
            <w:rStyle w:val="Hyperlink"/>
            <w:noProof w:val="0"/>
            <w:u w:val="none"/>
          </w:rPr>
          <w:t>Figure 4:</w:t>
        </w:r>
        <w:r w:rsidRPr="000F23E0">
          <w:rPr>
            <w:rStyle w:val="Hyperlink"/>
            <w:noProof w:val="0"/>
            <w:u w:val="none"/>
          </w:rPr>
          <w:tab/>
          <w:t>Tracking against the 2030 target, 2035 target, 2005 to 2050</w:t>
        </w:r>
        <w:r w:rsidRPr="000F23E0">
          <w:rPr>
            <w:noProof w:val="0"/>
            <w:webHidden/>
          </w:rPr>
          <w:tab/>
        </w:r>
        <w:r w:rsidRPr="000F23E0">
          <w:rPr>
            <w:noProof w:val="0"/>
            <w:webHidden/>
          </w:rPr>
          <w:fldChar w:fldCharType="begin"/>
        </w:r>
        <w:r w:rsidRPr="000F23E0">
          <w:rPr>
            <w:noProof w:val="0"/>
            <w:webHidden/>
          </w:rPr>
          <w:instrText xml:space="preserve"> PAGEREF _Toc225155735 \h </w:instrText>
        </w:r>
        <w:r w:rsidRPr="000F23E0">
          <w:rPr>
            <w:noProof w:val="0"/>
            <w:webHidden/>
          </w:rPr>
        </w:r>
        <w:r w:rsidRPr="000F23E0">
          <w:rPr>
            <w:noProof w:val="0"/>
            <w:webHidden/>
          </w:rPr>
          <w:fldChar w:fldCharType="separate"/>
        </w:r>
        <w:r w:rsidRPr="000F23E0">
          <w:rPr>
            <w:noProof w:val="0"/>
            <w:webHidden/>
          </w:rPr>
          <w:t>4</w:t>
        </w:r>
        <w:r w:rsidRPr="000F23E0">
          <w:rPr>
            <w:noProof w:val="0"/>
            <w:webHidden/>
          </w:rPr>
          <w:fldChar w:fldCharType="end"/>
        </w:r>
      </w:hyperlink>
    </w:p>
    <w:p w14:paraId="27C6EFE2" w14:textId="17009278" w:rsidR="00C26F03" w:rsidRPr="000F23E0" w:rsidRDefault="00C26F03" w:rsidP="00C26F03">
      <w:pPr>
        <w:pStyle w:val="TOC2"/>
        <w:tabs>
          <w:tab w:val="left" w:pos="993"/>
        </w:tabs>
        <w:ind w:left="993" w:hanging="993"/>
        <w:rPr>
          <w:rStyle w:val="Hyperlink"/>
          <w:noProof w:val="0"/>
          <w:u w:val="none"/>
        </w:rPr>
      </w:pPr>
      <w:hyperlink w:anchor="_Toc225155736" w:history="1">
        <w:r w:rsidRPr="000F23E0">
          <w:rPr>
            <w:rStyle w:val="Hyperlink"/>
            <w:noProof w:val="0"/>
            <w:u w:val="none"/>
          </w:rPr>
          <w:t>Figure 5:</w:t>
        </w:r>
        <w:r w:rsidRPr="000F23E0">
          <w:rPr>
            <w:rStyle w:val="Hyperlink"/>
            <w:noProof w:val="0"/>
            <w:u w:val="none"/>
          </w:rPr>
          <w:tab/>
          <w:t>Australia’s net zero priorities</w:t>
        </w:r>
        <w:r w:rsidRPr="000F23E0">
          <w:rPr>
            <w:noProof w:val="0"/>
            <w:webHidden/>
          </w:rPr>
          <w:tab/>
        </w:r>
        <w:r w:rsidRPr="000F23E0">
          <w:rPr>
            <w:noProof w:val="0"/>
            <w:webHidden/>
          </w:rPr>
          <w:fldChar w:fldCharType="begin"/>
        </w:r>
        <w:r w:rsidRPr="000F23E0">
          <w:rPr>
            <w:noProof w:val="0"/>
            <w:webHidden/>
          </w:rPr>
          <w:instrText xml:space="preserve"> PAGEREF _Toc225155736 \h </w:instrText>
        </w:r>
        <w:r w:rsidRPr="000F23E0">
          <w:rPr>
            <w:noProof w:val="0"/>
            <w:webHidden/>
          </w:rPr>
        </w:r>
        <w:r w:rsidRPr="000F23E0">
          <w:rPr>
            <w:noProof w:val="0"/>
            <w:webHidden/>
          </w:rPr>
          <w:fldChar w:fldCharType="separate"/>
        </w:r>
        <w:r w:rsidRPr="000F23E0">
          <w:rPr>
            <w:noProof w:val="0"/>
            <w:webHidden/>
          </w:rPr>
          <w:t>5</w:t>
        </w:r>
        <w:r w:rsidRPr="000F23E0">
          <w:rPr>
            <w:noProof w:val="0"/>
            <w:webHidden/>
          </w:rPr>
          <w:fldChar w:fldCharType="end"/>
        </w:r>
      </w:hyperlink>
    </w:p>
    <w:p w14:paraId="3D0EEC9D" w14:textId="17A4D2CA" w:rsidR="00C26F03" w:rsidRPr="000F23E0" w:rsidRDefault="00C26F03" w:rsidP="00C26F03">
      <w:pPr>
        <w:pStyle w:val="TOC2"/>
        <w:tabs>
          <w:tab w:val="left" w:pos="993"/>
        </w:tabs>
        <w:ind w:left="993" w:hanging="993"/>
        <w:rPr>
          <w:rStyle w:val="Hyperlink"/>
          <w:noProof w:val="0"/>
          <w:u w:val="none"/>
        </w:rPr>
      </w:pPr>
      <w:hyperlink w:anchor="_Toc225155744" w:history="1">
        <w:r w:rsidRPr="000F23E0">
          <w:rPr>
            <w:rStyle w:val="Hyperlink"/>
            <w:noProof w:val="0"/>
            <w:u w:val="none"/>
          </w:rPr>
          <w:t>Figure 6:</w:t>
        </w:r>
        <w:r w:rsidRPr="000F23E0">
          <w:rPr>
            <w:rStyle w:val="Hyperlink"/>
            <w:noProof w:val="0"/>
            <w:u w:val="none"/>
          </w:rPr>
          <w:tab/>
          <w:t>Map of Rewiring the Nation projects</w:t>
        </w:r>
        <w:r w:rsidRPr="000F23E0">
          <w:rPr>
            <w:noProof w:val="0"/>
            <w:webHidden/>
          </w:rPr>
          <w:tab/>
        </w:r>
        <w:r w:rsidRPr="000F23E0">
          <w:rPr>
            <w:noProof w:val="0"/>
            <w:webHidden/>
          </w:rPr>
          <w:fldChar w:fldCharType="begin"/>
        </w:r>
        <w:r w:rsidRPr="000F23E0">
          <w:rPr>
            <w:noProof w:val="0"/>
            <w:webHidden/>
          </w:rPr>
          <w:instrText xml:space="preserve"> PAGEREF _Toc225155744 \h </w:instrText>
        </w:r>
        <w:r w:rsidRPr="000F23E0">
          <w:rPr>
            <w:noProof w:val="0"/>
            <w:webHidden/>
          </w:rPr>
        </w:r>
        <w:r w:rsidRPr="000F23E0">
          <w:rPr>
            <w:noProof w:val="0"/>
            <w:webHidden/>
          </w:rPr>
          <w:fldChar w:fldCharType="separate"/>
        </w:r>
        <w:r w:rsidRPr="000F23E0">
          <w:rPr>
            <w:noProof w:val="0"/>
            <w:webHidden/>
          </w:rPr>
          <w:t>17</w:t>
        </w:r>
        <w:r w:rsidRPr="000F23E0">
          <w:rPr>
            <w:noProof w:val="0"/>
            <w:webHidden/>
          </w:rPr>
          <w:fldChar w:fldCharType="end"/>
        </w:r>
      </w:hyperlink>
    </w:p>
    <w:p w14:paraId="0E135FEF" w14:textId="28873BD8" w:rsidR="00C26F03" w:rsidRPr="000F23E0" w:rsidRDefault="00C26F03" w:rsidP="00C26F03">
      <w:pPr>
        <w:pStyle w:val="TOC2"/>
        <w:tabs>
          <w:tab w:val="left" w:pos="993"/>
        </w:tabs>
        <w:ind w:left="993" w:hanging="993"/>
        <w:rPr>
          <w:rStyle w:val="Hyperlink"/>
          <w:noProof w:val="0"/>
          <w:u w:val="none"/>
        </w:rPr>
      </w:pPr>
      <w:hyperlink w:anchor="_Toc225155768" w:history="1">
        <w:r w:rsidRPr="000F23E0">
          <w:rPr>
            <w:rStyle w:val="Hyperlink"/>
            <w:noProof w:val="0"/>
            <w:u w:val="none"/>
          </w:rPr>
          <w:t>Figure 7:</w:t>
        </w:r>
        <w:r w:rsidRPr="000F23E0">
          <w:rPr>
            <w:rStyle w:val="Hyperlink"/>
            <w:noProof w:val="0"/>
            <w:u w:val="none"/>
          </w:rPr>
          <w:tab/>
          <w:t>Number of SHEPI 2a upgrades around Australia</w:t>
        </w:r>
        <w:r w:rsidRPr="000F23E0">
          <w:rPr>
            <w:noProof w:val="0"/>
            <w:webHidden/>
          </w:rPr>
          <w:tab/>
        </w:r>
        <w:r w:rsidRPr="000F23E0">
          <w:rPr>
            <w:noProof w:val="0"/>
            <w:webHidden/>
          </w:rPr>
          <w:fldChar w:fldCharType="begin"/>
        </w:r>
        <w:r w:rsidRPr="000F23E0">
          <w:rPr>
            <w:noProof w:val="0"/>
            <w:webHidden/>
          </w:rPr>
          <w:instrText xml:space="preserve"> PAGEREF _Toc225155768 \h </w:instrText>
        </w:r>
        <w:r w:rsidRPr="000F23E0">
          <w:rPr>
            <w:noProof w:val="0"/>
            <w:webHidden/>
          </w:rPr>
        </w:r>
        <w:r w:rsidRPr="000F23E0">
          <w:rPr>
            <w:noProof w:val="0"/>
            <w:webHidden/>
          </w:rPr>
          <w:fldChar w:fldCharType="separate"/>
        </w:r>
        <w:r w:rsidRPr="000F23E0">
          <w:rPr>
            <w:noProof w:val="0"/>
            <w:webHidden/>
          </w:rPr>
          <w:t>40</w:t>
        </w:r>
        <w:r w:rsidRPr="000F23E0">
          <w:rPr>
            <w:noProof w:val="0"/>
            <w:webHidden/>
          </w:rPr>
          <w:fldChar w:fldCharType="end"/>
        </w:r>
      </w:hyperlink>
    </w:p>
    <w:p w14:paraId="2113DF39" w14:textId="23B4E546" w:rsidR="00C26F03" w:rsidRPr="000F23E0" w:rsidRDefault="00C26F03" w:rsidP="00C26F03">
      <w:pPr>
        <w:pStyle w:val="TOC2"/>
        <w:tabs>
          <w:tab w:val="left" w:pos="993"/>
        </w:tabs>
        <w:ind w:left="993" w:hanging="993"/>
        <w:rPr>
          <w:rStyle w:val="Hyperlink"/>
          <w:noProof w:val="0"/>
          <w:u w:val="none"/>
        </w:rPr>
      </w:pPr>
      <w:hyperlink w:anchor="_Toc225155784" w:history="1">
        <w:r w:rsidRPr="000F23E0">
          <w:rPr>
            <w:rStyle w:val="Hyperlink"/>
            <w:noProof w:val="0"/>
            <w:u w:val="none"/>
          </w:rPr>
          <w:t>Figure 8:</w:t>
        </w:r>
        <w:r w:rsidRPr="000F23E0">
          <w:rPr>
            <w:rStyle w:val="Hyperlink"/>
            <w:noProof w:val="0"/>
            <w:u w:val="none"/>
          </w:rPr>
          <w:tab/>
          <w:t>Australian climate finance in the Indo</w:t>
        </w:r>
        <w:r w:rsidRPr="000F23E0">
          <w:rPr>
            <w:rStyle w:val="Hyperlink"/>
            <w:noProof w:val="0"/>
            <w:u w:val="none"/>
          </w:rPr>
          <w:noBreakHyphen/>
          <w:t>Pacific</w:t>
        </w:r>
        <w:r w:rsidRPr="000F23E0">
          <w:rPr>
            <w:noProof w:val="0"/>
            <w:webHidden/>
          </w:rPr>
          <w:tab/>
        </w:r>
        <w:r w:rsidRPr="000F23E0">
          <w:rPr>
            <w:noProof w:val="0"/>
            <w:webHidden/>
          </w:rPr>
          <w:fldChar w:fldCharType="begin"/>
        </w:r>
        <w:r w:rsidRPr="000F23E0">
          <w:rPr>
            <w:noProof w:val="0"/>
            <w:webHidden/>
          </w:rPr>
          <w:instrText xml:space="preserve"> PAGEREF _Toc225155784 \h </w:instrText>
        </w:r>
        <w:r w:rsidRPr="000F23E0">
          <w:rPr>
            <w:noProof w:val="0"/>
            <w:webHidden/>
          </w:rPr>
        </w:r>
        <w:r w:rsidRPr="000F23E0">
          <w:rPr>
            <w:noProof w:val="0"/>
            <w:webHidden/>
          </w:rPr>
          <w:fldChar w:fldCharType="separate"/>
        </w:r>
        <w:r w:rsidRPr="000F23E0">
          <w:rPr>
            <w:noProof w:val="0"/>
            <w:webHidden/>
          </w:rPr>
          <w:t>55</w:t>
        </w:r>
        <w:r w:rsidRPr="000F23E0">
          <w:rPr>
            <w:noProof w:val="0"/>
            <w:webHidden/>
          </w:rPr>
          <w:fldChar w:fldCharType="end"/>
        </w:r>
      </w:hyperlink>
    </w:p>
    <w:p w14:paraId="0859DDF8" w14:textId="4DA3189C" w:rsidR="00C26F03" w:rsidRPr="000F23E0" w:rsidRDefault="00C26F03" w:rsidP="00C26F03">
      <w:pPr>
        <w:pStyle w:val="TOC2"/>
        <w:tabs>
          <w:tab w:val="left" w:pos="993"/>
        </w:tabs>
        <w:ind w:left="993" w:hanging="993"/>
        <w:rPr>
          <w:rStyle w:val="Hyperlink"/>
          <w:noProof w:val="0"/>
          <w:u w:val="none"/>
        </w:rPr>
      </w:pPr>
      <w:hyperlink w:anchor="_Toc225155796" w:history="1">
        <w:r w:rsidRPr="000F23E0">
          <w:rPr>
            <w:rStyle w:val="Hyperlink"/>
            <w:noProof w:val="0"/>
            <w:u w:val="none"/>
          </w:rPr>
          <w:t>Figure 9:</w:t>
        </w:r>
        <w:r w:rsidRPr="000F23E0">
          <w:rPr>
            <w:rStyle w:val="Hyperlink"/>
            <w:noProof w:val="0"/>
            <w:u w:val="none"/>
          </w:rPr>
          <w:tab/>
          <w:t>Locations of projects managed by the Saving Koalas Fund</w:t>
        </w:r>
        <w:r w:rsidRPr="000F23E0">
          <w:rPr>
            <w:noProof w:val="0"/>
            <w:webHidden/>
          </w:rPr>
          <w:tab/>
        </w:r>
        <w:r w:rsidRPr="000F23E0">
          <w:rPr>
            <w:noProof w:val="0"/>
            <w:webHidden/>
          </w:rPr>
          <w:fldChar w:fldCharType="begin"/>
        </w:r>
        <w:r w:rsidRPr="000F23E0">
          <w:rPr>
            <w:noProof w:val="0"/>
            <w:webHidden/>
          </w:rPr>
          <w:instrText xml:space="preserve"> PAGEREF _Toc225155796 \h </w:instrText>
        </w:r>
        <w:r w:rsidRPr="000F23E0">
          <w:rPr>
            <w:noProof w:val="0"/>
            <w:webHidden/>
          </w:rPr>
        </w:r>
        <w:r w:rsidRPr="000F23E0">
          <w:rPr>
            <w:noProof w:val="0"/>
            <w:webHidden/>
          </w:rPr>
          <w:fldChar w:fldCharType="separate"/>
        </w:r>
        <w:r w:rsidRPr="000F23E0">
          <w:rPr>
            <w:noProof w:val="0"/>
            <w:webHidden/>
          </w:rPr>
          <w:t>70</w:t>
        </w:r>
        <w:r w:rsidRPr="000F23E0">
          <w:rPr>
            <w:noProof w:val="0"/>
            <w:webHidden/>
          </w:rPr>
          <w:fldChar w:fldCharType="end"/>
        </w:r>
      </w:hyperlink>
    </w:p>
    <w:p w14:paraId="2036E8B9" w14:textId="0D5D9E8F" w:rsidR="00C26F03" w:rsidRPr="000F23E0" w:rsidRDefault="00C26F03" w:rsidP="00C26F03">
      <w:pPr>
        <w:pStyle w:val="TOC2"/>
        <w:tabs>
          <w:tab w:val="left" w:pos="993"/>
        </w:tabs>
        <w:ind w:left="993" w:hanging="993"/>
        <w:rPr>
          <w:rFonts w:asciiTheme="minorHAnsi" w:eastAsiaTheme="minorEastAsia" w:hAnsiTheme="minorHAnsi" w:cstheme="minorBidi"/>
          <w:noProof w:val="0"/>
          <w:color w:val="auto"/>
          <w:kern w:val="2"/>
          <w:sz w:val="24"/>
          <w:szCs w:val="24"/>
          <w14:ligatures w14:val="standardContextual"/>
        </w:rPr>
      </w:pPr>
      <w:hyperlink w:anchor="_Toc225155812" w:history="1">
        <w:r w:rsidRPr="000F23E0">
          <w:rPr>
            <w:rStyle w:val="Hyperlink"/>
            <w:noProof w:val="0"/>
            <w:u w:val="none"/>
          </w:rPr>
          <w:t>Figure 10:</w:t>
        </w:r>
        <w:r w:rsidRPr="000F23E0">
          <w:rPr>
            <w:rStyle w:val="Hyperlink"/>
            <w:noProof w:val="0"/>
            <w:u w:val="none"/>
          </w:rPr>
          <w:tab/>
          <w:t>Eligibility window</w:t>
        </w:r>
        <w:r w:rsidRPr="000F23E0">
          <w:rPr>
            <w:noProof w:val="0"/>
            <w:webHidden/>
          </w:rPr>
          <w:tab/>
        </w:r>
        <w:r w:rsidRPr="000F23E0">
          <w:rPr>
            <w:noProof w:val="0"/>
            <w:webHidden/>
          </w:rPr>
          <w:fldChar w:fldCharType="begin"/>
        </w:r>
        <w:r w:rsidRPr="000F23E0">
          <w:rPr>
            <w:noProof w:val="0"/>
            <w:webHidden/>
          </w:rPr>
          <w:instrText xml:space="preserve"> PAGEREF _Toc225155812 \h </w:instrText>
        </w:r>
        <w:r w:rsidRPr="000F23E0">
          <w:rPr>
            <w:noProof w:val="0"/>
            <w:webHidden/>
          </w:rPr>
        </w:r>
        <w:r w:rsidRPr="000F23E0">
          <w:rPr>
            <w:noProof w:val="0"/>
            <w:webHidden/>
          </w:rPr>
          <w:fldChar w:fldCharType="separate"/>
        </w:r>
        <w:r w:rsidRPr="000F23E0">
          <w:rPr>
            <w:noProof w:val="0"/>
            <w:webHidden/>
          </w:rPr>
          <w:t>86</w:t>
        </w:r>
        <w:r w:rsidRPr="000F23E0">
          <w:rPr>
            <w:noProof w:val="0"/>
            <w:webHidden/>
          </w:rPr>
          <w:fldChar w:fldCharType="end"/>
        </w:r>
      </w:hyperlink>
    </w:p>
    <w:p w14:paraId="45968749" w14:textId="77777777" w:rsidR="00C26F03" w:rsidRPr="000F23E0" w:rsidRDefault="00C26F03" w:rsidP="00C26F03">
      <w:pPr>
        <w:tabs>
          <w:tab w:val="left" w:pos="993"/>
        </w:tabs>
        <w:ind w:left="993" w:hanging="993"/>
        <w:rPr>
          <w:rFonts w:eastAsiaTheme="minorEastAsia"/>
        </w:rPr>
      </w:pPr>
    </w:p>
    <w:p w14:paraId="3D3FC82F" w14:textId="161721EA" w:rsidR="00AB03C9" w:rsidRPr="000F23E0" w:rsidRDefault="00AB03C9" w:rsidP="00C26F03">
      <w:pPr>
        <w:pStyle w:val="TOCHeading2"/>
        <w:tabs>
          <w:tab w:val="left" w:pos="993"/>
        </w:tabs>
        <w:ind w:left="993" w:hanging="993"/>
      </w:pPr>
      <w:r w:rsidRPr="000F23E0">
        <w:t>List of tables</w:t>
      </w:r>
    </w:p>
    <w:p w14:paraId="655A3091" w14:textId="21BC1B6A" w:rsidR="00C26F03" w:rsidRPr="000F23E0" w:rsidRDefault="00C26F03" w:rsidP="00C26F03">
      <w:pPr>
        <w:pStyle w:val="TOC2"/>
        <w:keepNext w:val="0"/>
        <w:tabs>
          <w:tab w:val="left" w:pos="993"/>
        </w:tabs>
        <w:ind w:left="993" w:right="0" w:hanging="993"/>
        <w:rPr>
          <w:rFonts w:asciiTheme="minorHAnsi" w:eastAsiaTheme="minorEastAsia" w:hAnsiTheme="minorHAnsi" w:cstheme="minorBidi"/>
          <w:noProof w:val="0"/>
          <w:color w:val="auto"/>
          <w:kern w:val="2"/>
          <w:sz w:val="24"/>
          <w:szCs w:val="24"/>
          <w14:ligatures w14:val="standardContextual"/>
        </w:rPr>
      </w:pPr>
      <w:hyperlink w:anchor="_Toc225155730" w:history="1">
        <w:r w:rsidRPr="000F23E0">
          <w:rPr>
            <w:rStyle w:val="Hyperlink"/>
            <w:noProof w:val="0"/>
            <w:u w:val="none"/>
          </w:rPr>
          <w:t>Table 1:</w:t>
        </w:r>
        <w:r w:rsidRPr="000F23E0">
          <w:rPr>
            <w:rStyle w:val="Hyperlink"/>
            <w:noProof w:val="0"/>
            <w:u w:val="none"/>
          </w:rPr>
          <w:tab/>
          <w:t>Green Treasury Bond Expenditure and Allocation</w:t>
        </w:r>
        <w:r w:rsidRPr="000F23E0">
          <w:rPr>
            <w:noProof w:val="0"/>
            <w:webHidden/>
          </w:rPr>
          <w:tab/>
        </w:r>
        <w:r w:rsidRPr="000F23E0">
          <w:rPr>
            <w:noProof w:val="0"/>
            <w:webHidden/>
          </w:rPr>
          <w:fldChar w:fldCharType="begin"/>
        </w:r>
        <w:r w:rsidRPr="000F23E0">
          <w:rPr>
            <w:noProof w:val="0"/>
            <w:webHidden/>
          </w:rPr>
          <w:instrText xml:space="preserve"> PAGEREF _Toc225155730 \h </w:instrText>
        </w:r>
        <w:r w:rsidRPr="000F23E0">
          <w:rPr>
            <w:noProof w:val="0"/>
            <w:webHidden/>
          </w:rPr>
        </w:r>
        <w:r w:rsidRPr="000F23E0">
          <w:rPr>
            <w:noProof w:val="0"/>
            <w:webHidden/>
          </w:rPr>
          <w:fldChar w:fldCharType="separate"/>
        </w:r>
        <w:r w:rsidRPr="000F23E0">
          <w:rPr>
            <w:noProof w:val="0"/>
            <w:webHidden/>
          </w:rPr>
          <w:t>xiii</w:t>
        </w:r>
        <w:r w:rsidRPr="000F23E0">
          <w:rPr>
            <w:noProof w:val="0"/>
            <w:webHidden/>
          </w:rPr>
          <w:fldChar w:fldCharType="end"/>
        </w:r>
      </w:hyperlink>
    </w:p>
    <w:p w14:paraId="500622A3" w14:textId="5C9B2CA1" w:rsidR="00C26F03" w:rsidRPr="000F23E0" w:rsidRDefault="00C26F03" w:rsidP="00C26F03">
      <w:pPr>
        <w:pStyle w:val="TOC2"/>
        <w:keepNext w:val="0"/>
        <w:tabs>
          <w:tab w:val="left" w:pos="993"/>
        </w:tabs>
        <w:ind w:left="993" w:right="0" w:hanging="993"/>
        <w:rPr>
          <w:rStyle w:val="Hyperlink"/>
          <w:noProof w:val="0"/>
          <w:u w:val="none"/>
        </w:rPr>
      </w:pPr>
      <w:hyperlink w:anchor="_Toc225155731" w:history="1">
        <w:r w:rsidRPr="000F23E0">
          <w:rPr>
            <w:rStyle w:val="Hyperlink"/>
            <w:noProof w:val="0"/>
            <w:u w:val="none"/>
          </w:rPr>
          <w:t>Table 2:</w:t>
        </w:r>
        <w:r w:rsidRPr="000F23E0">
          <w:rPr>
            <w:rStyle w:val="Hyperlink"/>
            <w:noProof w:val="0"/>
            <w:u w:val="none"/>
          </w:rPr>
          <w:tab/>
          <w:t>Impacts of Eligible Green Expenditures</w:t>
        </w:r>
        <w:r w:rsidRPr="000F23E0">
          <w:rPr>
            <w:noProof w:val="0"/>
            <w:webHidden/>
          </w:rPr>
          <w:tab/>
        </w:r>
        <w:r w:rsidRPr="000F23E0">
          <w:rPr>
            <w:noProof w:val="0"/>
            <w:webHidden/>
          </w:rPr>
          <w:fldChar w:fldCharType="begin"/>
        </w:r>
        <w:r w:rsidRPr="000F23E0">
          <w:rPr>
            <w:noProof w:val="0"/>
            <w:webHidden/>
          </w:rPr>
          <w:instrText xml:space="preserve"> PAGEREF _Toc225155731 \h </w:instrText>
        </w:r>
        <w:r w:rsidRPr="000F23E0">
          <w:rPr>
            <w:noProof w:val="0"/>
            <w:webHidden/>
          </w:rPr>
        </w:r>
        <w:r w:rsidRPr="000F23E0">
          <w:rPr>
            <w:noProof w:val="0"/>
            <w:webHidden/>
          </w:rPr>
          <w:fldChar w:fldCharType="separate"/>
        </w:r>
        <w:r w:rsidRPr="000F23E0">
          <w:rPr>
            <w:noProof w:val="0"/>
            <w:webHidden/>
          </w:rPr>
          <w:t>xv</w:t>
        </w:r>
        <w:r w:rsidRPr="000F23E0">
          <w:rPr>
            <w:noProof w:val="0"/>
            <w:webHidden/>
          </w:rPr>
          <w:fldChar w:fldCharType="end"/>
        </w:r>
      </w:hyperlink>
    </w:p>
    <w:p w14:paraId="50F96D89" w14:textId="01713B3A" w:rsidR="00C26F03" w:rsidRPr="000F23E0" w:rsidRDefault="00C26F03" w:rsidP="00C26F03">
      <w:pPr>
        <w:pStyle w:val="TOC2"/>
        <w:keepNext w:val="0"/>
        <w:tabs>
          <w:tab w:val="left" w:pos="993"/>
        </w:tabs>
        <w:ind w:left="993" w:right="0" w:hanging="993"/>
        <w:rPr>
          <w:rFonts w:asciiTheme="minorHAnsi" w:eastAsiaTheme="minorEastAsia" w:hAnsiTheme="minorHAnsi" w:cstheme="minorBidi"/>
          <w:noProof w:val="0"/>
          <w:color w:val="auto"/>
          <w:kern w:val="2"/>
          <w:sz w:val="24"/>
          <w:szCs w:val="24"/>
          <w14:ligatures w14:val="standardContextual"/>
        </w:rPr>
      </w:pPr>
      <w:hyperlink w:anchor="_Toc225155741" w:history="1">
        <w:r w:rsidRPr="000F23E0">
          <w:rPr>
            <w:rStyle w:val="Hyperlink"/>
            <w:noProof w:val="0"/>
            <w:u w:val="none"/>
          </w:rPr>
          <w:t>Table 3:</w:t>
        </w:r>
        <w:r w:rsidRPr="000F23E0">
          <w:rPr>
            <w:rStyle w:val="Hyperlink"/>
            <w:noProof w:val="0"/>
            <w:u w:val="none"/>
          </w:rPr>
          <w:tab/>
          <w:t>Allocation Data for CEFC Renewable Energy Investments ($ million)</w:t>
        </w:r>
        <w:r w:rsidRPr="000F23E0">
          <w:rPr>
            <w:noProof w:val="0"/>
            <w:webHidden/>
          </w:rPr>
          <w:tab/>
        </w:r>
        <w:r w:rsidRPr="000F23E0">
          <w:rPr>
            <w:noProof w:val="0"/>
            <w:webHidden/>
          </w:rPr>
          <w:fldChar w:fldCharType="begin"/>
        </w:r>
        <w:r w:rsidRPr="000F23E0">
          <w:rPr>
            <w:noProof w:val="0"/>
            <w:webHidden/>
          </w:rPr>
          <w:instrText xml:space="preserve"> PAGEREF _Toc225155741 \h </w:instrText>
        </w:r>
        <w:r w:rsidRPr="000F23E0">
          <w:rPr>
            <w:noProof w:val="0"/>
            <w:webHidden/>
          </w:rPr>
        </w:r>
        <w:r w:rsidRPr="000F23E0">
          <w:rPr>
            <w:noProof w:val="0"/>
            <w:webHidden/>
          </w:rPr>
          <w:fldChar w:fldCharType="separate"/>
        </w:r>
        <w:r w:rsidRPr="000F23E0">
          <w:rPr>
            <w:noProof w:val="0"/>
            <w:webHidden/>
          </w:rPr>
          <w:t>13</w:t>
        </w:r>
        <w:r w:rsidRPr="000F23E0">
          <w:rPr>
            <w:noProof w:val="0"/>
            <w:webHidden/>
          </w:rPr>
          <w:fldChar w:fldCharType="end"/>
        </w:r>
      </w:hyperlink>
    </w:p>
    <w:p w14:paraId="0BEC028E" w14:textId="1963114D" w:rsidR="00C26F03" w:rsidRPr="000F23E0" w:rsidRDefault="00C26F03" w:rsidP="00C26F03">
      <w:pPr>
        <w:pStyle w:val="TOC2"/>
        <w:keepNext w:val="0"/>
        <w:tabs>
          <w:tab w:val="left" w:pos="993"/>
        </w:tabs>
        <w:ind w:left="993" w:right="0" w:hanging="993"/>
        <w:rPr>
          <w:rStyle w:val="Hyperlink"/>
          <w:noProof w:val="0"/>
          <w:u w:val="none"/>
        </w:rPr>
      </w:pPr>
      <w:hyperlink w:anchor="_Toc225155742" w:history="1">
        <w:r w:rsidRPr="000F23E0">
          <w:rPr>
            <w:rStyle w:val="Hyperlink"/>
            <w:noProof w:val="0"/>
            <w:u w:val="none"/>
          </w:rPr>
          <w:t>Table 4:</w:t>
        </w:r>
        <w:r w:rsidRPr="000F23E0">
          <w:rPr>
            <w:rStyle w:val="Hyperlink"/>
            <w:noProof w:val="0"/>
            <w:u w:val="none"/>
          </w:rPr>
          <w:tab/>
          <w:t>Impact data for CEFC renewable energy investments</w:t>
        </w:r>
        <w:r w:rsidRPr="000F23E0">
          <w:rPr>
            <w:noProof w:val="0"/>
            <w:webHidden/>
          </w:rPr>
          <w:tab/>
        </w:r>
        <w:r w:rsidRPr="000F23E0">
          <w:rPr>
            <w:noProof w:val="0"/>
            <w:webHidden/>
          </w:rPr>
          <w:fldChar w:fldCharType="begin"/>
        </w:r>
        <w:r w:rsidRPr="000F23E0">
          <w:rPr>
            <w:noProof w:val="0"/>
            <w:webHidden/>
          </w:rPr>
          <w:instrText xml:space="preserve"> PAGEREF _Toc225155742 \h </w:instrText>
        </w:r>
        <w:r w:rsidRPr="000F23E0">
          <w:rPr>
            <w:noProof w:val="0"/>
            <w:webHidden/>
          </w:rPr>
        </w:r>
        <w:r w:rsidRPr="000F23E0">
          <w:rPr>
            <w:noProof w:val="0"/>
            <w:webHidden/>
          </w:rPr>
          <w:fldChar w:fldCharType="separate"/>
        </w:r>
        <w:r w:rsidRPr="000F23E0">
          <w:rPr>
            <w:noProof w:val="0"/>
            <w:webHidden/>
          </w:rPr>
          <w:t>14</w:t>
        </w:r>
        <w:r w:rsidRPr="000F23E0">
          <w:rPr>
            <w:noProof w:val="0"/>
            <w:webHidden/>
          </w:rPr>
          <w:fldChar w:fldCharType="end"/>
        </w:r>
      </w:hyperlink>
    </w:p>
    <w:p w14:paraId="2AFF2411" w14:textId="5CDE7DAA" w:rsidR="00C26F03" w:rsidRPr="000F23E0" w:rsidRDefault="00C26F03" w:rsidP="00C26F03">
      <w:pPr>
        <w:pStyle w:val="TOC2"/>
        <w:keepNext w:val="0"/>
        <w:tabs>
          <w:tab w:val="left" w:pos="993"/>
        </w:tabs>
        <w:ind w:left="993" w:right="0" w:hanging="993"/>
        <w:rPr>
          <w:rFonts w:asciiTheme="minorHAnsi" w:eastAsiaTheme="minorEastAsia" w:hAnsiTheme="minorHAnsi" w:cstheme="minorBidi"/>
          <w:noProof w:val="0"/>
          <w:color w:val="auto"/>
          <w:kern w:val="2"/>
          <w:sz w:val="24"/>
          <w:szCs w:val="24"/>
          <w14:ligatures w14:val="standardContextual"/>
        </w:rPr>
      </w:pPr>
      <w:hyperlink w:anchor="_Toc225155745" w:history="1">
        <w:r w:rsidRPr="000F23E0">
          <w:rPr>
            <w:rStyle w:val="Hyperlink"/>
            <w:noProof w:val="0"/>
            <w:u w:val="none"/>
          </w:rPr>
          <w:t>Table 5:</w:t>
        </w:r>
        <w:r w:rsidRPr="000F23E0">
          <w:rPr>
            <w:rStyle w:val="Hyperlink"/>
            <w:noProof w:val="0"/>
            <w:u w:val="none"/>
          </w:rPr>
          <w:tab/>
          <w:t>Allocation Data for Rewiring the Nation ($ million)</w:t>
        </w:r>
        <w:r w:rsidRPr="000F23E0">
          <w:rPr>
            <w:noProof w:val="0"/>
            <w:webHidden/>
          </w:rPr>
          <w:tab/>
        </w:r>
        <w:r w:rsidRPr="000F23E0">
          <w:rPr>
            <w:noProof w:val="0"/>
            <w:webHidden/>
          </w:rPr>
          <w:fldChar w:fldCharType="begin"/>
        </w:r>
        <w:r w:rsidRPr="000F23E0">
          <w:rPr>
            <w:noProof w:val="0"/>
            <w:webHidden/>
          </w:rPr>
          <w:instrText xml:space="preserve"> PAGEREF _Toc225155745 \h </w:instrText>
        </w:r>
        <w:r w:rsidRPr="000F23E0">
          <w:rPr>
            <w:noProof w:val="0"/>
            <w:webHidden/>
          </w:rPr>
        </w:r>
        <w:r w:rsidRPr="000F23E0">
          <w:rPr>
            <w:noProof w:val="0"/>
            <w:webHidden/>
          </w:rPr>
          <w:fldChar w:fldCharType="separate"/>
        </w:r>
        <w:r w:rsidRPr="000F23E0">
          <w:rPr>
            <w:noProof w:val="0"/>
            <w:webHidden/>
          </w:rPr>
          <w:t>18</w:t>
        </w:r>
        <w:r w:rsidRPr="000F23E0">
          <w:rPr>
            <w:noProof w:val="0"/>
            <w:webHidden/>
          </w:rPr>
          <w:fldChar w:fldCharType="end"/>
        </w:r>
      </w:hyperlink>
    </w:p>
    <w:p w14:paraId="191768C9" w14:textId="71068171" w:rsidR="00C26F03" w:rsidRPr="000F23E0" w:rsidRDefault="00C26F03" w:rsidP="00C26F03">
      <w:pPr>
        <w:pStyle w:val="TOC2"/>
        <w:keepNext w:val="0"/>
        <w:tabs>
          <w:tab w:val="left" w:pos="993"/>
        </w:tabs>
        <w:ind w:left="993" w:right="0" w:hanging="993"/>
        <w:rPr>
          <w:rFonts w:asciiTheme="minorHAnsi" w:eastAsiaTheme="minorEastAsia" w:hAnsiTheme="minorHAnsi" w:cstheme="minorBidi"/>
          <w:noProof w:val="0"/>
          <w:color w:val="auto"/>
          <w:kern w:val="2"/>
          <w:sz w:val="24"/>
          <w:szCs w:val="24"/>
          <w14:ligatures w14:val="standardContextual"/>
        </w:rPr>
      </w:pPr>
      <w:hyperlink w:anchor="_Toc225155746" w:history="1">
        <w:r w:rsidRPr="000F23E0">
          <w:rPr>
            <w:rStyle w:val="Hyperlink"/>
            <w:noProof w:val="0"/>
            <w:u w:val="none"/>
          </w:rPr>
          <w:t>Table 6:</w:t>
        </w:r>
        <w:r w:rsidRPr="000F23E0">
          <w:rPr>
            <w:rStyle w:val="Hyperlink"/>
            <w:noProof w:val="0"/>
            <w:u w:val="none"/>
          </w:rPr>
          <w:tab/>
          <w:t>Impact data for Rewiring the Nation</w:t>
        </w:r>
        <w:r w:rsidRPr="000F23E0">
          <w:rPr>
            <w:noProof w:val="0"/>
            <w:webHidden/>
          </w:rPr>
          <w:tab/>
        </w:r>
        <w:r w:rsidRPr="000F23E0">
          <w:rPr>
            <w:noProof w:val="0"/>
            <w:webHidden/>
          </w:rPr>
          <w:fldChar w:fldCharType="begin"/>
        </w:r>
        <w:r w:rsidRPr="000F23E0">
          <w:rPr>
            <w:noProof w:val="0"/>
            <w:webHidden/>
          </w:rPr>
          <w:instrText xml:space="preserve"> PAGEREF _Toc225155746 \h </w:instrText>
        </w:r>
        <w:r w:rsidRPr="000F23E0">
          <w:rPr>
            <w:noProof w:val="0"/>
            <w:webHidden/>
          </w:rPr>
        </w:r>
        <w:r w:rsidRPr="000F23E0">
          <w:rPr>
            <w:noProof w:val="0"/>
            <w:webHidden/>
          </w:rPr>
          <w:fldChar w:fldCharType="separate"/>
        </w:r>
        <w:r w:rsidRPr="000F23E0">
          <w:rPr>
            <w:noProof w:val="0"/>
            <w:webHidden/>
          </w:rPr>
          <w:t>19</w:t>
        </w:r>
        <w:r w:rsidRPr="000F23E0">
          <w:rPr>
            <w:noProof w:val="0"/>
            <w:webHidden/>
          </w:rPr>
          <w:fldChar w:fldCharType="end"/>
        </w:r>
      </w:hyperlink>
    </w:p>
    <w:p w14:paraId="321B9ADF" w14:textId="6301D5A3" w:rsidR="00C26F03" w:rsidRPr="000F23E0" w:rsidRDefault="00C26F03" w:rsidP="00C26F03">
      <w:pPr>
        <w:pStyle w:val="TOC2"/>
        <w:keepNext w:val="0"/>
        <w:tabs>
          <w:tab w:val="left" w:pos="993"/>
        </w:tabs>
        <w:ind w:left="993" w:right="0" w:hanging="993"/>
        <w:rPr>
          <w:rStyle w:val="Hyperlink"/>
          <w:noProof w:val="0"/>
          <w:u w:val="none"/>
        </w:rPr>
      </w:pPr>
      <w:hyperlink w:anchor="_Toc225155747" w:history="1">
        <w:r w:rsidRPr="000F23E0">
          <w:rPr>
            <w:rStyle w:val="Hyperlink"/>
            <w:noProof w:val="0"/>
            <w:u w:val="none"/>
          </w:rPr>
          <w:t>Table 7:</w:t>
        </w:r>
        <w:r w:rsidRPr="000F23E0">
          <w:rPr>
            <w:rStyle w:val="Hyperlink"/>
            <w:noProof w:val="0"/>
            <w:u w:val="none"/>
          </w:rPr>
          <w:tab/>
          <w:t>Social impact data for Rewiring the Nation</w:t>
        </w:r>
        <w:r w:rsidRPr="000F23E0">
          <w:rPr>
            <w:noProof w:val="0"/>
            <w:webHidden/>
          </w:rPr>
          <w:tab/>
        </w:r>
        <w:r w:rsidRPr="000F23E0">
          <w:rPr>
            <w:noProof w:val="0"/>
            <w:webHidden/>
          </w:rPr>
          <w:fldChar w:fldCharType="begin"/>
        </w:r>
        <w:r w:rsidRPr="000F23E0">
          <w:rPr>
            <w:noProof w:val="0"/>
            <w:webHidden/>
          </w:rPr>
          <w:instrText xml:space="preserve"> PAGEREF _Toc225155747 \h </w:instrText>
        </w:r>
        <w:r w:rsidRPr="000F23E0">
          <w:rPr>
            <w:noProof w:val="0"/>
            <w:webHidden/>
          </w:rPr>
        </w:r>
        <w:r w:rsidRPr="000F23E0">
          <w:rPr>
            <w:noProof w:val="0"/>
            <w:webHidden/>
          </w:rPr>
          <w:fldChar w:fldCharType="separate"/>
        </w:r>
        <w:r w:rsidRPr="000F23E0">
          <w:rPr>
            <w:noProof w:val="0"/>
            <w:webHidden/>
          </w:rPr>
          <w:t>20</w:t>
        </w:r>
        <w:r w:rsidRPr="000F23E0">
          <w:rPr>
            <w:noProof w:val="0"/>
            <w:webHidden/>
          </w:rPr>
          <w:fldChar w:fldCharType="end"/>
        </w:r>
      </w:hyperlink>
    </w:p>
    <w:p w14:paraId="7CED2730" w14:textId="0AB8B71C" w:rsidR="00C26F03" w:rsidRPr="000F23E0" w:rsidRDefault="00C26F03" w:rsidP="00C26F03">
      <w:pPr>
        <w:pStyle w:val="TOC2"/>
        <w:keepNext w:val="0"/>
        <w:tabs>
          <w:tab w:val="left" w:pos="993"/>
        </w:tabs>
        <w:ind w:left="993" w:right="0" w:hanging="993"/>
        <w:rPr>
          <w:rFonts w:asciiTheme="minorHAnsi" w:eastAsiaTheme="minorEastAsia" w:hAnsiTheme="minorHAnsi" w:cstheme="minorBidi"/>
          <w:noProof w:val="0"/>
          <w:color w:val="auto"/>
          <w:kern w:val="2"/>
          <w:sz w:val="24"/>
          <w:szCs w:val="24"/>
          <w14:ligatures w14:val="standardContextual"/>
        </w:rPr>
      </w:pPr>
      <w:hyperlink w:anchor="_Toc225155749" w:history="1">
        <w:r w:rsidRPr="000F23E0">
          <w:rPr>
            <w:rStyle w:val="Hyperlink"/>
            <w:noProof w:val="0"/>
            <w:u w:val="none"/>
          </w:rPr>
          <w:t>Table 8:</w:t>
        </w:r>
        <w:r w:rsidRPr="000F23E0">
          <w:rPr>
            <w:rStyle w:val="Hyperlink"/>
            <w:noProof w:val="0"/>
            <w:u w:val="none"/>
          </w:rPr>
          <w:tab/>
          <w:t>Allocation Data for Snowy 2.0 ($ million)</w:t>
        </w:r>
        <w:r w:rsidRPr="000F23E0">
          <w:rPr>
            <w:noProof w:val="0"/>
            <w:webHidden/>
          </w:rPr>
          <w:tab/>
        </w:r>
        <w:r w:rsidRPr="000F23E0">
          <w:rPr>
            <w:noProof w:val="0"/>
            <w:webHidden/>
          </w:rPr>
          <w:fldChar w:fldCharType="begin"/>
        </w:r>
        <w:r w:rsidRPr="000F23E0">
          <w:rPr>
            <w:noProof w:val="0"/>
            <w:webHidden/>
          </w:rPr>
          <w:instrText xml:space="preserve"> PAGEREF _Toc225155749 \h </w:instrText>
        </w:r>
        <w:r w:rsidRPr="000F23E0">
          <w:rPr>
            <w:noProof w:val="0"/>
            <w:webHidden/>
          </w:rPr>
        </w:r>
        <w:r w:rsidRPr="000F23E0">
          <w:rPr>
            <w:noProof w:val="0"/>
            <w:webHidden/>
          </w:rPr>
          <w:fldChar w:fldCharType="separate"/>
        </w:r>
        <w:r w:rsidRPr="000F23E0">
          <w:rPr>
            <w:noProof w:val="0"/>
            <w:webHidden/>
          </w:rPr>
          <w:t>21</w:t>
        </w:r>
        <w:r w:rsidRPr="000F23E0">
          <w:rPr>
            <w:noProof w:val="0"/>
            <w:webHidden/>
          </w:rPr>
          <w:fldChar w:fldCharType="end"/>
        </w:r>
      </w:hyperlink>
    </w:p>
    <w:p w14:paraId="3105676E" w14:textId="518C9D69" w:rsidR="00C26F03" w:rsidRPr="000F23E0" w:rsidRDefault="00C26F03" w:rsidP="00C26F03">
      <w:pPr>
        <w:pStyle w:val="TOC2"/>
        <w:keepNext w:val="0"/>
        <w:tabs>
          <w:tab w:val="left" w:pos="993"/>
        </w:tabs>
        <w:ind w:left="993" w:right="0" w:hanging="993"/>
        <w:rPr>
          <w:rFonts w:asciiTheme="minorHAnsi" w:eastAsiaTheme="minorEastAsia" w:hAnsiTheme="minorHAnsi" w:cstheme="minorBidi"/>
          <w:noProof w:val="0"/>
          <w:color w:val="auto"/>
          <w:kern w:val="2"/>
          <w:sz w:val="24"/>
          <w:szCs w:val="24"/>
          <w14:ligatures w14:val="standardContextual"/>
        </w:rPr>
      </w:pPr>
      <w:hyperlink w:anchor="_Toc225155750" w:history="1">
        <w:r w:rsidRPr="000F23E0">
          <w:rPr>
            <w:rStyle w:val="Hyperlink"/>
            <w:noProof w:val="0"/>
            <w:u w:val="none"/>
          </w:rPr>
          <w:t>Table 9:</w:t>
        </w:r>
        <w:r w:rsidRPr="000F23E0">
          <w:rPr>
            <w:rStyle w:val="Hyperlink"/>
            <w:noProof w:val="0"/>
            <w:u w:val="none"/>
          </w:rPr>
          <w:tab/>
          <w:t>Impact data for Snowy 2.0</w:t>
        </w:r>
        <w:r w:rsidRPr="000F23E0">
          <w:rPr>
            <w:noProof w:val="0"/>
            <w:webHidden/>
          </w:rPr>
          <w:tab/>
        </w:r>
        <w:r w:rsidRPr="000F23E0">
          <w:rPr>
            <w:noProof w:val="0"/>
            <w:webHidden/>
          </w:rPr>
          <w:fldChar w:fldCharType="begin"/>
        </w:r>
        <w:r w:rsidRPr="000F23E0">
          <w:rPr>
            <w:noProof w:val="0"/>
            <w:webHidden/>
          </w:rPr>
          <w:instrText xml:space="preserve"> PAGEREF _Toc225155750 \h </w:instrText>
        </w:r>
        <w:r w:rsidRPr="000F23E0">
          <w:rPr>
            <w:noProof w:val="0"/>
            <w:webHidden/>
          </w:rPr>
        </w:r>
        <w:r w:rsidRPr="000F23E0">
          <w:rPr>
            <w:noProof w:val="0"/>
            <w:webHidden/>
          </w:rPr>
          <w:fldChar w:fldCharType="separate"/>
        </w:r>
        <w:r w:rsidRPr="000F23E0">
          <w:rPr>
            <w:noProof w:val="0"/>
            <w:webHidden/>
          </w:rPr>
          <w:t>22</w:t>
        </w:r>
        <w:r w:rsidRPr="000F23E0">
          <w:rPr>
            <w:noProof w:val="0"/>
            <w:webHidden/>
          </w:rPr>
          <w:fldChar w:fldCharType="end"/>
        </w:r>
      </w:hyperlink>
    </w:p>
    <w:p w14:paraId="375DBEB4" w14:textId="596C0BE4" w:rsidR="00C26F03" w:rsidRPr="000F23E0" w:rsidRDefault="00C26F03" w:rsidP="00C26F03">
      <w:pPr>
        <w:pStyle w:val="TOC2"/>
        <w:keepNext w:val="0"/>
        <w:tabs>
          <w:tab w:val="left" w:pos="993"/>
        </w:tabs>
        <w:ind w:left="993" w:right="0" w:hanging="993"/>
        <w:rPr>
          <w:rStyle w:val="Hyperlink"/>
          <w:noProof w:val="0"/>
          <w:u w:val="none"/>
        </w:rPr>
      </w:pPr>
      <w:hyperlink w:anchor="_Toc225155751" w:history="1">
        <w:r w:rsidRPr="000F23E0">
          <w:rPr>
            <w:rStyle w:val="Hyperlink"/>
            <w:noProof w:val="0"/>
            <w:u w:val="none"/>
          </w:rPr>
          <w:t>Table 10:</w:t>
        </w:r>
        <w:r w:rsidRPr="000F23E0">
          <w:rPr>
            <w:rStyle w:val="Hyperlink"/>
            <w:noProof w:val="0"/>
            <w:u w:val="none"/>
          </w:rPr>
          <w:tab/>
          <w:t>Social co</w:t>
        </w:r>
        <w:r w:rsidRPr="000F23E0">
          <w:rPr>
            <w:rStyle w:val="Hyperlink"/>
            <w:noProof w:val="0"/>
            <w:u w:val="none"/>
          </w:rPr>
          <w:noBreakHyphen/>
          <w:t>benefits for Snowy 2.0</w:t>
        </w:r>
        <w:r w:rsidRPr="000F23E0">
          <w:rPr>
            <w:noProof w:val="0"/>
            <w:webHidden/>
          </w:rPr>
          <w:tab/>
        </w:r>
        <w:r w:rsidRPr="000F23E0">
          <w:rPr>
            <w:noProof w:val="0"/>
            <w:webHidden/>
          </w:rPr>
          <w:fldChar w:fldCharType="begin"/>
        </w:r>
        <w:r w:rsidRPr="000F23E0">
          <w:rPr>
            <w:noProof w:val="0"/>
            <w:webHidden/>
          </w:rPr>
          <w:instrText xml:space="preserve"> PAGEREF _Toc225155751 \h </w:instrText>
        </w:r>
        <w:r w:rsidRPr="000F23E0">
          <w:rPr>
            <w:noProof w:val="0"/>
            <w:webHidden/>
          </w:rPr>
        </w:r>
        <w:r w:rsidRPr="000F23E0">
          <w:rPr>
            <w:noProof w:val="0"/>
            <w:webHidden/>
          </w:rPr>
          <w:fldChar w:fldCharType="separate"/>
        </w:r>
        <w:r w:rsidRPr="000F23E0">
          <w:rPr>
            <w:noProof w:val="0"/>
            <w:webHidden/>
          </w:rPr>
          <w:t>22</w:t>
        </w:r>
        <w:r w:rsidRPr="000F23E0">
          <w:rPr>
            <w:noProof w:val="0"/>
            <w:webHidden/>
          </w:rPr>
          <w:fldChar w:fldCharType="end"/>
        </w:r>
      </w:hyperlink>
    </w:p>
    <w:p w14:paraId="2FFFA5F6" w14:textId="7646B502" w:rsidR="00C26F03" w:rsidRPr="000F23E0" w:rsidRDefault="00C26F03" w:rsidP="00C26F03">
      <w:pPr>
        <w:pStyle w:val="TOC2"/>
        <w:keepNext w:val="0"/>
        <w:tabs>
          <w:tab w:val="left" w:pos="993"/>
        </w:tabs>
        <w:ind w:left="993" w:right="0" w:hanging="993"/>
        <w:rPr>
          <w:rFonts w:asciiTheme="minorHAnsi" w:eastAsiaTheme="minorEastAsia" w:hAnsiTheme="minorHAnsi" w:cstheme="minorBidi"/>
          <w:noProof w:val="0"/>
          <w:color w:val="auto"/>
          <w:kern w:val="2"/>
          <w:sz w:val="24"/>
          <w:szCs w:val="24"/>
          <w14:ligatures w14:val="standardContextual"/>
        </w:rPr>
      </w:pPr>
      <w:hyperlink w:anchor="_Toc225155753" w:history="1">
        <w:r w:rsidRPr="000F23E0">
          <w:rPr>
            <w:rStyle w:val="Hyperlink"/>
            <w:noProof w:val="0"/>
            <w:u w:val="none"/>
          </w:rPr>
          <w:t>Table 11:</w:t>
        </w:r>
        <w:r w:rsidRPr="000F23E0">
          <w:rPr>
            <w:rStyle w:val="Hyperlink"/>
            <w:noProof w:val="0"/>
            <w:u w:val="none"/>
          </w:rPr>
          <w:tab/>
          <w:t>Allocation data for Regional Hydrogen Hubs ($ million)</w:t>
        </w:r>
        <w:r w:rsidRPr="000F23E0">
          <w:rPr>
            <w:noProof w:val="0"/>
            <w:webHidden/>
          </w:rPr>
          <w:tab/>
        </w:r>
        <w:r w:rsidRPr="000F23E0">
          <w:rPr>
            <w:noProof w:val="0"/>
            <w:webHidden/>
          </w:rPr>
          <w:fldChar w:fldCharType="begin"/>
        </w:r>
        <w:r w:rsidRPr="000F23E0">
          <w:rPr>
            <w:noProof w:val="0"/>
            <w:webHidden/>
          </w:rPr>
          <w:instrText xml:space="preserve"> PAGEREF _Toc225155753 \h </w:instrText>
        </w:r>
        <w:r w:rsidRPr="000F23E0">
          <w:rPr>
            <w:noProof w:val="0"/>
            <w:webHidden/>
          </w:rPr>
        </w:r>
        <w:r w:rsidRPr="000F23E0">
          <w:rPr>
            <w:noProof w:val="0"/>
            <w:webHidden/>
          </w:rPr>
          <w:fldChar w:fldCharType="separate"/>
        </w:r>
        <w:r w:rsidRPr="000F23E0">
          <w:rPr>
            <w:noProof w:val="0"/>
            <w:webHidden/>
          </w:rPr>
          <w:t>25</w:t>
        </w:r>
        <w:r w:rsidRPr="000F23E0">
          <w:rPr>
            <w:noProof w:val="0"/>
            <w:webHidden/>
          </w:rPr>
          <w:fldChar w:fldCharType="end"/>
        </w:r>
      </w:hyperlink>
    </w:p>
    <w:p w14:paraId="7D8E9B2A" w14:textId="62428798" w:rsidR="00C26F03" w:rsidRPr="000F23E0" w:rsidRDefault="00C26F03" w:rsidP="00C26F03">
      <w:pPr>
        <w:pStyle w:val="TOC2"/>
        <w:keepNext w:val="0"/>
        <w:tabs>
          <w:tab w:val="left" w:pos="993"/>
        </w:tabs>
        <w:ind w:left="993" w:right="0" w:hanging="993"/>
        <w:rPr>
          <w:rFonts w:asciiTheme="minorHAnsi" w:eastAsiaTheme="minorEastAsia" w:hAnsiTheme="minorHAnsi" w:cstheme="minorBidi"/>
          <w:noProof w:val="0"/>
          <w:color w:val="auto"/>
          <w:kern w:val="2"/>
          <w:sz w:val="24"/>
          <w:szCs w:val="24"/>
          <w14:ligatures w14:val="standardContextual"/>
        </w:rPr>
      </w:pPr>
      <w:hyperlink w:anchor="_Toc225155754" w:history="1">
        <w:r w:rsidRPr="000F23E0">
          <w:rPr>
            <w:rStyle w:val="Hyperlink"/>
            <w:noProof w:val="0"/>
            <w:u w:val="none"/>
          </w:rPr>
          <w:t>Table 12:</w:t>
        </w:r>
        <w:r w:rsidRPr="000F23E0">
          <w:rPr>
            <w:rStyle w:val="Hyperlink"/>
            <w:noProof w:val="0"/>
            <w:u w:val="none"/>
          </w:rPr>
          <w:tab/>
          <w:t>Impact data for Regional Hydrogen Hubs</w:t>
        </w:r>
        <w:r w:rsidRPr="000F23E0">
          <w:rPr>
            <w:noProof w:val="0"/>
            <w:webHidden/>
          </w:rPr>
          <w:tab/>
        </w:r>
        <w:r w:rsidRPr="000F23E0">
          <w:rPr>
            <w:noProof w:val="0"/>
            <w:webHidden/>
          </w:rPr>
          <w:fldChar w:fldCharType="begin"/>
        </w:r>
        <w:r w:rsidRPr="000F23E0">
          <w:rPr>
            <w:noProof w:val="0"/>
            <w:webHidden/>
          </w:rPr>
          <w:instrText xml:space="preserve"> PAGEREF _Toc225155754 \h </w:instrText>
        </w:r>
        <w:r w:rsidRPr="000F23E0">
          <w:rPr>
            <w:noProof w:val="0"/>
            <w:webHidden/>
          </w:rPr>
        </w:r>
        <w:r w:rsidRPr="000F23E0">
          <w:rPr>
            <w:noProof w:val="0"/>
            <w:webHidden/>
          </w:rPr>
          <w:fldChar w:fldCharType="separate"/>
        </w:r>
        <w:r w:rsidRPr="000F23E0">
          <w:rPr>
            <w:noProof w:val="0"/>
            <w:webHidden/>
          </w:rPr>
          <w:t>26</w:t>
        </w:r>
        <w:r w:rsidRPr="000F23E0">
          <w:rPr>
            <w:noProof w:val="0"/>
            <w:webHidden/>
          </w:rPr>
          <w:fldChar w:fldCharType="end"/>
        </w:r>
      </w:hyperlink>
    </w:p>
    <w:p w14:paraId="385B8D7C" w14:textId="45ABD5AF" w:rsidR="00C26F03" w:rsidRPr="000F23E0" w:rsidRDefault="00C26F03" w:rsidP="00C26F03">
      <w:pPr>
        <w:pStyle w:val="TOC2"/>
        <w:keepNext w:val="0"/>
        <w:tabs>
          <w:tab w:val="left" w:pos="993"/>
        </w:tabs>
        <w:ind w:left="993" w:right="0" w:hanging="993"/>
        <w:rPr>
          <w:rFonts w:asciiTheme="minorHAnsi" w:eastAsiaTheme="minorEastAsia" w:hAnsiTheme="minorHAnsi" w:cstheme="minorBidi"/>
          <w:noProof w:val="0"/>
          <w:color w:val="auto"/>
          <w:kern w:val="2"/>
          <w:sz w:val="24"/>
          <w:szCs w:val="24"/>
          <w14:ligatures w14:val="standardContextual"/>
        </w:rPr>
      </w:pPr>
      <w:hyperlink w:anchor="_Toc225155756" w:history="1">
        <w:r w:rsidRPr="000F23E0">
          <w:rPr>
            <w:rStyle w:val="Hyperlink"/>
            <w:noProof w:val="0"/>
            <w:u w:val="none"/>
          </w:rPr>
          <w:t>Table 13:</w:t>
        </w:r>
        <w:r w:rsidRPr="000F23E0">
          <w:rPr>
            <w:rStyle w:val="Hyperlink"/>
            <w:noProof w:val="0"/>
            <w:u w:val="none"/>
          </w:rPr>
          <w:tab/>
          <w:t>Allocation data for Community Batteries ($ million)</w:t>
        </w:r>
        <w:r w:rsidRPr="000F23E0">
          <w:rPr>
            <w:noProof w:val="0"/>
            <w:webHidden/>
          </w:rPr>
          <w:tab/>
        </w:r>
        <w:r w:rsidRPr="000F23E0">
          <w:rPr>
            <w:noProof w:val="0"/>
            <w:webHidden/>
          </w:rPr>
          <w:fldChar w:fldCharType="begin"/>
        </w:r>
        <w:r w:rsidRPr="000F23E0">
          <w:rPr>
            <w:noProof w:val="0"/>
            <w:webHidden/>
          </w:rPr>
          <w:instrText xml:space="preserve"> PAGEREF _Toc225155756 \h </w:instrText>
        </w:r>
        <w:r w:rsidRPr="000F23E0">
          <w:rPr>
            <w:noProof w:val="0"/>
            <w:webHidden/>
          </w:rPr>
        </w:r>
        <w:r w:rsidRPr="000F23E0">
          <w:rPr>
            <w:noProof w:val="0"/>
            <w:webHidden/>
          </w:rPr>
          <w:fldChar w:fldCharType="separate"/>
        </w:r>
        <w:r w:rsidRPr="000F23E0">
          <w:rPr>
            <w:noProof w:val="0"/>
            <w:webHidden/>
          </w:rPr>
          <w:t>28</w:t>
        </w:r>
        <w:r w:rsidRPr="000F23E0">
          <w:rPr>
            <w:noProof w:val="0"/>
            <w:webHidden/>
          </w:rPr>
          <w:fldChar w:fldCharType="end"/>
        </w:r>
      </w:hyperlink>
    </w:p>
    <w:p w14:paraId="2B4FA20B" w14:textId="4AF66E36" w:rsidR="00C26F03" w:rsidRPr="000F23E0" w:rsidRDefault="00C26F03" w:rsidP="00C26F03">
      <w:pPr>
        <w:pStyle w:val="TOC2"/>
        <w:keepNext w:val="0"/>
        <w:tabs>
          <w:tab w:val="left" w:pos="993"/>
        </w:tabs>
        <w:ind w:left="993" w:right="0" w:hanging="993"/>
        <w:rPr>
          <w:rStyle w:val="Hyperlink"/>
          <w:noProof w:val="0"/>
          <w:u w:val="none"/>
        </w:rPr>
      </w:pPr>
      <w:hyperlink w:anchor="_Toc225155757" w:history="1">
        <w:r w:rsidRPr="000F23E0">
          <w:rPr>
            <w:rStyle w:val="Hyperlink"/>
            <w:noProof w:val="0"/>
            <w:u w:val="none"/>
          </w:rPr>
          <w:t>Table 14:</w:t>
        </w:r>
        <w:r w:rsidRPr="000F23E0">
          <w:rPr>
            <w:rStyle w:val="Hyperlink"/>
            <w:noProof w:val="0"/>
            <w:u w:val="none"/>
          </w:rPr>
          <w:tab/>
          <w:t>Impact data for Community Batteries</w:t>
        </w:r>
        <w:r w:rsidRPr="000F23E0">
          <w:rPr>
            <w:noProof w:val="0"/>
            <w:webHidden/>
          </w:rPr>
          <w:tab/>
        </w:r>
        <w:r w:rsidRPr="000F23E0">
          <w:rPr>
            <w:noProof w:val="0"/>
            <w:webHidden/>
          </w:rPr>
          <w:fldChar w:fldCharType="begin"/>
        </w:r>
        <w:r w:rsidRPr="000F23E0">
          <w:rPr>
            <w:noProof w:val="0"/>
            <w:webHidden/>
          </w:rPr>
          <w:instrText xml:space="preserve"> PAGEREF _Toc225155757 \h </w:instrText>
        </w:r>
        <w:r w:rsidRPr="000F23E0">
          <w:rPr>
            <w:noProof w:val="0"/>
            <w:webHidden/>
          </w:rPr>
        </w:r>
        <w:r w:rsidRPr="000F23E0">
          <w:rPr>
            <w:noProof w:val="0"/>
            <w:webHidden/>
          </w:rPr>
          <w:fldChar w:fldCharType="separate"/>
        </w:r>
        <w:r w:rsidRPr="000F23E0">
          <w:rPr>
            <w:noProof w:val="0"/>
            <w:webHidden/>
          </w:rPr>
          <w:t>29</w:t>
        </w:r>
        <w:r w:rsidRPr="000F23E0">
          <w:rPr>
            <w:noProof w:val="0"/>
            <w:webHidden/>
          </w:rPr>
          <w:fldChar w:fldCharType="end"/>
        </w:r>
      </w:hyperlink>
    </w:p>
    <w:p w14:paraId="38A41315" w14:textId="020C6A61" w:rsidR="00C26F03" w:rsidRPr="000F23E0" w:rsidRDefault="00C26F03" w:rsidP="00C26F03">
      <w:pPr>
        <w:pStyle w:val="TOC2"/>
        <w:keepNext w:val="0"/>
        <w:tabs>
          <w:tab w:val="left" w:pos="993"/>
        </w:tabs>
        <w:ind w:left="993" w:right="0" w:hanging="993"/>
        <w:rPr>
          <w:rFonts w:asciiTheme="minorHAnsi" w:eastAsiaTheme="minorEastAsia" w:hAnsiTheme="minorHAnsi" w:cstheme="minorBidi"/>
          <w:noProof w:val="0"/>
          <w:color w:val="auto"/>
          <w:kern w:val="2"/>
          <w:sz w:val="24"/>
          <w:szCs w:val="24"/>
          <w14:ligatures w14:val="standardContextual"/>
        </w:rPr>
      </w:pPr>
      <w:hyperlink w:anchor="_Toc225155759" w:history="1">
        <w:r w:rsidRPr="000F23E0">
          <w:rPr>
            <w:rStyle w:val="Hyperlink"/>
            <w:noProof w:val="0"/>
            <w:u w:val="none"/>
          </w:rPr>
          <w:t>Table 15:</w:t>
        </w:r>
        <w:r w:rsidRPr="000F23E0">
          <w:rPr>
            <w:rStyle w:val="Hyperlink"/>
            <w:noProof w:val="0"/>
            <w:u w:val="none"/>
          </w:rPr>
          <w:tab/>
          <w:t>Allocation data for the Advancing Renewables Program ($ million)</w:t>
        </w:r>
        <w:r w:rsidRPr="000F23E0">
          <w:rPr>
            <w:noProof w:val="0"/>
            <w:webHidden/>
          </w:rPr>
          <w:tab/>
        </w:r>
        <w:r w:rsidRPr="000F23E0">
          <w:rPr>
            <w:noProof w:val="0"/>
            <w:webHidden/>
          </w:rPr>
          <w:fldChar w:fldCharType="begin"/>
        </w:r>
        <w:r w:rsidRPr="000F23E0">
          <w:rPr>
            <w:noProof w:val="0"/>
            <w:webHidden/>
          </w:rPr>
          <w:instrText xml:space="preserve"> PAGEREF _Toc225155759 \h </w:instrText>
        </w:r>
        <w:r w:rsidRPr="000F23E0">
          <w:rPr>
            <w:noProof w:val="0"/>
            <w:webHidden/>
          </w:rPr>
        </w:r>
        <w:r w:rsidRPr="000F23E0">
          <w:rPr>
            <w:noProof w:val="0"/>
            <w:webHidden/>
          </w:rPr>
          <w:fldChar w:fldCharType="separate"/>
        </w:r>
        <w:r w:rsidRPr="000F23E0">
          <w:rPr>
            <w:noProof w:val="0"/>
            <w:webHidden/>
          </w:rPr>
          <w:t>32</w:t>
        </w:r>
        <w:r w:rsidRPr="000F23E0">
          <w:rPr>
            <w:noProof w:val="0"/>
            <w:webHidden/>
          </w:rPr>
          <w:fldChar w:fldCharType="end"/>
        </w:r>
      </w:hyperlink>
    </w:p>
    <w:p w14:paraId="097CDF0E" w14:textId="54F09379" w:rsidR="00C26F03" w:rsidRPr="000F23E0" w:rsidRDefault="00C26F03" w:rsidP="00C26F03">
      <w:pPr>
        <w:pStyle w:val="TOC2"/>
        <w:keepNext w:val="0"/>
        <w:tabs>
          <w:tab w:val="left" w:pos="993"/>
        </w:tabs>
        <w:ind w:left="993" w:right="0" w:hanging="993"/>
        <w:rPr>
          <w:rStyle w:val="Hyperlink"/>
          <w:noProof w:val="0"/>
          <w:u w:val="none"/>
        </w:rPr>
      </w:pPr>
      <w:hyperlink w:anchor="_Toc225155760" w:history="1">
        <w:r w:rsidRPr="000F23E0">
          <w:rPr>
            <w:rStyle w:val="Hyperlink"/>
            <w:noProof w:val="0"/>
            <w:u w:val="none"/>
          </w:rPr>
          <w:t>Table 16:</w:t>
        </w:r>
        <w:r w:rsidRPr="000F23E0">
          <w:rPr>
            <w:rStyle w:val="Hyperlink"/>
            <w:noProof w:val="0"/>
            <w:u w:val="none"/>
          </w:rPr>
          <w:tab/>
          <w:t>Impact data for the Advancing Renewables Program</w:t>
        </w:r>
        <w:r w:rsidRPr="000F23E0">
          <w:rPr>
            <w:noProof w:val="0"/>
            <w:webHidden/>
          </w:rPr>
          <w:tab/>
        </w:r>
        <w:r w:rsidRPr="000F23E0">
          <w:rPr>
            <w:noProof w:val="0"/>
            <w:webHidden/>
          </w:rPr>
          <w:fldChar w:fldCharType="begin"/>
        </w:r>
        <w:r w:rsidRPr="000F23E0">
          <w:rPr>
            <w:noProof w:val="0"/>
            <w:webHidden/>
          </w:rPr>
          <w:instrText xml:space="preserve"> PAGEREF _Toc225155760 \h </w:instrText>
        </w:r>
        <w:r w:rsidRPr="000F23E0">
          <w:rPr>
            <w:noProof w:val="0"/>
            <w:webHidden/>
          </w:rPr>
        </w:r>
        <w:r w:rsidRPr="000F23E0">
          <w:rPr>
            <w:noProof w:val="0"/>
            <w:webHidden/>
          </w:rPr>
          <w:fldChar w:fldCharType="separate"/>
        </w:r>
        <w:r w:rsidRPr="000F23E0">
          <w:rPr>
            <w:noProof w:val="0"/>
            <w:webHidden/>
          </w:rPr>
          <w:t>33</w:t>
        </w:r>
        <w:r w:rsidRPr="000F23E0">
          <w:rPr>
            <w:noProof w:val="0"/>
            <w:webHidden/>
          </w:rPr>
          <w:fldChar w:fldCharType="end"/>
        </w:r>
      </w:hyperlink>
    </w:p>
    <w:p w14:paraId="259E8961" w14:textId="138E2D81" w:rsidR="00C26F03" w:rsidRPr="000F23E0" w:rsidRDefault="00C26F03" w:rsidP="00C26F03">
      <w:pPr>
        <w:pStyle w:val="TOC2"/>
        <w:keepNext w:val="0"/>
        <w:tabs>
          <w:tab w:val="left" w:pos="993"/>
        </w:tabs>
        <w:ind w:left="993" w:right="0" w:hanging="993"/>
        <w:rPr>
          <w:rFonts w:asciiTheme="minorHAnsi" w:eastAsiaTheme="minorEastAsia" w:hAnsiTheme="minorHAnsi" w:cstheme="minorBidi"/>
          <w:noProof w:val="0"/>
          <w:color w:val="auto"/>
          <w:kern w:val="2"/>
          <w:sz w:val="24"/>
          <w:szCs w:val="24"/>
          <w14:ligatures w14:val="standardContextual"/>
        </w:rPr>
      </w:pPr>
      <w:hyperlink w:anchor="_Toc225155763" w:history="1">
        <w:r w:rsidRPr="000F23E0">
          <w:rPr>
            <w:rStyle w:val="Hyperlink"/>
            <w:noProof w:val="0"/>
            <w:u w:val="none"/>
          </w:rPr>
          <w:t>Table 17:</w:t>
        </w:r>
        <w:r w:rsidRPr="000F23E0">
          <w:rPr>
            <w:rStyle w:val="Hyperlink"/>
            <w:noProof w:val="0"/>
            <w:u w:val="none"/>
          </w:rPr>
          <w:tab/>
          <w:t>Allocation Data for the Household Energy Upgrades Fund™ ($ million)</w:t>
        </w:r>
        <w:r w:rsidRPr="000F23E0">
          <w:rPr>
            <w:noProof w:val="0"/>
            <w:webHidden/>
          </w:rPr>
          <w:tab/>
        </w:r>
        <w:r w:rsidRPr="000F23E0">
          <w:rPr>
            <w:noProof w:val="0"/>
            <w:webHidden/>
          </w:rPr>
          <w:fldChar w:fldCharType="begin"/>
        </w:r>
        <w:r w:rsidRPr="000F23E0">
          <w:rPr>
            <w:noProof w:val="0"/>
            <w:webHidden/>
          </w:rPr>
          <w:instrText xml:space="preserve"> PAGEREF _Toc225155763 \h </w:instrText>
        </w:r>
        <w:r w:rsidRPr="000F23E0">
          <w:rPr>
            <w:noProof w:val="0"/>
            <w:webHidden/>
          </w:rPr>
        </w:r>
        <w:r w:rsidRPr="000F23E0">
          <w:rPr>
            <w:noProof w:val="0"/>
            <w:webHidden/>
          </w:rPr>
          <w:fldChar w:fldCharType="separate"/>
        </w:r>
        <w:r w:rsidRPr="000F23E0">
          <w:rPr>
            <w:noProof w:val="0"/>
            <w:webHidden/>
          </w:rPr>
          <w:t>36</w:t>
        </w:r>
        <w:r w:rsidRPr="000F23E0">
          <w:rPr>
            <w:noProof w:val="0"/>
            <w:webHidden/>
          </w:rPr>
          <w:fldChar w:fldCharType="end"/>
        </w:r>
      </w:hyperlink>
    </w:p>
    <w:p w14:paraId="4E09229B" w14:textId="42EFB90B" w:rsidR="00C26F03" w:rsidRPr="000F23E0" w:rsidRDefault="00C26F03" w:rsidP="00C26F03">
      <w:pPr>
        <w:pStyle w:val="TOC2"/>
        <w:keepNext w:val="0"/>
        <w:tabs>
          <w:tab w:val="left" w:pos="993"/>
        </w:tabs>
        <w:ind w:left="993" w:right="0" w:hanging="993"/>
        <w:rPr>
          <w:rStyle w:val="Hyperlink"/>
          <w:noProof w:val="0"/>
          <w:u w:val="none"/>
        </w:rPr>
      </w:pPr>
      <w:hyperlink w:anchor="_Toc225155764" w:history="1">
        <w:r w:rsidRPr="000F23E0">
          <w:rPr>
            <w:rStyle w:val="Hyperlink"/>
            <w:noProof w:val="0"/>
            <w:u w:val="none"/>
          </w:rPr>
          <w:t>Table 18:</w:t>
        </w:r>
        <w:r w:rsidRPr="000F23E0">
          <w:rPr>
            <w:rStyle w:val="Hyperlink"/>
            <w:noProof w:val="0"/>
            <w:u w:val="none"/>
          </w:rPr>
          <w:tab/>
          <w:t>Impact data for the Household Energy Upgrades Fund™</w:t>
        </w:r>
        <w:r w:rsidRPr="000F23E0">
          <w:rPr>
            <w:noProof w:val="0"/>
            <w:webHidden/>
          </w:rPr>
          <w:tab/>
        </w:r>
        <w:r w:rsidRPr="000F23E0">
          <w:rPr>
            <w:noProof w:val="0"/>
            <w:webHidden/>
          </w:rPr>
          <w:fldChar w:fldCharType="begin"/>
        </w:r>
        <w:r w:rsidRPr="000F23E0">
          <w:rPr>
            <w:noProof w:val="0"/>
            <w:webHidden/>
          </w:rPr>
          <w:instrText xml:space="preserve"> PAGEREF _Toc225155764 \h </w:instrText>
        </w:r>
        <w:r w:rsidRPr="000F23E0">
          <w:rPr>
            <w:noProof w:val="0"/>
            <w:webHidden/>
          </w:rPr>
        </w:r>
        <w:r w:rsidRPr="000F23E0">
          <w:rPr>
            <w:noProof w:val="0"/>
            <w:webHidden/>
          </w:rPr>
          <w:fldChar w:fldCharType="separate"/>
        </w:r>
        <w:r w:rsidRPr="000F23E0">
          <w:rPr>
            <w:noProof w:val="0"/>
            <w:webHidden/>
          </w:rPr>
          <w:t>37</w:t>
        </w:r>
        <w:r w:rsidRPr="000F23E0">
          <w:rPr>
            <w:noProof w:val="0"/>
            <w:webHidden/>
          </w:rPr>
          <w:fldChar w:fldCharType="end"/>
        </w:r>
      </w:hyperlink>
    </w:p>
    <w:p w14:paraId="38F32FEE" w14:textId="26B0CC12" w:rsidR="00C26F03" w:rsidRPr="000F23E0" w:rsidRDefault="00C26F03" w:rsidP="00C26F03">
      <w:pPr>
        <w:pStyle w:val="TOC2"/>
        <w:keepNext w:val="0"/>
        <w:tabs>
          <w:tab w:val="left" w:pos="993"/>
        </w:tabs>
        <w:ind w:left="993" w:right="0" w:hanging="993"/>
        <w:rPr>
          <w:rFonts w:asciiTheme="minorHAnsi" w:eastAsiaTheme="minorEastAsia" w:hAnsiTheme="minorHAnsi" w:cstheme="minorBidi"/>
          <w:noProof w:val="0"/>
          <w:color w:val="auto"/>
          <w:kern w:val="2"/>
          <w:sz w:val="24"/>
          <w:szCs w:val="24"/>
          <w14:ligatures w14:val="standardContextual"/>
        </w:rPr>
      </w:pPr>
      <w:hyperlink w:anchor="_Toc225155766" w:history="1">
        <w:r w:rsidRPr="000F23E0">
          <w:rPr>
            <w:rStyle w:val="Hyperlink"/>
            <w:noProof w:val="0"/>
            <w:u w:val="none"/>
          </w:rPr>
          <w:t>Table 19:</w:t>
        </w:r>
        <w:r w:rsidRPr="000F23E0">
          <w:rPr>
            <w:rStyle w:val="Hyperlink"/>
            <w:noProof w:val="0"/>
            <w:u w:val="none"/>
          </w:rPr>
          <w:tab/>
          <w:t>Allocation Data for the Social Housing Energy Performance Initiative (SHEPI) ($ million)</w:t>
        </w:r>
        <w:r w:rsidRPr="000F23E0">
          <w:rPr>
            <w:noProof w:val="0"/>
            <w:webHidden/>
          </w:rPr>
          <w:tab/>
        </w:r>
        <w:r w:rsidRPr="000F23E0">
          <w:rPr>
            <w:noProof w:val="0"/>
            <w:webHidden/>
          </w:rPr>
          <w:fldChar w:fldCharType="begin"/>
        </w:r>
        <w:r w:rsidRPr="000F23E0">
          <w:rPr>
            <w:noProof w:val="0"/>
            <w:webHidden/>
          </w:rPr>
          <w:instrText xml:space="preserve"> PAGEREF _Toc225155766 \h </w:instrText>
        </w:r>
        <w:r w:rsidRPr="000F23E0">
          <w:rPr>
            <w:noProof w:val="0"/>
            <w:webHidden/>
          </w:rPr>
        </w:r>
        <w:r w:rsidRPr="000F23E0">
          <w:rPr>
            <w:noProof w:val="0"/>
            <w:webHidden/>
          </w:rPr>
          <w:fldChar w:fldCharType="separate"/>
        </w:r>
        <w:r w:rsidRPr="000F23E0">
          <w:rPr>
            <w:noProof w:val="0"/>
            <w:webHidden/>
          </w:rPr>
          <w:t>38</w:t>
        </w:r>
        <w:r w:rsidRPr="000F23E0">
          <w:rPr>
            <w:noProof w:val="0"/>
            <w:webHidden/>
          </w:rPr>
          <w:fldChar w:fldCharType="end"/>
        </w:r>
      </w:hyperlink>
    </w:p>
    <w:p w14:paraId="6482A2B0" w14:textId="5920B7FB" w:rsidR="00C26F03" w:rsidRPr="000F23E0" w:rsidRDefault="00C26F03" w:rsidP="00C26F03">
      <w:pPr>
        <w:pStyle w:val="TOC2"/>
        <w:keepNext w:val="0"/>
        <w:tabs>
          <w:tab w:val="left" w:pos="993"/>
        </w:tabs>
        <w:ind w:left="993" w:right="0" w:hanging="993"/>
        <w:rPr>
          <w:rStyle w:val="Hyperlink"/>
          <w:noProof w:val="0"/>
          <w:u w:val="none"/>
        </w:rPr>
      </w:pPr>
      <w:hyperlink w:anchor="_Toc225155767" w:history="1">
        <w:r w:rsidRPr="000F23E0">
          <w:rPr>
            <w:rStyle w:val="Hyperlink"/>
            <w:noProof w:val="0"/>
            <w:u w:val="none"/>
          </w:rPr>
          <w:t>Table 20:</w:t>
        </w:r>
        <w:r w:rsidRPr="000F23E0">
          <w:rPr>
            <w:rStyle w:val="Hyperlink"/>
            <w:noProof w:val="0"/>
            <w:u w:val="none"/>
          </w:rPr>
          <w:tab/>
          <w:t>Impact data for the Social Housing Energy Performance Initiative</w:t>
        </w:r>
        <w:r w:rsidRPr="000F23E0">
          <w:rPr>
            <w:noProof w:val="0"/>
            <w:webHidden/>
          </w:rPr>
          <w:tab/>
        </w:r>
        <w:r w:rsidRPr="000F23E0">
          <w:rPr>
            <w:noProof w:val="0"/>
            <w:webHidden/>
          </w:rPr>
          <w:fldChar w:fldCharType="begin"/>
        </w:r>
        <w:r w:rsidRPr="000F23E0">
          <w:rPr>
            <w:noProof w:val="0"/>
            <w:webHidden/>
          </w:rPr>
          <w:instrText xml:space="preserve"> PAGEREF _Toc225155767 \h </w:instrText>
        </w:r>
        <w:r w:rsidRPr="000F23E0">
          <w:rPr>
            <w:noProof w:val="0"/>
            <w:webHidden/>
          </w:rPr>
        </w:r>
        <w:r w:rsidRPr="000F23E0">
          <w:rPr>
            <w:noProof w:val="0"/>
            <w:webHidden/>
          </w:rPr>
          <w:fldChar w:fldCharType="separate"/>
        </w:r>
        <w:r w:rsidRPr="000F23E0">
          <w:rPr>
            <w:noProof w:val="0"/>
            <w:webHidden/>
          </w:rPr>
          <w:t>39</w:t>
        </w:r>
        <w:r w:rsidRPr="000F23E0">
          <w:rPr>
            <w:noProof w:val="0"/>
            <w:webHidden/>
          </w:rPr>
          <w:fldChar w:fldCharType="end"/>
        </w:r>
      </w:hyperlink>
    </w:p>
    <w:p w14:paraId="7478A0F3" w14:textId="34C0C58D" w:rsidR="00C26F03" w:rsidRPr="000F23E0" w:rsidRDefault="00C26F03" w:rsidP="00C26F03">
      <w:pPr>
        <w:pStyle w:val="TOC2"/>
        <w:keepNext w:val="0"/>
        <w:tabs>
          <w:tab w:val="left" w:pos="993"/>
        </w:tabs>
        <w:ind w:left="993" w:right="0" w:hanging="993"/>
        <w:rPr>
          <w:rFonts w:asciiTheme="minorHAnsi" w:eastAsiaTheme="minorEastAsia" w:hAnsiTheme="minorHAnsi" w:cstheme="minorBidi"/>
          <w:noProof w:val="0"/>
          <w:color w:val="auto"/>
          <w:kern w:val="2"/>
          <w:sz w:val="24"/>
          <w:szCs w:val="24"/>
          <w14:ligatures w14:val="standardContextual"/>
        </w:rPr>
      </w:pPr>
      <w:hyperlink w:anchor="_Toc225155771" w:history="1">
        <w:r w:rsidRPr="000F23E0">
          <w:rPr>
            <w:rStyle w:val="Hyperlink"/>
            <w:noProof w:val="0"/>
            <w:u w:val="none"/>
          </w:rPr>
          <w:t>Table 21:</w:t>
        </w:r>
        <w:r w:rsidRPr="000F23E0">
          <w:rPr>
            <w:rStyle w:val="Hyperlink"/>
            <w:noProof w:val="0"/>
            <w:u w:val="none"/>
          </w:rPr>
          <w:tab/>
          <w:t>Allocation Data for Electric Rail Infrastructure Investments ($ million)</w:t>
        </w:r>
        <w:r w:rsidRPr="000F23E0">
          <w:rPr>
            <w:noProof w:val="0"/>
            <w:webHidden/>
          </w:rPr>
          <w:tab/>
        </w:r>
        <w:r w:rsidRPr="000F23E0">
          <w:rPr>
            <w:noProof w:val="0"/>
            <w:webHidden/>
          </w:rPr>
          <w:fldChar w:fldCharType="begin"/>
        </w:r>
        <w:r w:rsidRPr="000F23E0">
          <w:rPr>
            <w:noProof w:val="0"/>
            <w:webHidden/>
          </w:rPr>
          <w:instrText xml:space="preserve"> PAGEREF _Toc225155771 \h </w:instrText>
        </w:r>
        <w:r w:rsidRPr="000F23E0">
          <w:rPr>
            <w:noProof w:val="0"/>
            <w:webHidden/>
          </w:rPr>
        </w:r>
        <w:r w:rsidRPr="000F23E0">
          <w:rPr>
            <w:noProof w:val="0"/>
            <w:webHidden/>
          </w:rPr>
          <w:fldChar w:fldCharType="separate"/>
        </w:r>
        <w:r w:rsidRPr="000F23E0">
          <w:rPr>
            <w:noProof w:val="0"/>
            <w:webHidden/>
          </w:rPr>
          <w:t>42</w:t>
        </w:r>
        <w:r w:rsidRPr="000F23E0">
          <w:rPr>
            <w:noProof w:val="0"/>
            <w:webHidden/>
          </w:rPr>
          <w:fldChar w:fldCharType="end"/>
        </w:r>
      </w:hyperlink>
    </w:p>
    <w:p w14:paraId="52C370EE" w14:textId="3852C08C" w:rsidR="00C26F03" w:rsidRPr="000F23E0" w:rsidRDefault="00C26F03" w:rsidP="00C26F03">
      <w:pPr>
        <w:pStyle w:val="TOC2"/>
        <w:keepNext w:val="0"/>
        <w:tabs>
          <w:tab w:val="left" w:pos="993"/>
        </w:tabs>
        <w:ind w:left="993" w:right="0" w:hanging="993"/>
        <w:rPr>
          <w:rFonts w:asciiTheme="minorHAnsi" w:eastAsiaTheme="minorEastAsia" w:hAnsiTheme="minorHAnsi" w:cstheme="minorBidi"/>
          <w:noProof w:val="0"/>
          <w:color w:val="auto"/>
          <w:kern w:val="2"/>
          <w:sz w:val="24"/>
          <w:szCs w:val="24"/>
          <w14:ligatures w14:val="standardContextual"/>
        </w:rPr>
      </w:pPr>
      <w:hyperlink w:anchor="_Toc225155772" w:history="1">
        <w:r w:rsidRPr="000F23E0">
          <w:rPr>
            <w:rStyle w:val="Hyperlink"/>
            <w:noProof w:val="0"/>
            <w:u w:val="none"/>
          </w:rPr>
          <w:t>Table 22:</w:t>
        </w:r>
        <w:r w:rsidRPr="000F23E0">
          <w:rPr>
            <w:rStyle w:val="Hyperlink"/>
            <w:bCs/>
            <w:noProof w:val="0"/>
            <w:u w:val="none"/>
          </w:rPr>
          <w:tab/>
          <w:t>Impact Data for Electric Rail Infrastructure Investments</w:t>
        </w:r>
        <w:r w:rsidRPr="000F23E0">
          <w:rPr>
            <w:noProof w:val="0"/>
            <w:webHidden/>
          </w:rPr>
          <w:tab/>
        </w:r>
        <w:r w:rsidRPr="000F23E0">
          <w:rPr>
            <w:noProof w:val="0"/>
            <w:webHidden/>
          </w:rPr>
          <w:fldChar w:fldCharType="begin"/>
        </w:r>
        <w:r w:rsidRPr="000F23E0">
          <w:rPr>
            <w:noProof w:val="0"/>
            <w:webHidden/>
          </w:rPr>
          <w:instrText xml:space="preserve"> PAGEREF _Toc225155772 \h </w:instrText>
        </w:r>
        <w:r w:rsidRPr="000F23E0">
          <w:rPr>
            <w:noProof w:val="0"/>
            <w:webHidden/>
          </w:rPr>
        </w:r>
        <w:r w:rsidRPr="000F23E0">
          <w:rPr>
            <w:noProof w:val="0"/>
            <w:webHidden/>
          </w:rPr>
          <w:fldChar w:fldCharType="separate"/>
        </w:r>
        <w:r w:rsidRPr="000F23E0">
          <w:rPr>
            <w:noProof w:val="0"/>
            <w:webHidden/>
          </w:rPr>
          <w:t>44</w:t>
        </w:r>
        <w:r w:rsidRPr="000F23E0">
          <w:rPr>
            <w:noProof w:val="0"/>
            <w:webHidden/>
          </w:rPr>
          <w:fldChar w:fldCharType="end"/>
        </w:r>
      </w:hyperlink>
    </w:p>
    <w:p w14:paraId="2ED02E9B" w14:textId="0BB3D370" w:rsidR="00C26F03" w:rsidRPr="000F23E0" w:rsidRDefault="00C26F03" w:rsidP="00C26F03">
      <w:pPr>
        <w:pStyle w:val="TOC2"/>
        <w:keepNext w:val="0"/>
        <w:tabs>
          <w:tab w:val="left" w:pos="993"/>
        </w:tabs>
        <w:ind w:left="993" w:right="0" w:hanging="993"/>
        <w:rPr>
          <w:rStyle w:val="Hyperlink"/>
          <w:noProof w:val="0"/>
          <w:u w:val="none"/>
        </w:rPr>
      </w:pPr>
      <w:hyperlink w:anchor="_Toc225155773" w:history="1">
        <w:r w:rsidRPr="000F23E0">
          <w:rPr>
            <w:rStyle w:val="Hyperlink"/>
            <w:noProof w:val="0"/>
            <w:u w:val="none"/>
          </w:rPr>
          <w:t>Table 23:</w:t>
        </w:r>
        <w:r w:rsidRPr="000F23E0">
          <w:rPr>
            <w:rStyle w:val="Hyperlink"/>
            <w:noProof w:val="0"/>
            <w:u w:val="none"/>
          </w:rPr>
          <w:tab/>
          <w:t>Social impact data for electric rail infrastructure investments</w:t>
        </w:r>
        <w:r w:rsidRPr="000F23E0">
          <w:rPr>
            <w:noProof w:val="0"/>
            <w:webHidden/>
          </w:rPr>
          <w:tab/>
        </w:r>
        <w:r w:rsidRPr="000F23E0">
          <w:rPr>
            <w:noProof w:val="0"/>
            <w:webHidden/>
          </w:rPr>
          <w:fldChar w:fldCharType="begin"/>
        </w:r>
        <w:r w:rsidRPr="000F23E0">
          <w:rPr>
            <w:noProof w:val="0"/>
            <w:webHidden/>
          </w:rPr>
          <w:instrText xml:space="preserve"> PAGEREF _Toc225155773 \h </w:instrText>
        </w:r>
        <w:r w:rsidRPr="000F23E0">
          <w:rPr>
            <w:noProof w:val="0"/>
            <w:webHidden/>
          </w:rPr>
        </w:r>
        <w:r w:rsidRPr="000F23E0">
          <w:rPr>
            <w:noProof w:val="0"/>
            <w:webHidden/>
          </w:rPr>
          <w:fldChar w:fldCharType="separate"/>
        </w:r>
        <w:r w:rsidRPr="000F23E0">
          <w:rPr>
            <w:noProof w:val="0"/>
            <w:webHidden/>
          </w:rPr>
          <w:t>44</w:t>
        </w:r>
        <w:r w:rsidRPr="000F23E0">
          <w:rPr>
            <w:noProof w:val="0"/>
            <w:webHidden/>
          </w:rPr>
          <w:fldChar w:fldCharType="end"/>
        </w:r>
      </w:hyperlink>
    </w:p>
    <w:p w14:paraId="662448CD" w14:textId="349BFA45" w:rsidR="00C26F03" w:rsidRPr="000F23E0" w:rsidRDefault="00C26F03" w:rsidP="00C26F03">
      <w:pPr>
        <w:pStyle w:val="TOC2"/>
        <w:keepNext w:val="0"/>
        <w:tabs>
          <w:tab w:val="left" w:pos="993"/>
        </w:tabs>
        <w:ind w:left="993" w:right="0" w:hanging="993"/>
        <w:rPr>
          <w:rFonts w:asciiTheme="minorHAnsi" w:eastAsiaTheme="minorEastAsia" w:hAnsiTheme="minorHAnsi" w:cstheme="minorBidi"/>
          <w:noProof w:val="0"/>
          <w:color w:val="auto"/>
          <w:kern w:val="2"/>
          <w:sz w:val="24"/>
          <w:szCs w:val="24"/>
          <w14:ligatures w14:val="standardContextual"/>
        </w:rPr>
      </w:pPr>
      <w:hyperlink w:anchor="_Toc225155775" w:history="1">
        <w:r w:rsidRPr="000F23E0">
          <w:rPr>
            <w:rStyle w:val="Hyperlink"/>
            <w:noProof w:val="0"/>
            <w:u w:val="none"/>
          </w:rPr>
          <w:t>Table 24:</w:t>
        </w:r>
        <w:r w:rsidRPr="000F23E0">
          <w:rPr>
            <w:rStyle w:val="Hyperlink"/>
            <w:noProof w:val="0"/>
            <w:u w:val="none"/>
          </w:rPr>
          <w:tab/>
          <w:t>Allocation data for the Driving the Nation Fund ($ million)</w:t>
        </w:r>
        <w:r w:rsidRPr="000F23E0">
          <w:rPr>
            <w:noProof w:val="0"/>
            <w:webHidden/>
          </w:rPr>
          <w:tab/>
        </w:r>
        <w:r w:rsidRPr="000F23E0">
          <w:rPr>
            <w:noProof w:val="0"/>
            <w:webHidden/>
          </w:rPr>
          <w:fldChar w:fldCharType="begin"/>
        </w:r>
        <w:r w:rsidRPr="000F23E0">
          <w:rPr>
            <w:noProof w:val="0"/>
            <w:webHidden/>
          </w:rPr>
          <w:instrText xml:space="preserve"> PAGEREF _Toc225155775 \h </w:instrText>
        </w:r>
        <w:r w:rsidRPr="000F23E0">
          <w:rPr>
            <w:noProof w:val="0"/>
            <w:webHidden/>
          </w:rPr>
        </w:r>
        <w:r w:rsidRPr="000F23E0">
          <w:rPr>
            <w:noProof w:val="0"/>
            <w:webHidden/>
          </w:rPr>
          <w:fldChar w:fldCharType="separate"/>
        </w:r>
        <w:r w:rsidRPr="000F23E0">
          <w:rPr>
            <w:noProof w:val="0"/>
            <w:webHidden/>
          </w:rPr>
          <w:t>47</w:t>
        </w:r>
        <w:r w:rsidRPr="000F23E0">
          <w:rPr>
            <w:noProof w:val="0"/>
            <w:webHidden/>
          </w:rPr>
          <w:fldChar w:fldCharType="end"/>
        </w:r>
      </w:hyperlink>
    </w:p>
    <w:p w14:paraId="1909BEA9" w14:textId="47F2138F" w:rsidR="00C26F03" w:rsidRPr="000F23E0" w:rsidRDefault="00C26F03" w:rsidP="00C26F03">
      <w:pPr>
        <w:pStyle w:val="TOC2"/>
        <w:keepNext w:val="0"/>
        <w:tabs>
          <w:tab w:val="left" w:pos="993"/>
        </w:tabs>
        <w:ind w:left="993" w:right="0" w:hanging="993"/>
        <w:rPr>
          <w:rFonts w:asciiTheme="minorHAnsi" w:eastAsiaTheme="minorEastAsia" w:hAnsiTheme="minorHAnsi" w:cstheme="minorBidi"/>
          <w:noProof w:val="0"/>
          <w:color w:val="auto"/>
          <w:kern w:val="2"/>
          <w:sz w:val="24"/>
          <w:szCs w:val="24"/>
          <w14:ligatures w14:val="standardContextual"/>
        </w:rPr>
      </w:pPr>
      <w:hyperlink w:anchor="_Toc225155776" w:history="1">
        <w:r w:rsidRPr="000F23E0">
          <w:rPr>
            <w:rStyle w:val="Hyperlink"/>
            <w:noProof w:val="0"/>
            <w:u w:val="none"/>
          </w:rPr>
          <w:t>Table 25:</w:t>
        </w:r>
        <w:r w:rsidRPr="000F23E0">
          <w:rPr>
            <w:rStyle w:val="Hyperlink"/>
            <w:noProof w:val="0"/>
            <w:u w:val="none"/>
          </w:rPr>
          <w:tab/>
          <w:t>Impact data for the Driving the Nation Fund</w:t>
        </w:r>
        <w:r w:rsidRPr="000F23E0">
          <w:rPr>
            <w:noProof w:val="0"/>
            <w:webHidden/>
          </w:rPr>
          <w:tab/>
        </w:r>
        <w:r w:rsidRPr="000F23E0">
          <w:rPr>
            <w:noProof w:val="0"/>
            <w:webHidden/>
          </w:rPr>
          <w:fldChar w:fldCharType="begin"/>
        </w:r>
        <w:r w:rsidRPr="000F23E0">
          <w:rPr>
            <w:noProof w:val="0"/>
            <w:webHidden/>
          </w:rPr>
          <w:instrText xml:space="preserve"> PAGEREF _Toc225155776 \h </w:instrText>
        </w:r>
        <w:r w:rsidRPr="000F23E0">
          <w:rPr>
            <w:noProof w:val="0"/>
            <w:webHidden/>
          </w:rPr>
        </w:r>
        <w:r w:rsidRPr="000F23E0">
          <w:rPr>
            <w:noProof w:val="0"/>
            <w:webHidden/>
          </w:rPr>
          <w:fldChar w:fldCharType="separate"/>
        </w:r>
        <w:r w:rsidRPr="000F23E0">
          <w:rPr>
            <w:noProof w:val="0"/>
            <w:webHidden/>
          </w:rPr>
          <w:t>48</w:t>
        </w:r>
        <w:r w:rsidRPr="000F23E0">
          <w:rPr>
            <w:noProof w:val="0"/>
            <w:webHidden/>
          </w:rPr>
          <w:fldChar w:fldCharType="end"/>
        </w:r>
      </w:hyperlink>
    </w:p>
    <w:p w14:paraId="25E4193C" w14:textId="6D160603" w:rsidR="00C26F03" w:rsidRPr="000F23E0" w:rsidRDefault="00C26F03" w:rsidP="00C26F03">
      <w:pPr>
        <w:pStyle w:val="TOC2"/>
        <w:keepNext w:val="0"/>
        <w:tabs>
          <w:tab w:val="left" w:pos="993"/>
        </w:tabs>
        <w:ind w:left="993" w:right="0" w:hanging="993"/>
        <w:rPr>
          <w:rStyle w:val="Hyperlink"/>
          <w:noProof w:val="0"/>
          <w:u w:val="none"/>
        </w:rPr>
      </w:pPr>
      <w:hyperlink w:anchor="_Toc225155777" w:history="1">
        <w:r w:rsidRPr="000F23E0">
          <w:rPr>
            <w:rStyle w:val="Hyperlink"/>
            <w:noProof w:val="0"/>
            <w:u w:val="none"/>
          </w:rPr>
          <w:t>Table 26:</w:t>
        </w:r>
        <w:r w:rsidRPr="000F23E0">
          <w:rPr>
            <w:rStyle w:val="Hyperlink"/>
            <w:noProof w:val="0"/>
            <w:u w:val="none"/>
          </w:rPr>
          <w:tab/>
          <w:t>Social impact data for the Driving the Nation Fund</w:t>
        </w:r>
        <w:r w:rsidRPr="000F23E0">
          <w:rPr>
            <w:noProof w:val="0"/>
            <w:webHidden/>
          </w:rPr>
          <w:tab/>
        </w:r>
        <w:r w:rsidRPr="000F23E0">
          <w:rPr>
            <w:noProof w:val="0"/>
            <w:webHidden/>
          </w:rPr>
          <w:fldChar w:fldCharType="begin"/>
        </w:r>
        <w:r w:rsidRPr="000F23E0">
          <w:rPr>
            <w:noProof w:val="0"/>
            <w:webHidden/>
          </w:rPr>
          <w:instrText xml:space="preserve"> PAGEREF _Toc225155777 \h </w:instrText>
        </w:r>
        <w:r w:rsidRPr="000F23E0">
          <w:rPr>
            <w:noProof w:val="0"/>
            <w:webHidden/>
          </w:rPr>
        </w:r>
        <w:r w:rsidRPr="000F23E0">
          <w:rPr>
            <w:noProof w:val="0"/>
            <w:webHidden/>
          </w:rPr>
          <w:fldChar w:fldCharType="separate"/>
        </w:r>
        <w:r w:rsidRPr="000F23E0">
          <w:rPr>
            <w:noProof w:val="0"/>
            <w:webHidden/>
          </w:rPr>
          <w:t>49</w:t>
        </w:r>
        <w:r w:rsidRPr="000F23E0">
          <w:rPr>
            <w:noProof w:val="0"/>
            <w:webHidden/>
          </w:rPr>
          <w:fldChar w:fldCharType="end"/>
        </w:r>
      </w:hyperlink>
    </w:p>
    <w:p w14:paraId="7D49F791" w14:textId="4F2A7E69" w:rsidR="00C26F03" w:rsidRPr="000F23E0" w:rsidRDefault="00C26F03" w:rsidP="00C26F03">
      <w:pPr>
        <w:pStyle w:val="TOC2"/>
        <w:keepNext w:val="0"/>
        <w:tabs>
          <w:tab w:val="left" w:pos="993"/>
        </w:tabs>
        <w:ind w:left="993" w:right="0" w:hanging="993"/>
        <w:rPr>
          <w:rFonts w:asciiTheme="minorHAnsi" w:eastAsiaTheme="minorEastAsia" w:hAnsiTheme="minorHAnsi" w:cstheme="minorBidi"/>
          <w:noProof w:val="0"/>
          <w:color w:val="auto"/>
          <w:kern w:val="2"/>
          <w:sz w:val="24"/>
          <w:szCs w:val="24"/>
          <w14:ligatures w14:val="standardContextual"/>
        </w:rPr>
      </w:pPr>
      <w:hyperlink w:anchor="_Toc225155779" w:history="1">
        <w:r w:rsidRPr="000F23E0">
          <w:rPr>
            <w:rStyle w:val="Hyperlink"/>
            <w:noProof w:val="0"/>
            <w:u w:val="none"/>
          </w:rPr>
          <w:t>Table 27:</w:t>
        </w:r>
        <w:r w:rsidRPr="000F23E0">
          <w:rPr>
            <w:rStyle w:val="Hyperlink"/>
            <w:noProof w:val="0"/>
            <w:u w:val="none"/>
          </w:rPr>
          <w:tab/>
          <w:t>Allocation Data for Electric bus charging infrastructure ($ million)</w:t>
        </w:r>
        <w:r w:rsidRPr="000F23E0">
          <w:rPr>
            <w:noProof w:val="0"/>
            <w:webHidden/>
          </w:rPr>
          <w:tab/>
        </w:r>
        <w:r w:rsidRPr="000F23E0">
          <w:rPr>
            <w:noProof w:val="0"/>
            <w:webHidden/>
          </w:rPr>
          <w:fldChar w:fldCharType="begin"/>
        </w:r>
        <w:r w:rsidRPr="000F23E0">
          <w:rPr>
            <w:noProof w:val="0"/>
            <w:webHidden/>
          </w:rPr>
          <w:instrText xml:space="preserve"> PAGEREF _Toc225155779 \h </w:instrText>
        </w:r>
        <w:r w:rsidRPr="000F23E0">
          <w:rPr>
            <w:noProof w:val="0"/>
            <w:webHidden/>
          </w:rPr>
        </w:r>
        <w:r w:rsidRPr="000F23E0">
          <w:rPr>
            <w:noProof w:val="0"/>
            <w:webHidden/>
          </w:rPr>
          <w:fldChar w:fldCharType="separate"/>
        </w:r>
        <w:r w:rsidRPr="000F23E0">
          <w:rPr>
            <w:noProof w:val="0"/>
            <w:webHidden/>
          </w:rPr>
          <w:t>51</w:t>
        </w:r>
        <w:r w:rsidRPr="000F23E0">
          <w:rPr>
            <w:noProof w:val="0"/>
            <w:webHidden/>
          </w:rPr>
          <w:fldChar w:fldCharType="end"/>
        </w:r>
      </w:hyperlink>
    </w:p>
    <w:p w14:paraId="19AB6FE3" w14:textId="51A2A75A" w:rsidR="00C26F03" w:rsidRPr="000F23E0" w:rsidRDefault="00C26F03" w:rsidP="00C26F03">
      <w:pPr>
        <w:pStyle w:val="TOC2"/>
        <w:keepNext w:val="0"/>
        <w:tabs>
          <w:tab w:val="left" w:pos="993"/>
        </w:tabs>
        <w:ind w:left="993" w:right="0" w:hanging="993"/>
        <w:rPr>
          <w:rFonts w:asciiTheme="minorHAnsi" w:eastAsiaTheme="minorEastAsia" w:hAnsiTheme="minorHAnsi" w:cstheme="minorBidi"/>
          <w:noProof w:val="0"/>
          <w:color w:val="auto"/>
          <w:kern w:val="2"/>
          <w:sz w:val="24"/>
          <w:szCs w:val="24"/>
          <w14:ligatures w14:val="standardContextual"/>
        </w:rPr>
      </w:pPr>
      <w:hyperlink w:anchor="_Toc225155780" w:history="1">
        <w:r w:rsidRPr="000F23E0">
          <w:rPr>
            <w:rStyle w:val="Hyperlink"/>
            <w:noProof w:val="0"/>
            <w:u w:val="none"/>
          </w:rPr>
          <w:t>Table 28:</w:t>
        </w:r>
        <w:r w:rsidRPr="000F23E0">
          <w:rPr>
            <w:rStyle w:val="Hyperlink"/>
            <w:bCs/>
            <w:noProof w:val="0"/>
            <w:u w:val="none"/>
          </w:rPr>
          <w:tab/>
          <w:t>Impact data for Electric bus charging infrastructure</w:t>
        </w:r>
        <w:r w:rsidRPr="000F23E0">
          <w:rPr>
            <w:noProof w:val="0"/>
            <w:webHidden/>
          </w:rPr>
          <w:tab/>
        </w:r>
        <w:r w:rsidRPr="000F23E0">
          <w:rPr>
            <w:noProof w:val="0"/>
            <w:webHidden/>
          </w:rPr>
          <w:fldChar w:fldCharType="begin"/>
        </w:r>
        <w:r w:rsidRPr="000F23E0">
          <w:rPr>
            <w:noProof w:val="0"/>
            <w:webHidden/>
          </w:rPr>
          <w:instrText xml:space="preserve"> PAGEREF _Toc225155780 \h </w:instrText>
        </w:r>
        <w:r w:rsidRPr="000F23E0">
          <w:rPr>
            <w:noProof w:val="0"/>
            <w:webHidden/>
          </w:rPr>
        </w:r>
        <w:r w:rsidRPr="000F23E0">
          <w:rPr>
            <w:noProof w:val="0"/>
            <w:webHidden/>
          </w:rPr>
          <w:fldChar w:fldCharType="separate"/>
        </w:r>
        <w:r w:rsidRPr="000F23E0">
          <w:rPr>
            <w:noProof w:val="0"/>
            <w:webHidden/>
          </w:rPr>
          <w:t>52</w:t>
        </w:r>
        <w:r w:rsidRPr="000F23E0">
          <w:rPr>
            <w:noProof w:val="0"/>
            <w:webHidden/>
          </w:rPr>
          <w:fldChar w:fldCharType="end"/>
        </w:r>
      </w:hyperlink>
    </w:p>
    <w:p w14:paraId="60F014D4" w14:textId="21CD4995" w:rsidR="00C26F03" w:rsidRPr="000F23E0" w:rsidRDefault="00C26F03" w:rsidP="00C26F03">
      <w:pPr>
        <w:pStyle w:val="TOC2"/>
        <w:keepNext w:val="0"/>
        <w:tabs>
          <w:tab w:val="left" w:pos="993"/>
        </w:tabs>
        <w:ind w:left="993" w:right="0" w:hanging="993"/>
        <w:rPr>
          <w:rStyle w:val="Hyperlink"/>
          <w:noProof w:val="0"/>
          <w:u w:val="none"/>
        </w:rPr>
      </w:pPr>
      <w:hyperlink w:anchor="_Toc225155781" w:history="1">
        <w:r w:rsidRPr="000F23E0">
          <w:rPr>
            <w:rStyle w:val="Hyperlink"/>
            <w:noProof w:val="0"/>
            <w:u w:val="none"/>
          </w:rPr>
          <w:t>Table 29:</w:t>
        </w:r>
        <w:r w:rsidRPr="000F23E0">
          <w:rPr>
            <w:rStyle w:val="Hyperlink"/>
            <w:noProof w:val="0"/>
            <w:u w:val="none"/>
          </w:rPr>
          <w:tab/>
          <w:t>Social impact data for Electric bus charging infrastructure</w:t>
        </w:r>
        <w:r w:rsidRPr="000F23E0">
          <w:rPr>
            <w:noProof w:val="0"/>
            <w:webHidden/>
          </w:rPr>
          <w:tab/>
        </w:r>
        <w:r w:rsidRPr="000F23E0">
          <w:rPr>
            <w:noProof w:val="0"/>
            <w:webHidden/>
          </w:rPr>
          <w:fldChar w:fldCharType="begin"/>
        </w:r>
        <w:r w:rsidRPr="000F23E0">
          <w:rPr>
            <w:noProof w:val="0"/>
            <w:webHidden/>
          </w:rPr>
          <w:instrText xml:space="preserve"> PAGEREF _Toc225155781 \h </w:instrText>
        </w:r>
        <w:r w:rsidRPr="000F23E0">
          <w:rPr>
            <w:noProof w:val="0"/>
            <w:webHidden/>
          </w:rPr>
        </w:r>
        <w:r w:rsidRPr="000F23E0">
          <w:rPr>
            <w:noProof w:val="0"/>
            <w:webHidden/>
          </w:rPr>
          <w:fldChar w:fldCharType="separate"/>
        </w:r>
        <w:r w:rsidRPr="000F23E0">
          <w:rPr>
            <w:noProof w:val="0"/>
            <w:webHidden/>
          </w:rPr>
          <w:t>52</w:t>
        </w:r>
        <w:r w:rsidRPr="000F23E0">
          <w:rPr>
            <w:noProof w:val="0"/>
            <w:webHidden/>
          </w:rPr>
          <w:fldChar w:fldCharType="end"/>
        </w:r>
      </w:hyperlink>
    </w:p>
    <w:p w14:paraId="34F2DC1C" w14:textId="3F13ED44" w:rsidR="00C26F03" w:rsidRPr="000F23E0" w:rsidRDefault="00C26F03" w:rsidP="00C26F03">
      <w:pPr>
        <w:pStyle w:val="TOC2"/>
        <w:keepNext w:val="0"/>
        <w:tabs>
          <w:tab w:val="left" w:pos="993"/>
        </w:tabs>
        <w:ind w:left="993" w:right="0" w:hanging="993"/>
        <w:rPr>
          <w:rFonts w:asciiTheme="minorHAnsi" w:eastAsiaTheme="minorEastAsia" w:hAnsiTheme="minorHAnsi" w:cstheme="minorBidi"/>
          <w:noProof w:val="0"/>
          <w:color w:val="auto"/>
          <w:kern w:val="2"/>
          <w:sz w:val="24"/>
          <w:szCs w:val="24"/>
          <w14:ligatures w14:val="standardContextual"/>
        </w:rPr>
      </w:pPr>
      <w:hyperlink w:anchor="_Toc225155785" w:history="1">
        <w:r w:rsidRPr="000F23E0">
          <w:rPr>
            <w:rStyle w:val="Hyperlink"/>
            <w:noProof w:val="0"/>
            <w:u w:val="none"/>
          </w:rPr>
          <w:t>Table 30:</w:t>
        </w:r>
        <w:r w:rsidRPr="000F23E0">
          <w:rPr>
            <w:rStyle w:val="Hyperlink"/>
            <w:noProof w:val="0"/>
            <w:u w:val="none"/>
          </w:rPr>
          <w:tab/>
          <w:t>Allocation data for international climate finance projects ($ million)</w:t>
        </w:r>
        <w:r w:rsidRPr="000F23E0">
          <w:rPr>
            <w:noProof w:val="0"/>
            <w:webHidden/>
          </w:rPr>
          <w:tab/>
        </w:r>
        <w:r w:rsidRPr="000F23E0">
          <w:rPr>
            <w:noProof w:val="0"/>
            <w:webHidden/>
          </w:rPr>
          <w:fldChar w:fldCharType="begin"/>
        </w:r>
        <w:r w:rsidRPr="000F23E0">
          <w:rPr>
            <w:noProof w:val="0"/>
            <w:webHidden/>
          </w:rPr>
          <w:instrText xml:space="preserve"> PAGEREF _Toc225155785 \h </w:instrText>
        </w:r>
        <w:r w:rsidRPr="000F23E0">
          <w:rPr>
            <w:noProof w:val="0"/>
            <w:webHidden/>
          </w:rPr>
        </w:r>
        <w:r w:rsidRPr="000F23E0">
          <w:rPr>
            <w:noProof w:val="0"/>
            <w:webHidden/>
          </w:rPr>
          <w:fldChar w:fldCharType="separate"/>
        </w:r>
        <w:r w:rsidRPr="000F23E0">
          <w:rPr>
            <w:noProof w:val="0"/>
            <w:webHidden/>
          </w:rPr>
          <w:t>56</w:t>
        </w:r>
        <w:r w:rsidRPr="000F23E0">
          <w:rPr>
            <w:noProof w:val="0"/>
            <w:webHidden/>
          </w:rPr>
          <w:fldChar w:fldCharType="end"/>
        </w:r>
      </w:hyperlink>
    </w:p>
    <w:p w14:paraId="63F2E98C" w14:textId="6EDC4EAE" w:rsidR="00C26F03" w:rsidRPr="000F23E0" w:rsidRDefault="00C26F03" w:rsidP="00C26F03">
      <w:pPr>
        <w:pStyle w:val="TOC2"/>
        <w:keepNext w:val="0"/>
        <w:tabs>
          <w:tab w:val="left" w:pos="993"/>
        </w:tabs>
        <w:ind w:left="993" w:right="0" w:hanging="993"/>
        <w:rPr>
          <w:rFonts w:asciiTheme="minorHAnsi" w:eastAsiaTheme="minorEastAsia" w:hAnsiTheme="minorHAnsi" w:cstheme="minorBidi"/>
          <w:noProof w:val="0"/>
          <w:color w:val="auto"/>
          <w:kern w:val="2"/>
          <w:sz w:val="24"/>
          <w:szCs w:val="24"/>
          <w14:ligatures w14:val="standardContextual"/>
        </w:rPr>
      </w:pPr>
      <w:hyperlink w:anchor="_Toc225155786" w:history="1">
        <w:r w:rsidRPr="000F23E0">
          <w:rPr>
            <w:rStyle w:val="Hyperlink"/>
            <w:noProof w:val="0"/>
            <w:u w:val="none"/>
          </w:rPr>
          <w:t>Table 31:</w:t>
        </w:r>
        <w:r w:rsidRPr="000F23E0">
          <w:rPr>
            <w:rStyle w:val="Hyperlink"/>
            <w:noProof w:val="0"/>
            <w:u w:val="none"/>
          </w:rPr>
          <w:tab/>
          <w:t>Impact data for international climate finance projects</w:t>
        </w:r>
        <w:r w:rsidRPr="000F23E0">
          <w:rPr>
            <w:noProof w:val="0"/>
            <w:webHidden/>
          </w:rPr>
          <w:tab/>
        </w:r>
        <w:r w:rsidRPr="000F23E0">
          <w:rPr>
            <w:noProof w:val="0"/>
            <w:webHidden/>
          </w:rPr>
          <w:fldChar w:fldCharType="begin"/>
        </w:r>
        <w:r w:rsidRPr="000F23E0">
          <w:rPr>
            <w:noProof w:val="0"/>
            <w:webHidden/>
          </w:rPr>
          <w:instrText xml:space="preserve"> PAGEREF _Toc225155786 \h </w:instrText>
        </w:r>
        <w:r w:rsidRPr="000F23E0">
          <w:rPr>
            <w:noProof w:val="0"/>
            <w:webHidden/>
          </w:rPr>
        </w:r>
        <w:r w:rsidRPr="000F23E0">
          <w:rPr>
            <w:noProof w:val="0"/>
            <w:webHidden/>
          </w:rPr>
          <w:fldChar w:fldCharType="separate"/>
        </w:r>
        <w:r w:rsidRPr="000F23E0">
          <w:rPr>
            <w:noProof w:val="0"/>
            <w:webHidden/>
          </w:rPr>
          <w:t>59</w:t>
        </w:r>
        <w:r w:rsidRPr="000F23E0">
          <w:rPr>
            <w:noProof w:val="0"/>
            <w:webHidden/>
          </w:rPr>
          <w:fldChar w:fldCharType="end"/>
        </w:r>
      </w:hyperlink>
    </w:p>
    <w:p w14:paraId="78F695B8" w14:textId="27765BD8" w:rsidR="00C26F03" w:rsidRPr="000F23E0" w:rsidRDefault="00C26F03" w:rsidP="00C26F03">
      <w:pPr>
        <w:pStyle w:val="TOC2"/>
        <w:keepNext w:val="0"/>
        <w:tabs>
          <w:tab w:val="left" w:pos="993"/>
        </w:tabs>
        <w:ind w:left="993" w:right="0" w:hanging="993"/>
        <w:rPr>
          <w:rStyle w:val="Hyperlink"/>
          <w:noProof w:val="0"/>
          <w:u w:val="none"/>
        </w:rPr>
      </w:pPr>
      <w:hyperlink w:anchor="_Toc225155787" w:history="1">
        <w:r w:rsidRPr="000F23E0">
          <w:rPr>
            <w:rStyle w:val="Hyperlink"/>
            <w:noProof w:val="0"/>
            <w:u w:val="none"/>
          </w:rPr>
          <w:t>Table 32:</w:t>
        </w:r>
        <w:r w:rsidRPr="000F23E0">
          <w:rPr>
            <w:rStyle w:val="Hyperlink"/>
            <w:noProof w:val="0"/>
            <w:u w:val="none"/>
          </w:rPr>
          <w:tab/>
          <w:t>Further information on international climate finance sub</w:t>
        </w:r>
        <w:r w:rsidRPr="000F23E0">
          <w:rPr>
            <w:rStyle w:val="Hyperlink"/>
            <w:noProof w:val="0"/>
            <w:u w:val="none"/>
          </w:rPr>
          <w:noBreakHyphen/>
          <w:t>projects</w:t>
        </w:r>
        <w:r w:rsidRPr="000F23E0">
          <w:rPr>
            <w:noProof w:val="0"/>
            <w:webHidden/>
          </w:rPr>
          <w:tab/>
        </w:r>
        <w:r w:rsidRPr="000F23E0">
          <w:rPr>
            <w:noProof w:val="0"/>
            <w:webHidden/>
          </w:rPr>
          <w:fldChar w:fldCharType="begin"/>
        </w:r>
        <w:r w:rsidRPr="000F23E0">
          <w:rPr>
            <w:noProof w:val="0"/>
            <w:webHidden/>
          </w:rPr>
          <w:instrText xml:space="preserve"> PAGEREF _Toc225155787 \h </w:instrText>
        </w:r>
        <w:r w:rsidRPr="000F23E0">
          <w:rPr>
            <w:noProof w:val="0"/>
            <w:webHidden/>
          </w:rPr>
        </w:r>
        <w:r w:rsidRPr="000F23E0">
          <w:rPr>
            <w:noProof w:val="0"/>
            <w:webHidden/>
          </w:rPr>
          <w:fldChar w:fldCharType="separate"/>
        </w:r>
        <w:r w:rsidRPr="000F23E0">
          <w:rPr>
            <w:noProof w:val="0"/>
            <w:webHidden/>
          </w:rPr>
          <w:t>60</w:t>
        </w:r>
        <w:r w:rsidRPr="000F23E0">
          <w:rPr>
            <w:noProof w:val="0"/>
            <w:webHidden/>
          </w:rPr>
          <w:fldChar w:fldCharType="end"/>
        </w:r>
      </w:hyperlink>
    </w:p>
    <w:p w14:paraId="2097EC10" w14:textId="6F074081" w:rsidR="00C26F03" w:rsidRPr="000F23E0" w:rsidRDefault="00C26F03" w:rsidP="00C26F03">
      <w:pPr>
        <w:pStyle w:val="TOC2"/>
        <w:keepNext w:val="0"/>
        <w:tabs>
          <w:tab w:val="left" w:pos="993"/>
        </w:tabs>
        <w:ind w:left="993" w:right="0" w:hanging="993"/>
        <w:rPr>
          <w:rFonts w:asciiTheme="minorHAnsi" w:eastAsiaTheme="minorEastAsia" w:hAnsiTheme="minorHAnsi" w:cstheme="minorBidi"/>
          <w:noProof w:val="0"/>
          <w:color w:val="auto"/>
          <w:kern w:val="2"/>
          <w:sz w:val="24"/>
          <w:szCs w:val="24"/>
          <w14:ligatures w14:val="standardContextual"/>
        </w:rPr>
      </w:pPr>
      <w:hyperlink w:anchor="_Toc225155790" w:history="1">
        <w:r w:rsidRPr="000F23E0">
          <w:rPr>
            <w:rStyle w:val="Hyperlink"/>
            <w:noProof w:val="0"/>
            <w:u w:val="none"/>
          </w:rPr>
          <w:t>Table 33:</w:t>
        </w:r>
        <w:r w:rsidRPr="000F23E0">
          <w:rPr>
            <w:rStyle w:val="Hyperlink"/>
            <w:noProof w:val="0"/>
            <w:u w:val="none"/>
          </w:rPr>
          <w:tab/>
          <w:t>Allocation Data for the Urban Rivers and Catchments Program ($ million)</w:t>
        </w:r>
        <w:r w:rsidRPr="000F23E0">
          <w:rPr>
            <w:noProof w:val="0"/>
            <w:webHidden/>
          </w:rPr>
          <w:tab/>
        </w:r>
        <w:r w:rsidRPr="000F23E0">
          <w:rPr>
            <w:noProof w:val="0"/>
            <w:webHidden/>
          </w:rPr>
          <w:fldChar w:fldCharType="begin"/>
        </w:r>
        <w:r w:rsidRPr="000F23E0">
          <w:rPr>
            <w:noProof w:val="0"/>
            <w:webHidden/>
          </w:rPr>
          <w:instrText xml:space="preserve"> PAGEREF _Toc225155790 \h </w:instrText>
        </w:r>
        <w:r w:rsidRPr="000F23E0">
          <w:rPr>
            <w:noProof w:val="0"/>
            <w:webHidden/>
          </w:rPr>
        </w:r>
        <w:r w:rsidRPr="000F23E0">
          <w:rPr>
            <w:noProof w:val="0"/>
            <w:webHidden/>
          </w:rPr>
          <w:fldChar w:fldCharType="separate"/>
        </w:r>
        <w:r w:rsidRPr="000F23E0">
          <w:rPr>
            <w:noProof w:val="0"/>
            <w:webHidden/>
          </w:rPr>
          <w:t>64</w:t>
        </w:r>
        <w:r w:rsidRPr="000F23E0">
          <w:rPr>
            <w:noProof w:val="0"/>
            <w:webHidden/>
          </w:rPr>
          <w:fldChar w:fldCharType="end"/>
        </w:r>
      </w:hyperlink>
    </w:p>
    <w:p w14:paraId="7F47EFA9" w14:textId="065E1876" w:rsidR="00C26F03" w:rsidRPr="000F23E0" w:rsidRDefault="00C26F03" w:rsidP="00C26F03">
      <w:pPr>
        <w:pStyle w:val="TOC2"/>
        <w:keepNext w:val="0"/>
        <w:tabs>
          <w:tab w:val="left" w:pos="993"/>
        </w:tabs>
        <w:ind w:left="993" w:right="0" w:hanging="993"/>
        <w:rPr>
          <w:rStyle w:val="Hyperlink"/>
          <w:noProof w:val="0"/>
          <w:u w:val="none"/>
        </w:rPr>
      </w:pPr>
      <w:hyperlink w:anchor="_Toc225155791" w:history="1">
        <w:r w:rsidRPr="000F23E0">
          <w:rPr>
            <w:rStyle w:val="Hyperlink"/>
            <w:noProof w:val="0"/>
            <w:u w:val="none"/>
          </w:rPr>
          <w:t>Table 34:</w:t>
        </w:r>
        <w:r w:rsidRPr="000F23E0">
          <w:rPr>
            <w:rStyle w:val="Hyperlink"/>
            <w:noProof w:val="0"/>
            <w:u w:val="none"/>
          </w:rPr>
          <w:tab/>
          <w:t>Impact Data for the Urban Rivers and Catchments Program</w:t>
        </w:r>
        <w:r w:rsidRPr="000F23E0">
          <w:rPr>
            <w:noProof w:val="0"/>
            <w:webHidden/>
          </w:rPr>
          <w:tab/>
        </w:r>
        <w:r w:rsidRPr="000F23E0">
          <w:rPr>
            <w:noProof w:val="0"/>
            <w:webHidden/>
          </w:rPr>
          <w:fldChar w:fldCharType="begin"/>
        </w:r>
        <w:r w:rsidRPr="000F23E0">
          <w:rPr>
            <w:noProof w:val="0"/>
            <w:webHidden/>
          </w:rPr>
          <w:instrText xml:space="preserve"> PAGEREF _Toc225155791 \h </w:instrText>
        </w:r>
        <w:r w:rsidRPr="000F23E0">
          <w:rPr>
            <w:noProof w:val="0"/>
            <w:webHidden/>
          </w:rPr>
        </w:r>
        <w:r w:rsidRPr="000F23E0">
          <w:rPr>
            <w:noProof w:val="0"/>
            <w:webHidden/>
          </w:rPr>
          <w:fldChar w:fldCharType="separate"/>
        </w:r>
        <w:r w:rsidRPr="000F23E0">
          <w:rPr>
            <w:noProof w:val="0"/>
            <w:webHidden/>
          </w:rPr>
          <w:t>65</w:t>
        </w:r>
        <w:r w:rsidRPr="000F23E0">
          <w:rPr>
            <w:noProof w:val="0"/>
            <w:webHidden/>
          </w:rPr>
          <w:fldChar w:fldCharType="end"/>
        </w:r>
      </w:hyperlink>
    </w:p>
    <w:p w14:paraId="3046CEC9" w14:textId="5513C03B" w:rsidR="00C26F03" w:rsidRPr="000F23E0" w:rsidRDefault="00C26F03" w:rsidP="00C26F03">
      <w:pPr>
        <w:pStyle w:val="TOC2"/>
        <w:keepNext w:val="0"/>
        <w:tabs>
          <w:tab w:val="left" w:pos="993"/>
        </w:tabs>
        <w:ind w:left="993" w:right="0" w:hanging="993"/>
        <w:rPr>
          <w:rFonts w:asciiTheme="minorHAnsi" w:eastAsiaTheme="minorEastAsia" w:hAnsiTheme="minorHAnsi" w:cstheme="minorBidi"/>
          <w:noProof w:val="0"/>
          <w:color w:val="auto"/>
          <w:kern w:val="2"/>
          <w:sz w:val="24"/>
          <w:szCs w:val="24"/>
          <w14:ligatures w14:val="standardContextual"/>
        </w:rPr>
      </w:pPr>
      <w:hyperlink w:anchor="_Toc225155794" w:history="1">
        <w:r w:rsidRPr="000F23E0">
          <w:rPr>
            <w:rStyle w:val="Hyperlink"/>
            <w:noProof w:val="0"/>
            <w:u w:val="none"/>
          </w:rPr>
          <w:t>Table 35:</w:t>
        </w:r>
        <w:r w:rsidRPr="000F23E0">
          <w:rPr>
            <w:rStyle w:val="Hyperlink"/>
            <w:noProof w:val="0"/>
            <w:u w:val="none"/>
          </w:rPr>
          <w:tab/>
          <w:t>Allocation Data for the Saving Koalas Fund ($ million)</w:t>
        </w:r>
        <w:r w:rsidRPr="000F23E0">
          <w:rPr>
            <w:noProof w:val="0"/>
            <w:webHidden/>
          </w:rPr>
          <w:tab/>
        </w:r>
        <w:r w:rsidRPr="000F23E0">
          <w:rPr>
            <w:noProof w:val="0"/>
            <w:webHidden/>
          </w:rPr>
          <w:fldChar w:fldCharType="begin"/>
        </w:r>
        <w:r w:rsidRPr="000F23E0">
          <w:rPr>
            <w:noProof w:val="0"/>
            <w:webHidden/>
          </w:rPr>
          <w:instrText xml:space="preserve"> PAGEREF _Toc225155794 \h </w:instrText>
        </w:r>
        <w:r w:rsidRPr="000F23E0">
          <w:rPr>
            <w:noProof w:val="0"/>
            <w:webHidden/>
          </w:rPr>
        </w:r>
        <w:r w:rsidRPr="000F23E0">
          <w:rPr>
            <w:noProof w:val="0"/>
            <w:webHidden/>
          </w:rPr>
          <w:fldChar w:fldCharType="separate"/>
        </w:r>
        <w:r w:rsidRPr="000F23E0">
          <w:rPr>
            <w:noProof w:val="0"/>
            <w:webHidden/>
          </w:rPr>
          <w:t>68</w:t>
        </w:r>
        <w:r w:rsidRPr="000F23E0">
          <w:rPr>
            <w:noProof w:val="0"/>
            <w:webHidden/>
          </w:rPr>
          <w:fldChar w:fldCharType="end"/>
        </w:r>
      </w:hyperlink>
    </w:p>
    <w:p w14:paraId="2777C2F2" w14:textId="4B0A8167" w:rsidR="00C26F03" w:rsidRPr="000F23E0" w:rsidRDefault="00C26F03" w:rsidP="00C26F03">
      <w:pPr>
        <w:pStyle w:val="TOC2"/>
        <w:keepNext w:val="0"/>
        <w:tabs>
          <w:tab w:val="left" w:pos="993"/>
        </w:tabs>
        <w:ind w:left="993" w:right="0" w:hanging="993"/>
        <w:rPr>
          <w:rStyle w:val="Hyperlink"/>
          <w:noProof w:val="0"/>
          <w:u w:val="none"/>
        </w:rPr>
      </w:pPr>
      <w:hyperlink w:anchor="_Toc225155795" w:history="1">
        <w:r w:rsidRPr="000F23E0">
          <w:rPr>
            <w:rStyle w:val="Hyperlink"/>
            <w:noProof w:val="0"/>
            <w:u w:val="none"/>
          </w:rPr>
          <w:t>Table 36:</w:t>
        </w:r>
        <w:r w:rsidRPr="000F23E0">
          <w:rPr>
            <w:rStyle w:val="Hyperlink"/>
            <w:noProof w:val="0"/>
            <w:u w:val="none"/>
          </w:rPr>
          <w:tab/>
          <w:t>Impact Data for the Saving Koalas Fund</w:t>
        </w:r>
        <w:r w:rsidRPr="000F23E0">
          <w:rPr>
            <w:noProof w:val="0"/>
            <w:webHidden/>
          </w:rPr>
          <w:tab/>
        </w:r>
        <w:r w:rsidRPr="000F23E0">
          <w:rPr>
            <w:noProof w:val="0"/>
            <w:webHidden/>
          </w:rPr>
          <w:fldChar w:fldCharType="begin"/>
        </w:r>
        <w:r w:rsidRPr="000F23E0">
          <w:rPr>
            <w:noProof w:val="0"/>
            <w:webHidden/>
          </w:rPr>
          <w:instrText xml:space="preserve"> PAGEREF _Toc225155795 \h </w:instrText>
        </w:r>
        <w:r w:rsidRPr="000F23E0">
          <w:rPr>
            <w:noProof w:val="0"/>
            <w:webHidden/>
          </w:rPr>
        </w:r>
        <w:r w:rsidRPr="000F23E0">
          <w:rPr>
            <w:noProof w:val="0"/>
            <w:webHidden/>
          </w:rPr>
          <w:fldChar w:fldCharType="separate"/>
        </w:r>
        <w:r w:rsidRPr="000F23E0">
          <w:rPr>
            <w:noProof w:val="0"/>
            <w:webHidden/>
          </w:rPr>
          <w:t>69</w:t>
        </w:r>
        <w:r w:rsidRPr="000F23E0">
          <w:rPr>
            <w:noProof w:val="0"/>
            <w:webHidden/>
          </w:rPr>
          <w:fldChar w:fldCharType="end"/>
        </w:r>
      </w:hyperlink>
    </w:p>
    <w:p w14:paraId="6EA243CE" w14:textId="5389A428" w:rsidR="00C26F03" w:rsidRPr="000F23E0" w:rsidRDefault="00C26F03" w:rsidP="00C26F03">
      <w:pPr>
        <w:pStyle w:val="TOC2"/>
        <w:keepNext w:val="0"/>
        <w:tabs>
          <w:tab w:val="left" w:pos="993"/>
        </w:tabs>
        <w:ind w:left="993" w:right="0" w:hanging="993"/>
        <w:rPr>
          <w:rFonts w:asciiTheme="minorHAnsi" w:eastAsiaTheme="minorEastAsia" w:hAnsiTheme="minorHAnsi" w:cstheme="minorBidi"/>
          <w:noProof w:val="0"/>
          <w:color w:val="auto"/>
          <w:kern w:val="2"/>
          <w:sz w:val="24"/>
          <w:szCs w:val="24"/>
          <w14:ligatures w14:val="standardContextual"/>
        </w:rPr>
      </w:pPr>
      <w:hyperlink w:anchor="_Toc225155798" w:history="1">
        <w:r w:rsidRPr="000F23E0">
          <w:rPr>
            <w:rStyle w:val="Hyperlink"/>
            <w:noProof w:val="0"/>
            <w:u w:val="none"/>
          </w:rPr>
          <w:t>Table 37:</w:t>
        </w:r>
        <w:r w:rsidRPr="000F23E0">
          <w:rPr>
            <w:rStyle w:val="Hyperlink"/>
            <w:noProof w:val="0"/>
            <w:u w:val="none"/>
          </w:rPr>
          <w:tab/>
          <w:t>Allocation Data for Reef 2050 ($ million)</w:t>
        </w:r>
        <w:r w:rsidRPr="000F23E0">
          <w:rPr>
            <w:noProof w:val="0"/>
            <w:webHidden/>
          </w:rPr>
          <w:tab/>
        </w:r>
        <w:r w:rsidRPr="000F23E0">
          <w:rPr>
            <w:noProof w:val="0"/>
            <w:webHidden/>
          </w:rPr>
          <w:fldChar w:fldCharType="begin"/>
        </w:r>
        <w:r w:rsidRPr="000F23E0">
          <w:rPr>
            <w:noProof w:val="0"/>
            <w:webHidden/>
          </w:rPr>
          <w:instrText xml:space="preserve"> PAGEREF _Toc225155798 \h </w:instrText>
        </w:r>
        <w:r w:rsidRPr="000F23E0">
          <w:rPr>
            <w:noProof w:val="0"/>
            <w:webHidden/>
          </w:rPr>
        </w:r>
        <w:r w:rsidRPr="000F23E0">
          <w:rPr>
            <w:noProof w:val="0"/>
            <w:webHidden/>
          </w:rPr>
          <w:fldChar w:fldCharType="separate"/>
        </w:r>
        <w:r w:rsidRPr="000F23E0">
          <w:rPr>
            <w:noProof w:val="0"/>
            <w:webHidden/>
          </w:rPr>
          <w:t>71</w:t>
        </w:r>
        <w:r w:rsidRPr="000F23E0">
          <w:rPr>
            <w:noProof w:val="0"/>
            <w:webHidden/>
          </w:rPr>
          <w:fldChar w:fldCharType="end"/>
        </w:r>
      </w:hyperlink>
    </w:p>
    <w:p w14:paraId="6210245A" w14:textId="4FB03898" w:rsidR="00C26F03" w:rsidRPr="000F23E0" w:rsidRDefault="00C26F03" w:rsidP="00C26F03">
      <w:pPr>
        <w:pStyle w:val="TOC2"/>
        <w:keepNext w:val="0"/>
        <w:tabs>
          <w:tab w:val="left" w:pos="993"/>
        </w:tabs>
        <w:ind w:left="993" w:right="0" w:hanging="993"/>
        <w:rPr>
          <w:rStyle w:val="Hyperlink"/>
          <w:noProof w:val="0"/>
          <w:u w:val="none"/>
        </w:rPr>
      </w:pPr>
      <w:hyperlink w:anchor="_Toc225155799" w:history="1">
        <w:r w:rsidRPr="000F23E0">
          <w:rPr>
            <w:rStyle w:val="Hyperlink"/>
            <w:noProof w:val="0"/>
            <w:u w:val="none"/>
          </w:rPr>
          <w:t>Table 38:</w:t>
        </w:r>
        <w:r w:rsidRPr="000F23E0">
          <w:rPr>
            <w:rStyle w:val="Hyperlink"/>
            <w:noProof w:val="0"/>
            <w:u w:val="none"/>
          </w:rPr>
          <w:tab/>
          <w:t>Impact data for Reef 2050</w:t>
        </w:r>
        <w:r w:rsidRPr="000F23E0">
          <w:rPr>
            <w:noProof w:val="0"/>
            <w:webHidden/>
          </w:rPr>
          <w:tab/>
        </w:r>
        <w:r w:rsidRPr="000F23E0">
          <w:rPr>
            <w:noProof w:val="0"/>
            <w:webHidden/>
          </w:rPr>
          <w:fldChar w:fldCharType="begin"/>
        </w:r>
        <w:r w:rsidRPr="000F23E0">
          <w:rPr>
            <w:noProof w:val="0"/>
            <w:webHidden/>
          </w:rPr>
          <w:instrText xml:space="preserve"> PAGEREF _Toc225155799 \h </w:instrText>
        </w:r>
        <w:r w:rsidRPr="000F23E0">
          <w:rPr>
            <w:noProof w:val="0"/>
            <w:webHidden/>
          </w:rPr>
        </w:r>
        <w:r w:rsidRPr="000F23E0">
          <w:rPr>
            <w:noProof w:val="0"/>
            <w:webHidden/>
          </w:rPr>
          <w:fldChar w:fldCharType="separate"/>
        </w:r>
        <w:r w:rsidRPr="000F23E0">
          <w:rPr>
            <w:noProof w:val="0"/>
            <w:webHidden/>
          </w:rPr>
          <w:t>73</w:t>
        </w:r>
        <w:r w:rsidRPr="000F23E0">
          <w:rPr>
            <w:noProof w:val="0"/>
            <w:webHidden/>
          </w:rPr>
          <w:fldChar w:fldCharType="end"/>
        </w:r>
      </w:hyperlink>
    </w:p>
    <w:p w14:paraId="7A817967" w14:textId="35C82D08" w:rsidR="00C26F03" w:rsidRPr="000F23E0" w:rsidRDefault="00C26F03" w:rsidP="00C26F03">
      <w:pPr>
        <w:pStyle w:val="TOC2"/>
        <w:keepNext w:val="0"/>
        <w:tabs>
          <w:tab w:val="left" w:pos="993"/>
        </w:tabs>
        <w:ind w:left="993" w:right="0" w:hanging="993"/>
        <w:rPr>
          <w:rFonts w:asciiTheme="minorHAnsi" w:eastAsiaTheme="minorEastAsia" w:hAnsiTheme="minorHAnsi" w:cstheme="minorBidi"/>
          <w:noProof w:val="0"/>
          <w:color w:val="auto"/>
          <w:kern w:val="2"/>
          <w:sz w:val="24"/>
          <w:szCs w:val="24"/>
          <w14:ligatures w14:val="standardContextual"/>
        </w:rPr>
      </w:pPr>
      <w:hyperlink w:anchor="_Toc225155802" w:history="1">
        <w:r w:rsidRPr="000F23E0">
          <w:rPr>
            <w:rStyle w:val="Hyperlink"/>
            <w:noProof w:val="0"/>
            <w:u w:val="none"/>
          </w:rPr>
          <w:t>Table 39:</w:t>
        </w:r>
        <w:r w:rsidRPr="000F23E0">
          <w:rPr>
            <w:rStyle w:val="Hyperlink"/>
            <w:noProof w:val="0"/>
            <w:u w:val="none"/>
          </w:rPr>
          <w:tab/>
          <w:t>Allocation Data for the Murray–Darling Basin Plan ($ million)</w:t>
        </w:r>
        <w:r w:rsidRPr="000F23E0">
          <w:rPr>
            <w:noProof w:val="0"/>
            <w:webHidden/>
          </w:rPr>
          <w:tab/>
        </w:r>
        <w:r w:rsidRPr="000F23E0">
          <w:rPr>
            <w:noProof w:val="0"/>
            <w:webHidden/>
          </w:rPr>
          <w:fldChar w:fldCharType="begin"/>
        </w:r>
        <w:r w:rsidRPr="000F23E0">
          <w:rPr>
            <w:noProof w:val="0"/>
            <w:webHidden/>
          </w:rPr>
          <w:instrText xml:space="preserve"> PAGEREF _Toc225155802 \h </w:instrText>
        </w:r>
        <w:r w:rsidRPr="000F23E0">
          <w:rPr>
            <w:noProof w:val="0"/>
            <w:webHidden/>
          </w:rPr>
        </w:r>
        <w:r w:rsidRPr="000F23E0">
          <w:rPr>
            <w:noProof w:val="0"/>
            <w:webHidden/>
          </w:rPr>
          <w:fldChar w:fldCharType="separate"/>
        </w:r>
        <w:r w:rsidRPr="000F23E0">
          <w:rPr>
            <w:noProof w:val="0"/>
            <w:webHidden/>
          </w:rPr>
          <w:t>77</w:t>
        </w:r>
        <w:r w:rsidRPr="000F23E0">
          <w:rPr>
            <w:noProof w:val="0"/>
            <w:webHidden/>
          </w:rPr>
          <w:fldChar w:fldCharType="end"/>
        </w:r>
      </w:hyperlink>
    </w:p>
    <w:p w14:paraId="541B6119" w14:textId="1C4A983B" w:rsidR="00C26F03" w:rsidRPr="000F23E0" w:rsidRDefault="00C26F03" w:rsidP="00C26F03">
      <w:pPr>
        <w:pStyle w:val="TOC2"/>
        <w:keepNext w:val="0"/>
        <w:tabs>
          <w:tab w:val="left" w:pos="993"/>
        </w:tabs>
        <w:ind w:left="993" w:right="0" w:hanging="993"/>
        <w:rPr>
          <w:rStyle w:val="Hyperlink"/>
          <w:noProof w:val="0"/>
          <w:u w:val="none"/>
        </w:rPr>
      </w:pPr>
      <w:hyperlink w:anchor="_Toc225155803" w:history="1">
        <w:r w:rsidRPr="000F23E0">
          <w:rPr>
            <w:rStyle w:val="Hyperlink"/>
            <w:noProof w:val="0"/>
            <w:u w:val="none"/>
          </w:rPr>
          <w:t>Table 40:</w:t>
        </w:r>
        <w:r w:rsidRPr="000F23E0">
          <w:rPr>
            <w:rStyle w:val="Hyperlink"/>
            <w:noProof w:val="0"/>
            <w:u w:val="none"/>
          </w:rPr>
          <w:tab/>
          <w:t>Impact Data for the Murray–Darling Basin Plan</w:t>
        </w:r>
        <w:r w:rsidRPr="000F23E0">
          <w:rPr>
            <w:noProof w:val="0"/>
            <w:webHidden/>
          </w:rPr>
          <w:tab/>
        </w:r>
        <w:r w:rsidRPr="000F23E0">
          <w:rPr>
            <w:noProof w:val="0"/>
            <w:webHidden/>
          </w:rPr>
          <w:fldChar w:fldCharType="begin"/>
        </w:r>
        <w:r w:rsidRPr="000F23E0">
          <w:rPr>
            <w:noProof w:val="0"/>
            <w:webHidden/>
          </w:rPr>
          <w:instrText xml:space="preserve"> PAGEREF _Toc225155803 \h </w:instrText>
        </w:r>
        <w:r w:rsidRPr="000F23E0">
          <w:rPr>
            <w:noProof w:val="0"/>
            <w:webHidden/>
          </w:rPr>
        </w:r>
        <w:r w:rsidRPr="000F23E0">
          <w:rPr>
            <w:noProof w:val="0"/>
            <w:webHidden/>
          </w:rPr>
          <w:fldChar w:fldCharType="separate"/>
        </w:r>
        <w:r w:rsidRPr="000F23E0">
          <w:rPr>
            <w:noProof w:val="0"/>
            <w:webHidden/>
          </w:rPr>
          <w:t>79</w:t>
        </w:r>
        <w:r w:rsidRPr="000F23E0">
          <w:rPr>
            <w:noProof w:val="0"/>
            <w:webHidden/>
          </w:rPr>
          <w:fldChar w:fldCharType="end"/>
        </w:r>
      </w:hyperlink>
    </w:p>
    <w:p w14:paraId="7E0A8A8C" w14:textId="5A053FBD" w:rsidR="00C26F03" w:rsidRPr="000F23E0" w:rsidRDefault="00C26F03" w:rsidP="00C26F03">
      <w:pPr>
        <w:pStyle w:val="TOC2"/>
        <w:keepNext w:val="0"/>
        <w:tabs>
          <w:tab w:val="left" w:pos="993"/>
        </w:tabs>
        <w:ind w:left="993" w:right="0" w:hanging="993"/>
        <w:rPr>
          <w:rFonts w:asciiTheme="minorHAnsi" w:eastAsiaTheme="minorEastAsia" w:hAnsiTheme="minorHAnsi" w:cstheme="minorBidi"/>
          <w:noProof w:val="0"/>
          <w:color w:val="auto"/>
          <w:kern w:val="2"/>
          <w:sz w:val="24"/>
          <w:szCs w:val="24"/>
          <w14:ligatures w14:val="standardContextual"/>
        </w:rPr>
      </w:pPr>
      <w:hyperlink w:anchor="_Toc225155806" w:history="1">
        <w:r w:rsidRPr="000F23E0">
          <w:rPr>
            <w:rStyle w:val="Hyperlink"/>
            <w:noProof w:val="0"/>
            <w:u w:val="none"/>
          </w:rPr>
          <w:t>Table 41:</w:t>
        </w:r>
        <w:r w:rsidRPr="000F23E0">
          <w:rPr>
            <w:rStyle w:val="Hyperlink"/>
            <w:noProof w:val="0"/>
            <w:u w:val="none"/>
          </w:rPr>
          <w:tab/>
          <w:t>Allocation Data for the Recycling Modernisation Fund ($ million)</w:t>
        </w:r>
        <w:r w:rsidRPr="000F23E0">
          <w:rPr>
            <w:noProof w:val="0"/>
            <w:webHidden/>
          </w:rPr>
          <w:tab/>
        </w:r>
        <w:r w:rsidRPr="000F23E0">
          <w:rPr>
            <w:noProof w:val="0"/>
            <w:webHidden/>
          </w:rPr>
          <w:fldChar w:fldCharType="begin"/>
        </w:r>
        <w:r w:rsidRPr="000F23E0">
          <w:rPr>
            <w:noProof w:val="0"/>
            <w:webHidden/>
          </w:rPr>
          <w:instrText xml:space="preserve"> PAGEREF _Toc225155806 \h </w:instrText>
        </w:r>
        <w:r w:rsidRPr="000F23E0">
          <w:rPr>
            <w:noProof w:val="0"/>
            <w:webHidden/>
          </w:rPr>
        </w:r>
        <w:r w:rsidRPr="000F23E0">
          <w:rPr>
            <w:noProof w:val="0"/>
            <w:webHidden/>
          </w:rPr>
          <w:fldChar w:fldCharType="separate"/>
        </w:r>
        <w:r w:rsidRPr="000F23E0">
          <w:rPr>
            <w:noProof w:val="0"/>
            <w:webHidden/>
          </w:rPr>
          <w:t>81</w:t>
        </w:r>
        <w:r w:rsidRPr="000F23E0">
          <w:rPr>
            <w:noProof w:val="0"/>
            <w:webHidden/>
          </w:rPr>
          <w:fldChar w:fldCharType="end"/>
        </w:r>
      </w:hyperlink>
    </w:p>
    <w:p w14:paraId="757229DF" w14:textId="280447B8" w:rsidR="00C26F03" w:rsidRPr="000F23E0" w:rsidRDefault="00C26F03" w:rsidP="00C26F03">
      <w:pPr>
        <w:pStyle w:val="TOC2"/>
        <w:keepNext w:val="0"/>
        <w:tabs>
          <w:tab w:val="left" w:pos="993"/>
        </w:tabs>
        <w:ind w:left="993" w:right="0" w:hanging="993"/>
        <w:rPr>
          <w:rFonts w:asciiTheme="minorHAnsi" w:eastAsiaTheme="minorEastAsia" w:hAnsiTheme="minorHAnsi" w:cstheme="minorBidi"/>
          <w:noProof w:val="0"/>
          <w:color w:val="auto"/>
          <w:kern w:val="2"/>
          <w:sz w:val="24"/>
          <w:szCs w:val="24"/>
          <w14:ligatures w14:val="standardContextual"/>
        </w:rPr>
      </w:pPr>
      <w:hyperlink w:anchor="_Toc225155807" w:history="1">
        <w:r w:rsidRPr="000F23E0">
          <w:rPr>
            <w:rStyle w:val="Hyperlink"/>
            <w:noProof w:val="0"/>
            <w:u w:val="none"/>
          </w:rPr>
          <w:t>Table 42:</w:t>
        </w:r>
        <w:r w:rsidRPr="000F23E0">
          <w:rPr>
            <w:rStyle w:val="Hyperlink"/>
            <w:noProof w:val="0"/>
            <w:u w:val="none"/>
          </w:rPr>
          <w:tab/>
          <w:t>Impact Data for the Recycling Modernisation Fund</w:t>
        </w:r>
        <w:r w:rsidRPr="000F23E0">
          <w:rPr>
            <w:noProof w:val="0"/>
            <w:webHidden/>
          </w:rPr>
          <w:tab/>
        </w:r>
        <w:r w:rsidRPr="000F23E0">
          <w:rPr>
            <w:noProof w:val="0"/>
            <w:webHidden/>
          </w:rPr>
          <w:fldChar w:fldCharType="begin"/>
        </w:r>
        <w:r w:rsidRPr="000F23E0">
          <w:rPr>
            <w:noProof w:val="0"/>
            <w:webHidden/>
          </w:rPr>
          <w:instrText xml:space="preserve"> PAGEREF _Toc225155807 \h </w:instrText>
        </w:r>
        <w:r w:rsidRPr="000F23E0">
          <w:rPr>
            <w:noProof w:val="0"/>
            <w:webHidden/>
          </w:rPr>
        </w:r>
        <w:r w:rsidRPr="000F23E0">
          <w:rPr>
            <w:noProof w:val="0"/>
            <w:webHidden/>
          </w:rPr>
          <w:fldChar w:fldCharType="separate"/>
        </w:r>
        <w:r w:rsidRPr="000F23E0">
          <w:rPr>
            <w:noProof w:val="0"/>
            <w:webHidden/>
          </w:rPr>
          <w:t>82</w:t>
        </w:r>
        <w:r w:rsidRPr="000F23E0">
          <w:rPr>
            <w:noProof w:val="0"/>
            <w:webHidden/>
          </w:rPr>
          <w:fldChar w:fldCharType="end"/>
        </w:r>
      </w:hyperlink>
    </w:p>
    <w:p w14:paraId="37BD4A85" w14:textId="0509CD3C" w:rsidR="00C26F03" w:rsidRPr="000F23E0" w:rsidRDefault="00C26F03" w:rsidP="00C26F03">
      <w:pPr>
        <w:pStyle w:val="TOC2"/>
        <w:keepNext w:val="0"/>
        <w:tabs>
          <w:tab w:val="left" w:pos="993"/>
        </w:tabs>
        <w:ind w:left="993" w:right="0" w:hanging="993"/>
        <w:rPr>
          <w:rFonts w:asciiTheme="minorHAnsi" w:eastAsiaTheme="minorEastAsia" w:hAnsiTheme="minorHAnsi" w:cstheme="minorBidi"/>
          <w:noProof w:val="0"/>
          <w:color w:val="auto"/>
          <w:kern w:val="2"/>
          <w:sz w:val="24"/>
          <w:szCs w:val="24"/>
          <w14:ligatures w14:val="standardContextual"/>
        </w:rPr>
      </w:pPr>
      <w:hyperlink w:anchor="_Toc225155808" w:history="1">
        <w:r w:rsidRPr="000F23E0">
          <w:rPr>
            <w:rStyle w:val="Hyperlink"/>
            <w:noProof w:val="0"/>
            <w:u w:val="none"/>
          </w:rPr>
          <w:t>Table 43:</w:t>
        </w:r>
        <w:r w:rsidRPr="000F23E0">
          <w:rPr>
            <w:rStyle w:val="Hyperlink"/>
            <w:noProof w:val="0"/>
            <w:u w:val="none"/>
          </w:rPr>
          <w:tab/>
          <w:t>Social impact data for the Recycling Modernisation Fund</w:t>
        </w:r>
        <w:r w:rsidRPr="000F23E0">
          <w:rPr>
            <w:noProof w:val="0"/>
            <w:webHidden/>
          </w:rPr>
          <w:tab/>
        </w:r>
        <w:r w:rsidRPr="000F23E0">
          <w:rPr>
            <w:noProof w:val="0"/>
            <w:webHidden/>
          </w:rPr>
          <w:fldChar w:fldCharType="begin"/>
        </w:r>
        <w:r w:rsidRPr="000F23E0">
          <w:rPr>
            <w:noProof w:val="0"/>
            <w:webHidden/>
          </w:rPr>
          <w:instrText xml:space="preserve"> PAGEREF _Toc225155808 \h </w:instrText>
        </w:r>
        <w:r w:rsidRPr="000F23E0">
          <w:rPr>
            <w:noProof w:val="0"/>
            <w:webHidden/>
          </w:rPr>
        </w:r>
        <w:r w:rsidRPr="000F23E0">
          <w:rPr>
            <w:noProof w:val="0"/>
            <w:webHidden/>
          </w:rPr>
          <w:fldChar w:fldCharType="separate"/>
        </w:r>
        <w:r w:rsidRPr="000F23E0">
          <w:rPr>
            <w:noProof w:val="0"/>
            <w:webHidden/>
          </w:rPr>
          <w:t>82</w:t>
        </w:r>
        <w:r w:rsidRPr="000F23E0">
          <w:rPr>
            <w:noProof w:val="0"/>
            <w:webHidden/>
          </w:rPr>
          <w:fldChar w:fldCharType="end"/>
        </w:r>
      </w:hyperlink>
    </w:p>
    <w:p w14:paraId="714A682C" w14:textId="6F1C7F03" w:rsidR="00FE7B3F" w:rsidRPr="000F23E0" w:rsidRDefault="00FE7B3F" w:rsidP="00FE7B3F">
      <w:pPr>
        <w:pStyle w:val="ChartGraphic"/>
        <w:spacing w:before="360"/>
      </w:pPr>
      <w:r w:rsidRPr="000F23E0">
        <w:drawing>
          <wp:inline distT="0" distB="0" distL="0" distR="0" wp14:anchorId="33417BC5" wp14:editId="695AF747">
            <wp:extent cx="5757363" cy="2535144"/>
            <wp:effectExtent l="0" t="0" r="0" b="0"/>
            <wp:docPr id="997764622" name="Picture 2" descr="Aerial view of houses in a suburb, many of which have solar panels on their roo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764622" name="Picture 2" descr="Aerial view of houses in a suburb, many of which have solar panels on their rooves."/>
                    <pic:cNvPicPr/>
                  </pic:nvPicPr>
                  <pic:blipFill rotWithShape="1">
                    <a:blip r:embed="rId15" cstate="print">
                      <a:extLst>
                        <a:ext uri="{28A0092B-C50C-407E-A947-70E740481C1C}">
                          <a14:useLocalDpi xmlns:a14="http://schemas.microsoft.com/office/drawing/2010/main" val="0"/>
                        </a:ext>
                      </a:extLst>
                    </a:blip>
                    <a:srcRect/>
                    <a:stretch>
                      <a:fillRect/>
                    </a:stretch>
                  </pic:blipFill>
                  <pic:spPr bwMode="auto">
                    <a:xfrm>
                      <a:off x="0" y="0"/>
                      <a:ext cx="5757363" cy="2535144"/>
                    </a:xfrm>
                    <a:prstGeom prst="rect">
                      <a:avLst/>
                    </a:prstGeom>
                    <a:ln>
                      <a:noFill/>
                    </a:ln>
                    <a:extLst>
                      <a:ext uri="{53640926-AAD7-44D8-BBD7-CCE9431645EC}">
                        <a14:shadowObscured xmlns:a14="http://schemas.microsoft.com/office/drawing/2010/main"/>
                      </a:ext>
                    </a:extLst>
                  </pic:spPr>
                </pic:pic>
              </a:graphicData>
            </a:graphic>
          </wp:inline>
        </w:drawing>
      </w:r>
    </w:p>
    <w:p w14:paraId="4DE52D13" w14:textId="77777777" w:rsidR="00FE7B3F" w:rsidRPr="000F23E0" w:rsidRDefault="00FE7B3F" w:rsidP="00FE7B3F"/>
    <w:p w14:paraId="241429F7" w14:textId="72FACBDC" w:rsidR="00FE7B3F" w:rsidRPr="000F23E0" w:rsidRDefault="00FE7B3F" w:rsidP="00FE7B3F">
      <w:pPr>
        <w:sectPr w:rsidR="00FE7B3F" w:rsidRPr="000F23E0" w:rsidSect="00955B2F">
          <w:headerReference w:type="even" r:id="rId16"/>
          <w:headerReference w:type="default" r:id="rId17"/>
          <w:footerReference w:type="even" r:id="rId18"/>
          <w:footerReference w:type="default" r:id="rId19"/>
          <w:footnotePr>
            <w:numFmt w:val="lowerLetter"/>
          </w:footnotePr>
          <w:endnotePr>
            <w:numFmt w:val="decimal"/>
          </w:endnotePr>
          <w:pgSz w:w="11906" w:h="16838" w:code="9"/>
          <w:pgMar w:top="1843" w:right="1418" w:bottom="1418" w:left="1418" w:header="709" w:footer="709" w:gutter="0"/>
          <w:pgNumType w:fmt="lowerRoman" w:start="4"/>
          <w:cols w:space="708"/>
          <w:docGrid w:linePitch="360"/>
        </w:sectPr>
      </w:pPr>
    </w:p>
    <w:p w14:paraId="1409AEA8" w14:textId="77B76710" w:rsidR="00F905E5" w:rsidRPr="000F23E0" w:rsidRDefault="00614BD7" w:rsidP="00557D2D">
      <w:pPr>
        <w:pStyle w:val="Heading1"/>
      </w:pPr>
      <w:bookmarkStart w:id="2" w:name="_Toc225155724"/>
      <w:bookmarkStart w:id="3" w:name="_Toc188027947"/>
      <w:bookmarkStart w:id="4" w:name="_Toc188028293"/>
      <w:r w:rsidRPr="000F23E0">
        <w:lastRenderedPageBreak/>
        <w:t>Overview</w:t>
      </w:r>
      <w:bookmarkEnd w:id="2"/>
    </w:p>
    <w:p w14:paraId="3CB7EADD" w14:textId="23236498" w:rsidR="003E249C" w:rsidRPr="000F23E0" w:rsidRDefault="002B7C5B" w:rsidP="00E52152">
      <w:r w:rsidRPr="000F23E0">
        <w:t>G</w:t>
      </w:r>
      <w:r w:rsidR="003E249C" w:rsidRPr="000F23E0">
        <w:t xml:space="preserve">reen bonds </w:t>
      </w:r>
      <w:r w:rsidR="003823CD" w:rsidRPr="000F23E0">
        <w:t>help finance</w:t>
      </w:r>
      <w:r w:rsidR="005652FE" w:rsidRPr="000F23E0">
        <w:t xml:space="preserve"> </w:t>
      </w:r>
      <w:r w:rsidR="00B07F04" w:rsidRPr="000F23E0">
        <w:t>Australian Government</w:t>
      </w:r>
      <w:r w:rsidR="003E249C" w:rsidRPr="000F23E0">
        <w:t xml:space="preserve"> </w:t>
      </w:r>
      <w:r w:rsidR="00BC108E" w:rsidRPr="000F23E0">
        <w:t>and delivery partner</w:t>
      </w:r>
      <w:r w:rsidR="003E249C" w:rsidRPr="000F23E0">
        <w:t xml:space="preserve"> </w:t>
      </w:r>
      <w:r w:rsidR="00F06BCD" w:rsidRPr="000F23E0">
        <w:t xml:space="preserve">actions aimed at </w:t>
      </w:r>
      <w:r w:rsidR="003E249C" w:rsidRPr="000F23E0">
        <w:t>redu</w:t>
      </w:r>
      <w:r w:rsidR="00F06BCD" w:rsidRPr="000F23E0">
        <w:t>cing the</w:t>
      </w:r>
      <w:r w:rsidR="0053317E" w:rsidRPr="000F23E0">
        <w:t> </w:t>
      </w:r>
      <w:r w:rsidR="003E249C" w:rsidRPr="000F23E0">
        <w:t>impact of climate change and protect</w:t>
      </w:r>
      <w:r w:rsidR="00EA35C1" w:rsidRPr="000F23E0">
        <w:t xml:space="preserve">ing </w:t>
      </w:r>
      <w:r w:rsidR="00857B81" w:rsidRPr="000F23E0">
        <w:t xml:space="preserve">the </w:t>
      </w:r>
      <w:r w:rsidR="003E249C" w:rsidRPr="000F23E0">
        <w:t xml:space="preserve">environment. </w:t>
      </w:r>
      <w:r w:rsidR="00E52152" w:rsidRPr="000F23E0">
        <w:t>Issuing sovereign green bonds is a</w:t>
      </w:r>
      <w:r w:rsidR="00955B2F" w:rsidRPr="000F23E0">
        <w:t> </w:t>
      </w:r>
      <w:r w:rsidR="00E52152" w:rsidRPr="000F23E0">
        <w:t>key</w:t>
      </w:r>
      <w:r w:rsidR="0053317E" w:rsidRPr="000F23E0">
        <w:t> </w:t>
      </w:r>
      <w:r w:rsidR="00E52152" w:rsidRPr="000F23E0">
        <w:t>priority under Australia</w:t>
      </w:r>
      <w:r w:rsidR="002C4475" w:rsidRPr="000F23E0">
        <w:t>’</w:t>
      </w:r>
      <w:r w:rsidR="00E52152" w:rsidRPr="000F23E0">
        <w:t>s Sustainable Finance Roadmap</w:t>
      </w:r>
      <w:r w:rsidR="001770B2" w:rsidRPr="000F23E0">
        <w:rPr>
          <w:rStyle w:val="EndnoteReference"/>
        </w:rPr>
        <w:endnoteReference w:id="2"/>
      </w:r>
      <w:r w:rsidR="00E52152" w:rsidRPr="000F23E0">
        <w:t>. Green Treasury Bonds</w:t>
      </w:r>
      <w:r w:rsidR="001851ED" w:rsidRPr="000F23E0">
        <w:t xml:space="preserve"> (GTBs) </w:t>
      </w:r>
      <w:r w:rsidR="00E52152" w:rsidRPr="000F23E0">
        <w:t>help to</w:t>
      </w:r>
      <w:r w:rsidR="00955B2F" w:rsidRPr="000F23E0">
        <w:t> </w:t>
      </w:r>
      <w:r w:rsidR="00E52152" w:rsidRPr="000F23E0">
        <w:t>mobilise the significant private capital required to achieve net zero and maximise the economic opportunities associated with energy, climate and sustainability goals.</w:t>
      </w:r>
    </w:p>
    <w:p w14:paraId="76BA001E" w14:textId="3BCA3BF8" w:rsidR="00BA502D" w:rsidRPr="000F23E0" w:rsidRDefault="003E249C" w:rsidP="00BA502D">
      <w:r w:rsidRPr="000F23E0">
        <w:t>Australia</w:t>
      </w:r>
      <w:r w:rsidR="002C4475" w:rsidRPr="000F23E0">
        <w:t>’</w:t>
      </w:r>
      <w:r w:rsidRPr="000F23E0">
        <w:t xml:space="preserve">s sovereign </w:t>
      </w:r>
      <w:r w:rsidR="00E760DE" w:rsidRPr="000F23E0">
        <w:t>Green Bond Program</w:t>
      </w:r>
      <w:r w:rsidRPr="000F23E0">
        <w:t xml:space="preserve"> has </w:t>
      </w:r>
      <w:r w:rsidR="001F51A0" w:rsidRPr="000F23E0">
        <w:t xml:space="preserve">performed well since </w:t>
      </w:r>
      <w:r w:rsidRPr="000F23E0">
        <w:t>its first issuance in June</w:t>
      </w:r>
      <w:r w:rsidR="003866AE" w:rsidRPr="000F23E0">
        <w:t> </w:t>
      </w:r>
      <w:r w:rsidRPr="000F23E0">
        <w:t>2024</w:t>
      </w:r>
      <w:r w:rsidR="00EF2B20" w:rsidRPr="000F23E0">
        <w:t xml:space="preserve"> with</w:t>
      </w:r>
      <w:r w:rsidR="003866AE" w:rsidRPr="000F23E0">
        <w:t> </w:t>
      </w:r>
      <w:r w:rsidR="00BA502D" w:rsidRPr="000F23E0">
        <w:t>the program attract</w:t>
      </w:r>
      <w:r w:rsidR="00EF2B20" w:rsidRPr="000F23E0">
        <w:t>ing</w:t>
      </w:r>
      <w:r w:rsidR="00AF2C27" w:rsidRPr="000F23E0">
        <w:t xml:space="preserve"> broad support from</w:t>
      </w:r>
      <w:r w:rsidR="00BA502D" w:rsidRPr="000F23E0">
        <w:t xml:space="preserve"> </w:t>
      </w:r>
      <w:r w:rsidR="582C606E" w:rsidRPr="000F23E0">
        <w:t xml:space="preserve">a </w:t>
      </w:r>
      <w:r w:rsidR="00BA502D" w:rsidRPr="000F23E0">
        <w:t>diverse</w:t>
      </w:r>
      <w:r w:rsidR="2B38AA62" w:rsidRPr="000F23E0">
        <w:t xml:space="preserve"> investor base, including new and existing</w:t>
      </w:r>
      <w:r w:rsidR="003866AE" w:rsidRPr="000F23E0">
        <w:t> </w:t>
      </w:r>
      <w:r w:rsidR="00BA502D" w:rsidRPr="000F23E0">
        <w:t xml:space="preserve">investors. </w:t>
      </w:r>
    </w:p>
    <w:p w14:paraId="58A364F3" w14:textId="5BDD8E1B" w:rsidR="003E249C" w:rsidRPr="000F23E0" w:rsidRDefault="003E249C" w:rsidP="003E249C">
      <w:r w:rsidRPr="000F23E0">
        <w:t xml:space="preserve">The program has been nominated for multiple awards </w:t>
      </w:r>
      <w:r w:rsidR="002A7CC1" w:rsidRPr="000F23E0">
        <w:t xml:space="preserve">for </w:t>
      </w:r>
      <w:r w:rsidRPr="000F23E0">
        <w:t>excellence in delivery, including winning Environment</w:t>
      </w:r>
      <w:r w:rsidR="009E3CF6" w:rsidRPr="000F23E0">
        <w:t>al</w:t>
      </w:r>
      <w:r w:rsidRPr="000F23E0">
        <w:t xml:space="preserve"> Finance</w:t>
      </w:r>
      <w:r w:rsidR="002C4475" w:rsidRPr="000F23E0">
        <w:t>’</w:t>
      </w:r>
      <w:r w:rsidRPr="000F23E0">
        <w:t xml:space="preserve">s 2025 </w:t>
      </w:r>
      <w:hyperlink r:id="rId20">
        <w:r w:rsidRPr="000F23E0">
          <w:rPr>
            <w:rStyle w:val="Hyperlink"/>
          </w:rPr>
          <w:t xml:space="preserve">Green Bond of the Year </w:t>
        </w:r>
        <w:r w:rsidR="00586C63" w:rsidRPr="000F23E0">
          <w:rPr>
            <w:rStyle w:val="Hyperlink"/>
          </w:rPr>
          <w:t>–</w:t>
        </w:r>
        <w:r w:rsidRPr="000F23E0">
          <w:rPr>
            <w:rStyle w:val="Hyperlink"/>
          </w:rPr>
          <w:t xml:space="preserve"> sovereign</w:t>
        </w:r>
      </w:hyperlink>
      <w:r w:rsidRPr="000F23E0">
        <w:t xml:space="preserve"> award. </w:t>
      </w:r>
      <w:r w:rsidR="005411E5" w:rsidRPr="000F23E0">
        <w:t xml:space="preserve">The </w:t>
      </w:r>
      <w:r w:rsidR="001851ED" w:rsidRPr="000F23E0">
        <w:t>GTB</w:t>
      </w:r>
      <w:r w:rsidR="005411E5" w:rsidRPr="000F23E0">
        <w:t xml:space="preserve"> was recognised by market participants </w:t>
      </w:r>
      <w:r w:rsidR="00FD5710" w:rsidRPr="000F23E0">
        <w:t>with</w:t>
      </w:r>
      <w:r w:rsidR="005411E5" w:rsidRPr="000F23E0">
        <w:t xml:space="preserve"> the </w:t>
      </w:r>
      <w:r w:rsidRPr="000F23E0">
        <w:t xml:space="preserve">Kanganews </w:t>
      </w:r>
      <w:r w:rsidR="005411E5" w:rsidRPr="000F23E0">
        <w:t xml:space="preserve">Awards 2024 </w:t>
      </w:r>
      <w:r w:rsidR="00413132" w:rsidRPr="000F23E0">
        <w:t>Australian Dollar Rates Bond Deal of the Year and the</w:t>
      </w:r>
      <w:r w:rsidRPr="000F23E0">
        <w:t xml:space="preserve"> Australian Sustainability Bond Deal of the Year</w:t>
      </w:r>
      <w:r w:rsidR="00413132" w:rsidRPr="000F23E0">
        <w:t>.</w:t>
      </w:r>
      <w:r w:rsidRPr="000F23E0">
        <w:t xml:space="preserve"> </w:t>
      </w:r>
    </w:p>
    <w:p w14:paraId="55943077" w14:textId="5A2DE867" w:rsidR="003E249C" w:rsidRPr="000F23E0" w:rsidRDefault="003E249C" w:rsidP="003E249C">
      <w:pPr>
        <w:shd w:val="clear" w:color="auto" w:fill="FFFFFF" w:themeFill="background1"/>
      </w:pPr>
      <w:r w:rsidRPr="000F23E0">
        <w:t>Following the initial $7 billion issue of the June</w:t>
      </w:r>
      <w:r w:rsidR="003866AE" w:rsidRPr="000F23E0">
        <w:t> </w:t>
      </w:r>
      <w:r w:rsidRPr="000F23E0">
        <w:t xml:space="preserve">2034 GTB, the </w:t>
      </w:r>
      <w:r w:rsidR="007D133B" w:rsidRPr="000F23E0">
        <w:t xml:space="preserve">Australian Office of Financial </w:t>
      </w:r>
      <w:r w:rsidR="00ED751C" w:rsidRPr="000F23E0">
        <w:t>M</w:t>
      </w:r>
      <w:r w:rsidR="007D133B" w:rsidRPr="000F23E0">
        <w:t xml:space="preserve">anagement </w:t>
      </w:r>
      <w:r w:rsidR="00602071" w:rsidRPr="000F23E0">
        <w:t>(</w:t>
      </w:r>
      <w:r w:rsidRPr="000F23E0">
        <w:t>AOFM</w:t>
      </w:r>
      <w:r w:rsidR="00602071" w:rsidRPr="000F23E0">
        <w:t>)</w:t>
      </w:r>
      <w:r w:rsidRPr="000F23E0">
        <w:t xml:space="preserve"> has gradually increased the size of the bond line through a series of tenders</w:t>
      </w:r>
      <w:r w:rsidR="00F638FE" w:rsidRPr="000F23E0">
        <w:t xml:space="preserve"> </w:t>
      </w:r>
      <w:r w:rsidR="00B96FC8" w:rsidRPr="000F23E0">
        <w:t xml:space="preserve">which </w:t>
      </w:r>
      <w:r w:rsidR="00F638FE" w:rsidRPr="000F23E0">
        <w:t xml:space="preserve">further </w:t>
      </w:r>
      <w:r w:rsidRPr="000F23E0">
        <w:t xml:space="preserve">support liquidity </w:t>
      </w:r>
      <w:r w:rsidR="00922206" w:rsidRPr="000F23E0">
        <w:t>in</w:t>
      </w:r>
      <w:r w:rsidRPr="000F23E0">
        <w:t xml:space="preserve"> the bond</w:t>
      </w:r>
      <w:r w:rsidR="00922206" w:rsidRPr="000F23E0">
        <w:t xml:space="preserve"> line</w:t>
      </w:r>
      <w:r w:rsidRPr="000F23E0">
        <w:t xml:space="preserve">. </w:t>
      </w:r>
      <w:r w:rsidR="00D416CE" w:rsidRPr="000F23E0">
        <w:t xml:space="preserve">As at </w:t>
      </w:r>
      <w:r w:rsidR="00294B84" w:rsidRPr="000F23E0">
        <w:t>30</w:t>
      </w:r>
      <w:r w:rsidR="003866AE" w:rsidRPr="000F23E0">
        <w:t> </w:t>
      </w:r>
      <w:r w:rsidR="001E11EE" w:rsidRPr="000F23E0">
        <w:t>June</w:t>
      </w:r>
      <w:r w:rsidR="003866AE" w:rsidRPr="000F23E0">
        <w:t> </w:t>
      </w:r>
      <w:r w:rsidR="00D416CE" w:rsidRPr="000F23E0">
        <w:t xml:space="preserve">2025, there </w:t>
      </w:r>
      <w:r w:rsidR="000E296B" w:rsidRPr="000F23E0">
        <w:t xml:space="preserve">were </w:t>
      </w:r>
      <w:r w:rsidR="00DC7960" w:rsidRPr="000F23E0">
        <w:t>$</w:t>
      </w:r>
      <w:r w:rsidR="001E11EE" w:rsidRPr="000F23E0">
        <w:t>9 </w:t>
      </w:r>
      <w:r w:rsidR="00D416CE" w:rsidRPr="000F23E0">
        <w:t>billion of GTBs on</w:t>
      </w:r>
      <w:r w:rsidR="003866AE" w:rsidRPr="000F23E0">
        <w:t> </w:t>
      </w:r>
      <w:r w:rsidR="00D416CE" w:rsidRPr="000F23E0">
        <w:t>issue.</w:t>
      </w:r>
      <w:r w:rsidR="00D80695" w:rsidRPr="000F23E0">
        <w:t xml:space="preserve"> GTBs on issue subsequently increased t</w:t>
      </w:r>
      <w:r w:rsidR="00BA297D" w:rsidRPr="000F23E0">
        <w:t>o $10</w:t>
      </w:r>
      <w:r w:rsidR="003866AE" w:rsidRPr="000F23E0">
        <w:t> </w:t>
      </w:r>
      <w:r w:rsidR="00BA297D" w:rsidRPr="000F23E0">
        <w:t>billion as at 31 December 2025.</w:t>
      </w:r>
    </w:p>
    <w:p w14:paraId="4D05A092" w14:textId="55CA83F5" w:rsidR="001F25B4" w:rsidRPr="000F23E0" w:rsidRDefault="003E249C" w:rsidP="00E84D17">
      <w:pPr>
        <w:shd w:val="clear" w:color="auto" w:fill="FFFFFF" w:themeFill="background1"/>
      </w:pPr>
      <w:r w:rsidRPr="000F23E0">
        <w:t>The AOFM plans to introduce a new GTB line every 2</w:t>
      </w:r>
      <w:r w:rsidR="004F2310" w:rsidRPr="000F23E0">
        <w:t xml:space="preserve"> to </w:t>
      </w:r>
      <w:r w:rsidR="000B5116" w:rsidRPr="000F23E0">
        <w:t>3</w:t>
      </w:r>
      <w:r w:rsidRPr="000F23E0">
        <w:t xml:space="preserve"> years, with the next new line </w:t>
      </w:r>
      <w:r w:rsidR="00B76FC9" w:rsidRPr="000F23E0">
        <w:t xml:space="preserve">expected </w:t>
      </w:r>
      <w:r w:rsidR="002C472C" w:rsidRPr="000F23E0">
        <w:t xml:space="preserve">to </w:t>
      </w:r>
      <w:r w:rsidRPr="000F23E0">
        <w:t>be</w:t>
      </w:r>
      <w:r w:rsidR="003866AE" w:rsidRPr="000F23E0">
        <w:t> </w:t>
      </w:r>
      <w:r w:rsidRPr="000F23E0">
        <w:t xml:space="preserve">issued in 2026. Between launches of new </w:t>
      </w:r>
      <w:r w:rsidR="73413F00" w:rsidRPr="000F23E0">
        <w:t>GTB</w:t>
      </w:r>
      <w:r w:rsidRPr="000F23E0">
        <w:t xml:space="preserve"> lines, the AOFM will continue to conduct smaller tenders </w:t>
      </w:r>
      <w:r w:rsidR="006A34EF" w:rsidRPr="000F23E0">
        <w:t>into</w:t>
      </w:r>
      <w:r w:rsidRPr="000F23E0">
        <w:t xml:space="preserve"> existing </w:t>
      </w:r>
      <w:r w:rsidR="63D2B8B4" w:rsidRPr="000F23E0">
        <w:t>GTB</w:t>
      </w:r>
      <w:r w:rsidRPr="000F23E0">
        <w:t xml:space="preserve"> lines. </w:t>
      </w:r>
      <w:r w:rsidR="00243CA2" w:rsidRPr="000F23E0">
        <w:t>All issuance, including new lines and tenders into existing GTB lines are</w:t>
      </w:r>
      <w:r w:rsidR="0053317E" w:rsidRPr="000F23E0">
        <w:t> </w:t>
      </w:r>
      <w:r w:rsidR="00243CA2" w:rsidRPr="000F23E0">
        <w:t>collectively referred to as GTBs or GTB proceeds.</w:t>
      </w:r>
    </w:p>
    <w:p w14:paraId="07149C21" w14:textId="23E75D08" w:rsidR="00E32D66" w:rsidRPr="000F23E0" w:rsidRDefault="5B24DF2C" w:rsidP="00FB137F">
      <w:r w:rsidRPr="000F23E0">
        <w:t xml:space="preserve">The </w:t>
      </w:r>
      <w:hyperlink r:id="rId21" w:history="1">
        <w:r w:rsidR="001135A7" w:rsidRPr="000F23E0">
          <w:rPr>
            <w:rStyle w:val="Hyperlink"/>
          </w:rPr>
          <w:t>Green Bond Framework</w:t>
        </w:r>
      </w:hyperlink>
      <w:r w:rsidR="00EA05E5" w:rsidRPr="000F23E0">
        <w:rPr>
          <w:rStyle w:val="EndnoteReference"/>
        </w:rPr>
        <w:endnoteReference w:id="3"/>
      </w:r>
      <w:r w:rsidRPr="000F23E0">
        <w:t xml:space="preserve"> outlines how bonds</w:t>
      </w:r>
      <w:r w:rsidR="00BA4370" w:rsidRPr="000F23E0">
        <w:t xml:space="preserve"> are issued</w:t>
      </w:r>
      <w:r w:rsidRPr="000F23E0">
        <w:t xml:space="preserve">, including the basis for identifying, selecting, managing, and reporting expenditures </w:t>
      </w:r>
      <w:r w:rsidR="00AC2849" w:rsidRPr="000F23E0">
        <w:t>and allocating</w:t>
      </w:r>
      <w:r w:rsidRPr="000F23E0">
        <w:t xml:space="preserve"> </w:t>
      </w:r>
      <w:r w:rsidR="00E35C2F" w:rsidRPr="000F23E0">
        <w:t>GTB</w:t>
      </w:r>
      <w:r w:rsidR="00AC2849" w:rsidRPr="000F23E0">
        <w:t xml:space="preserve"> proceed</w:t>
      </w:r>
      <w:r w:rsidRPr="000F23E0">
        <w:t xml:space="preserve">s. </w:t>
      </w:r>
      <w:r w:rsidR="00704F7B" w:rsidRPr="000F23E0">
        <w:rPr>
          <w:shd w:val="clear" w:color="auto" w:fill="FFFFFF" w:themeFill="background1"/>
        </w:rPr>
        <w:t>T</w:t>
      </w:r>
      <w:r w:rsidR="00E32D66" w:rsidRPr="000F23E0">
        <w:rPr>
          <w:shd w:val="clear" w:color="auto" w:fill="FFFFFF" w:themeFill="background1"/>
        </w:rPr>
        <w:t xml:space="preserve">he Green Bond Framework </w:t>
      </w:r>
      <w:r w:rsidR="00704F7B" w:rsidRPr="000F23E0">
        <w:rPr>
          <w:shd w:val="clear" w:color="auto" w:fill="FFFFFF" w:themeFill="background1"/>
        </w:rPr>
        <w:t xml:space="preserve">defines supported projects and programs </w:t>
      </w:r>
      <w:r w:rsidR="00E32D66" w:rsidRPr="000F23E0">
        <w:rPr>
          <w:shd w:val="clear" w:color="auto" w:fill="FFFFFF" w:themeFill="background1"/>
        </w:rPr>
        <w:t>as Eligible Green Expenditures. These expenditures must strongly align with one or more of the Green Bond Program</w:t>
      </w:r>
      <w:r w:rsidR="002C4475" w:rsidRPr="000F23E0">
        <w:rPr>
          <w:shd w:val="clear" w:color="auto" w:fill="FFFFFF" w:themeFill="background1"/>
        </w:rPr>
        <w:t>’</w:t>
      </w:r>
      <w:r w:rsidR="00E32D66" w:rsidRPr="000F23E0">
        <w:rPr>
          <w:shd w:val="clear" w:color="auto" w:fill="FFFFFF" w:themeFill="background1"/>
        </w:rPr>
        <w:t xml:space="preserve">s </w:t>
      </w:r>
      <w:r w:rsidR="00457421" w:rsidRPr="000F23E0">
        <w:rPr>
          <w:shd w:val="clear" w:color="auto" w:fill="FFFFFF" w:themeFill="background1"/>
        </w:rPr>
        <w:t xml:space="preserve">3 </w:t>
      </w:r>
      <w:r w:rsidR="00937836" w:rsidRPr="000F23E0">
        <w:rPr>
          <w:shd w:val="clear" w:color="auto" w:fill="FFFFFF" w:themeFill="background1"/>
        </w:rPr>
        <w:t>g</w:t>
      </w:r>
      <w:r w:rsidR="00E32D66" w:rsidRPr="000F23E0">
        <w:rPr>
          <w:shd w:val="clear" w:color="auto" w:fill="FFFFFF" w:themeFill="background1"/>
        </w:rPr>
        <w:t xml:space="preserve">reen </w:t>
      </w:r>
      <w:r w:rsidR="00937836" w:rsidRPr="000F23E0">
        <w:rPr>
          <w:shd w:val="clear" w:color="auto" w:fill="FFFFFF" w:themeFill="background1"/>
        </w:rPr>
        <w:t>g</w:t>
      </w:r>
      <w:r w:rsidR="00E32D66" w:rsidRPr="000F23E0">
        <w:rPr>
          <w:shd w:val="clear" w:color="auto" w:fill="FFFFFF" w:themeFill="background1"/>
        </w:rPr>
        <w:t>oals</w:t>
      </w:r>
      <w:r w:rsidR="002F5F0D" w:rsidRPr="000F23E0">
        <w:rPr>
          <w:shd w:val="clear" w:color="auto" w:fill="FFFFFF" w:themeFill="background1"/>
        </w:rPr>
        <w:t>.</w:t>
      </w:r>
    </w:p>
    <w:p w14:paraId="3CB64AF2" w14:textId="7C331FEE" w:rsidR="00E32D66" w:rsidRPr="000F23E0" w:rsidRDefault="00E32D66" w:rsidP="00E32D66">
      <w:pPr>
        <w:pStyle w:val="Bullet"/>
      </w:pPr>
      <w:r w:rsidRPr="000F23E0">
        <w:rPr>
          <w:b/>
          <w:bCs/>
        </w:rPr>
        <w:t xml:space="preserve">Climate </w:t>
      </w:r>
      <w:r w:rsidRPr="000F23E0">
        <w:rPr>
          <w:b/>
        </w:rPr>
        <w:t>Change Mitigation:</w:t>
      </w:r>
      <w:r w:rsidRPr="000F23E0">
        <w:rPr>
          <w:b/>
          <w:bCs/>
        </w:rPr>
        <w:t xml:space="preserve"> </w:t>
      </w:r>
      <w:r w:rsidRPr="000F23E0">
        <w:t>contributing to Australia</w:t>
      </w:r>
      <w:r w:rsidR="002C4475" w:rsidRPr="000F23E0">
        <w:t>’</w:t>
      </w:r>
      <w:r w:rsidRPr="000F23E0">
        <w:t>s net zero transformation and emissions reduction targets</w:t>
      </w:r>
      <w:r w:rsidR="002F5F0D" w:rsidRPr="000F23E0">
        <w:t>.</w:t>
      </w:r>
    </w:p>
    <w:p w14:paraId="3865FF28" w14:textId="1BF28F52" w:rsidR="00E32D66" w:rsidRPr="000F23E0" w:rsidRDefault="00E32D66" w:rsidP="00E32D66">
      <w:pPr>
        <w:pStyle w:val="Bullet"/>
      </w:pPr>
      <w:r w:rsidRPr="000F23E0">
        <w:rPr>
          <w:b/>
        </w:rPr>
        <w:t xml:space="preserve">Climate Change </w:t>
      </w:r>
      <w:r w:rsidRPr="000F23E0">
        <w:rPr>
          <w:b/>
          <w:bCs/>
        </w:rPr>
        <w:t xml:space="preserve">Adaptation: </w:t>
      </w:r>
      <w:r w:rsidRPr="000F23E0">
        <w:t>adapting to climate risks and building our national resilience to climate</w:t>
      </w:r>
      <w:r w:rsidR="00740BA0" w:rsidRPr="000F23E0">
        <w:t> </w:t>
      </w:r>
      <w:r w:rsidRPr="000F23E0">
        <w:t>impacts</w:t>
      </w:r>
      <w:r w:rsidR="002F5F0D" w:rsidRPr="000F23E0">
        <w:t>.</w:t>
      </w:r>
    </w:p>
    <w:p w14:paraId="759C84FF" w14:textId="176CCC10" w:rsidR="008B62CC" w:rsidRPr="000F23E0" w:rsidRDefault="00E32D66">
      <w:pPr>
        <w:pStyle w:val="Bullet"/>
      </w:pPr>
      <w:r w:rsidRPr="000F23E0">
        <w:rPr>
          <w:b/>
          <w:bCs/>
        </w:rPr>
        <w:t>Improved Environmental Outcomes</w:t>
      </w:r>
      <w:r w:rsidRPr="000F23E0">
        <w:rPr>
          <w:b/>
        </w:rPr>
        <w:t>:</w:t>
      </w:r>
      <w:r w:rsidRPr="000F23E0">
        <w:rPr>
          <w:b/>
          <w:bCs/>
        </w:rPr>
        <w:t xml:space="preserve"> </w:t>
      </w:r>
      <w:r w:rsidRPr="000F23E0">
        <w:t>achieving national biodiversity targets and Australia</w:t>
      </w:r>
      <w:r w:rsidR="002C4475" w:rsidRPr="000F23E0">
        <w:t>’</w:t>
      </w:r>
      <w:r w:rsidRPr="000F23E0">
        <w:t>s nature positive objective.</w:t>
      </w:r>
    </w:p>
    <w:p w14:paraId="755C38F4" w14:textId="0F758FF4" w:rsidR="00B34B39" w:rsidRPr="000F23E0" w:rsidRDefault="00AD6685" w:rsidP="003E249C">
      <w:r w:rsidRPr="000F23E0">
        <w:t xml:space="preserve">The Green Bond Framework was deemed </w:t>
      </w:r>
      <w:r w:rsidR="002C4475" w:rsidRPr="000F23E0">
        <w:t>‘</w:t>
      </w:r>
      <w:r w:rsidRPr="000F23E0">
        <w:t>credible and impactful</w:t>
      </w:r>
      <w:r w:rsidR="002C4475" w:rsidRPr="000F23E0">
        <w:t>’</w:t>
      </w:r>
      <w:r w:rsidRPr="000F23E0">
        <w:t xml:space="preserve"> and aligned to International Capital</w:t>
      </w:r>
      <w:r w:rsidR="003866AE" w:rsidRPr="000F23E0">
        <w:t> </w:t>
      </w:r>
      <w:r w:rsidRPr="000F23E0">
        <w:t>Market Association</w:t>
      </w:r>
      <w:r w:rsidR="002C4475" w:rsidRPr="000F23E0">
        <w:t>’</w:t>
      </w:r>
      <w:r w:rsidRPr="000F23E0">
        <w:t>s (ICMA) Green Bond Principles by Sustainalytics in its December</w:t>
      </w:r>
      <w:r w:rsidR="003866AE" w:rsidRPr="000F23E0">
        <w:t> </w:t>
      </w:r>
      <w:r w:rsidRPr="000F23E0">
        <w:t>2023 Second Party Opinion.</w:t>
      </w:r>
      <w:r w:rsidRPr="000F23E0">
        <w:rPr>
          <w:rStyle w:val="EndnoteReference"/>
        </w:rPr>
        <w:endnoteReference w:id="4"/>
      </w:r>
      <w:r w:rsidR="00FB137F" w:rsidRPr="000F23E0">
        <w:t xml:space="preserve"> </w:t>
      </w:r>
      <w:r w:rsidR="00507B9D" w:rsidRPr="000F23E0">
        <w:t>P</w:t>
      </w:r>
      <w:r w:rsidR="00B175CA" w:rsidRPr="000F23E0">
        <w:t xml:space="preserve">roposed </w:t>
      </w:r>
      <w:r w:rsidR="000009E6" w:rsidRPr="000F23E0">
        <w:t xml:space="preserve">new </w:t>
      </w:r>
      <w:r w:rsidR="00B175CA" w:rsidRPr="000F23E0">
        <w:t>Eligible Green Expenditures</w:t>
      </w:r>
      <w:r w:rsidR="007D20DF" w:rsidRPr="000F23E0">
        <w:t xml:space="preserve"> </w:t>
      </w:r>
      <w:r w:rsidR="00854E5B" w:rsidRPr="000F23E0">
        <w:t>undergo a pre</w:t>
      </w:r>
      <w:r w:rsidR="002C4475" w:rsidRPr="000F23E0">
        <w:noBreakHyphen/>
      </w:r>
      <w:r w:rsidR="00854E5B" w:rsidRPr="000F23E0">
        <w:t xml:space="preserve">issuance review for alignment with </w:t>
      </w:r>
      <w:r w:rsidR="00500BB3" w:rsidRPr="000F23E0">
        <w:t>the Green Bond Framework</w:t>
      </w:r>
      <w:r w:rsidR="00124D8B" w:rsidRPr="000F23E0">
        <w:t>. This was</w:t>
      </w:r>
      <w:r w:rsidR="00790715" w:rsidRPr="000F23E0">
        <w:t xml:space="preserve"> </w:t>
      </w:r>
      <w:r w:rsidR="00E92456" w:rsidRPr="000F23E0">
        <w:t>most recently</w:t>
      </w:r>
      <w:r w:rsidR="00790715" w:rsidRPr="000F23E0">
        <w:t xml:space="preserve"> </w:t>
      </w:r>
      <w:r w:rsidR="0021420C" w:rsidRPr="000F23E0">
        <w:t xml:space="preserve">conducted </w:t>
      </w:r>
      <w:r w:rsidR="00790715" w:rsidRPr="000F23E0">
        <w:t>by Sustainalytics</w:t>
      </w:r>
      <w:r w:rsidR="00C33F89" w:rsidRPr="000F23E0">
        <w:t xml:space="preserve"> in October</w:t>
      </w:r>
      <w:r w:rsidR="003866AE" w:rsidRPr="000F23E0">
        <w:t> </w:t>
      </w:r>
      <w:r w:rsidR="00C33F89" w:rsidRPr="000F23E0">
        <w:t>2025</w:t>
      </w:r>
      <w:r w:rsidR="00790715" w:rsidRPr="000F23E0">
        <w:t xml:space="preserve">. </w:t>
      </w:r>
      <w:r w:rsidR="00F93D75" w:rsidRPr="000F23E0">
        <w:t xml:space="preserve">Annual allocation and impact reports are verified externally, in accordance with the Framework. </w:t>
      </w:r>
      <w:r w:rsidR="00AB4773" w:rsidRPr="000F23E0">
        <w:t xml:space="preserve">Key program documents and reporting are available on the </w:t>
      </w:r>
      <w:hyperlink r:id="rId22" w:history="1">
        <w:r w:rsidR="00AB4773" w:rsidRPr="000F23E0">
          <w:rPr>
            <w:rStyle w:val="Hyperlink"/>
          </w:rPr>
          <w:t>AOFM</w:t>
        </w:r>
        <w:r w:rsidR="002C4475" w:rsidRPr="000F23E0">
          <w:rPr>
            <w:rStyle w:val="Hyperlink"/>
          </w:rPr>
          <w:t>’</w:t>
        </w:r>
        <w:r w:rsidR="00AB4773" w:rsidRPr="000F23E0">
          <w:rPr>
            <w:rStyle w:val="Hyperlink"/>
          </w:rPr>
          <w:t>s website</w:t>
        </w:r>
      </w:hyperlink>
      <w:r w:rsidR="00AB4773" w:rsidRPr="000F23E0">
        <w:t>.</w:t>
      </w:r>
    </w:p>
    <w:p w14:paraId="1571A408" w14:textId="415EA861" w:rsidR="009970EF" w:rsidRPr="000F23E0" w:rsidRDefault="008859B9" w:rsidP="003866AE">
      <w:pPr>
        <w:keepNext/>
        <w:keepLines/>
      </w:pPr>
      <w:r w:rsidRPr="000F23E0">
        <w:lastRenderedPageBreak/>
        <w:t>The Green Bond Program is delivered by the Australian Treasury in partnership with the AOFM</w:t>
      </w:r>
      <w:r w:rsidR="00C341F6" w:rsidRPr="000F23E0">
        <w:t xml:space="preserve"> and is overseen by the </w:t>
      </w:r>
      <w:r w:rsidRPr="000F23E0">
        <w:t>interdepartmental Green Bond Committee</w:t>
      </w:r>
      <w:r w:rsidR="00B363DF" w:rsidRPr="000F23E0">
        <w:t>.</w:t>
      </w:r>
      <w:r w:rsidRPr="000F23E0">
        <w:t xml:space="preserve"> </w:t>
      </w:r>
      <w:r w:rsidR="009970EF" w:rsidRPr="000F23E0">
        <w:t>The Green Bond Committee anticipates the next review of the Framework will consider the Australian Sustainable Finance Taxonomy released in June 2025. The taxonomy was developed with government support by the Australian Sustainable Finance Institute as part of Australia</w:t>
      </w:r>
      <w:r w:rsidR="002C4475" w:rsidRPr="000F23E0">
        <w:t>’</w:t>
      </w:r>
      <w:r w:rsidR="009970EF" w:rsidRPr="000F23E0">
        <w:t>s Sustainable Finance Roadmap.</w:t>
      </w:r>
    </w:p>
    <w:p w14:paraId="5AE7186D" w14:textId="1CAC1660" w:rsidR="00F93D75" w:rsidRPr="000F23E0" w:rsidRDefault="00F93D75" w:rsidP="00F93D75">
      <w:r w:rsidRPr="000F23E0">
        <w:t xml:space="preserve">This publication is the second annual report, following the inaugural </w:t>
      </w:r>
      <w:hyperlink r:id="rId23">
        <w:r w:rsidRPr="000F23E0">
          <w:rPr>
            <w:rStyle w:val="Hyperlink"/>
          </w:rPr>
          <w:t>Green Treasury Bonds Allocation and Impact Report</w:t>
        </w:r>
      </w:hyperlink>
      <w:r w:rsidRPr="000F23E0">
        <w:t xml:space="preserve"> published </w:t>
      </w:r>
      <w:r w:rsidR="00596097" w:rsidRPr="000F23E0">
        <w:t xml:space="preserve">in </w:t>
      </w:r>
      <w:r w:rsidRPr="000F23E0">
        <w:t xml:space="preserve">February 2025. New programs and projects </w:t>
      </w:r>
      <w:r w:rsidR="00515911" w:rsidRPr="000F23E0">
        <w:t xml:space="preserve">added to the Green Bond Program </w:t>
      </w:r>
      <w:r w:rsidRPr="000F23E0">
        <w:t xml:space="preserve">include: </w:t>
      </w:r>
    </w:p>
    <w:p w14:paraId="4955B355" w14:textId="41B755A6" w:rsidR="001E4C9B" w:rsidRPr="000F23E0" w:rsidRDefault="001E4C9B" w:rsidP="00F93D75">
      <w:pPr>
        <w:pStyle w:val="Bullet"/>
      </w:pPr>
      <w:r w:rsidRPr="000F23E0">
        <w:t>Snowy Hydro – Snowy 2.0</w:t>
      </w:r>
    </w:p>
    <w:p w14:paraId="6EA0FF09" w14:textId="3DB0F938" w:rsidR="00F93D75" w:rsidRPr="000F23E0" w:rsidRDefault="00F93D75" w:rsidP="00F93D75">
      <w:pPr>
        <w:pStyle w:val="Bullet"/>
      </w:pPr>
      <w:r w:rsidRPr="000F23E0">
        <w:t xml:space="preserve">Social Housing Energy Performance Initiative </w:t>
      </w:r>
    </w:p>
    <w:p w14:paraId="3164FC9F" w14:textId="10E328BC" w:rsidR="00F93D75" w:rsidRPr="000F23E0" w:rsidRDefault="00B6225D" w:rsidP="00F93D75">
      <w:pPr>
        <w:pStyle w:val="Bullet"/>
      </w:pPr>
      <w:r w:rsidRPr="000F23E0">
        <w:t>Electric bus charging infrastructure</w:t>
      </w:r>
    </w:p>
    <w:p w14:paraId="0A3C3F73" w14:textId="77777777" w:rsidR="00F93D75" w:rsidRPr="000F23E0" w:rsidRDefault="00F93D75" w:rsidP="00F93D75">
      <w:pPr>
        <w:pStyle w:val="Bullet"/>
      </w:pPr>
      <w:r w:rsidRPr="000F23E0">
        <w:t>Recycling Modernisation Fund.</w:t>
      </w:r>
    </w:p>
    <w:p w14:paraId="445AD088" w14:textId="075D813D" w:rsidR="00F93D75" w:rsidRPr="000F23E0" w:rsidRDefault="00F93D75" w:rsidP="00F93D75">
      <w:r w:rsidRPr="000F23E0">
        <w:t>Programs expected to be included in future reporting include the Australian Government</w:t>
      </w:r>
      <w:r w:rsidR="002C4475" w:rsidRPr="000F23E0">
        <w:t>’</w:t>
      </w:r>
      <w:r w:rsidRPr="000F23E0">
        <w:t>s Cheaper Home Batter</w:t>
      </w:r>
      <w:r w:rsidR="00EC7D17" w:rsidRPr="000F23E0">
        <w:t>ies</w:t>
      </w:r>
      <w:r w:rsidRPr="000F23E0">
        <w:t xml:space="preserve"> Program which commenced on 1 July 2025.</w:t>
      </w:r>
    </w:p>
    <w:p w14:paraId="287FF010" w14:textId="278DB710" w:rsidR="00381806" w:rsidRPr="000F23E0" w:rsidRDefault="00AB4773" w:rsidP="00AB4773">
      <w:r w:rsidRPr="000F23E0">
        <w:t>This report has been endorsed by the Green Bond Committee. T</w:t>
      </w:r>
      <w:r w:rsidR="00C204F3" w:rsidRPr="000F23E0">
        <w:t xml:space="preserve">he Australian National Audit Office (ANAO) </w:t>
      </w:r>
      <w:r w:rsidRPr="000F23E0">
        <w:t xml:space="preserve">has </w:t>
      </w:r>
      <w:r w:rsidR="00746CBB" w:rsidRPr="000F23E0">
        <w:t>conducted</w:t>
      </w:r>
      <w:r w:rsidR="004C16A4" w:rsidRPr="000F23E0">
        <w:t xml:space="preserve"> a</w:t>
      </w:r>
      <w:r w:rsidR="00C204F3" w:rsidRPr="000F23E0">
        <w:t xml:space="preserve"> limited assurance of allocation </w:t>
      </w:r>
      <w:r w:rsidR="004C3DA6" w:rsidRPr="000F23E0">
        <w:t>repor</w:t>
      </w:r>
      <w:r w:rsidR="007F1636" w:rsidRPr="000F23E0">
        <w:t>t</w:t>
      </w:r>
      <w:r w:rsidR="00714D8A" w:rsidRPr="000F23E0">
        <w:t>ing</w:t>
      </w:r>
      <w:r w:rsidR="00AD03B9" w:rsidRPr="000F23E0">
        <w:t xml:space="preserve"> </w:t>
      </w:r>
      <w:r w:rsidR="007F1636" w:rsidRPr="000F23E0">
        <w:t>and</w:t>
      </w:r>
      <w:r w:rsidR="00C204F3" w:rsidRPr="000F23E0">
        <w:t xml:space="preserve"> Sustainalytics </w:t>
      </w:r>
      <w:r w:rsidR="004C16A4" w:rsidRPr="000F23E0">
        <w:t>reviewed</w:t>
      </w:r>
      <w:r w:rsidR="005130EF" w:rsidRPr="000F23E0">
        <w:t xml:space="preserve"> the</w:t>
      </w:r>
      <w:r w:rsidR="004C16A4" w:rsidRPr="000F23E0">
        <w:t xml:space="preserve"> </w:t>
      </w:r>
      <w:r w:rsidR="004E62B3" w:rsidRPr="000F23E0">
        <w:t>impact reporting</w:t>
      </w:r>
      <w:r w:rsidR="00EB2D6A" w:rsidRPr="000F23E0">
        <w:t xml:space="preserve"> and alignment to international best practice</w:t>
      </w:r>
      <w:r w:rsidR="004E62B3" w:rsidRPr="000F23E0">
        <w:t xml:space="preserve">. </w:t>
      </w:r>
    </w:p>
    <w:p w14:paraId="11DF7262" w14:textId="705F365F" w:rsidR="00903991" w:rsidRPr="000F23E0" w:rsidRDefault="007B21ED" w:rsidP="00C53C2D">
      <w:pPr>
        <w:keepNext/>
      </w:pPr>
      <w:r w:rsidRPr="000F23E0">
        <w:t>This report is divided into</w:t>
      </w:r>
      <w:r w:rsidR="00760A94" w:rsidRPr="000F23E0">
        <w:t>:</w:t>
      </w:r>
    </w:p>
    <w:p w14:paraId="43C2816A" w14:textId="3CFF4168" w:rsidR="00CE0898" w:rsidRPr="000F23E0" w:rsidRDefault="00D01038" w:rsidP="003866AE">
      <w:pPr>
        <w:pStyle w:val="Bullet"/>
      </w:pPr>
      <w:r w:rsidRPr="000F23E0">
        <w:t>The Overview</w:t>
      </w:r>
      <w:r w:rsidR="00CE0898" w:rsidRPr="000F23E0">
        <w:t xml:space="preserve"> </w:t>
      </w:r>
      <w:r w:rsidR="00077E6A" w:rsidRPr="000F23E0">
        <w:t>provides a summary of the report</w:t>
      </w:r>
      <w:r w:rsidR="002C4475" w:rsidRPr="000F23E0">
        <w:t>’</w:t>
      </w:r>
      <w:r w:rsidR="00077E6A" w:rsidRPr="000F23E0">
        <w:t>s allocation and impact reporting.</w:t>
      </w:r>
    </w:p>
    <w:p w14:paraId="13269A7B" w14:textId="4CA164C4" w:rsidR="00903991" w:rsidRPr="000F23E0" w:rsidRDefault="005369DE" w:rsidP="003866AE">
      <w:pPr>
        <w:pStyle w:val="Bullet"/>
      </w:pPr>
      <w:r w:rsidRPr="000F23E0">
        <w:t>Chapter</w:t>
      </w:r>
      <w:r w:rsidR="00EA0466" w:rsidRPr="000F23E0">
        <w:t xml:space="preserve"> </w:t>
      </w:r>
      <w:r w:rsidR="00D01038" w:rsidRPr="000F23E0">
        <w:t>1</w:t>
      </w:r>
      <w:r w:rsidR="007B21ED" w:rsidRPr="000F23E0">
        <w:t xml:space="preserve"> highlights</w:t>
      </w:r>
      <w:r w:rsidR="007B21ED" w:rsidRPr="000F23E0" w:rsidDel="002F6EBD">
        <w:t xml:space="preserve"> </w:t>
      </w:r>
      <w:r w:rsidR="007B21ED" w:rsidRPr="000F23E0">
        <w:t xml:space="preserve">the Australian context and efforts to implement policies pursuing </w:t>
      </w:r>
      <w:r w:rsidR="00445AD4" w:rsidRPr="000F23E0">
        <w:t>climate change mitigation</w:t>
      </w:r>
      <w:r w:rsidR="007B21ED" w:rsidRPr="000F23E0">
        <w:t xml:space="preserve">, </w:t>
      </w:r>
      <w:r w:rsidR="00445AD4" w:rsidRPr="000F23E0">
        <w:t>climate change adaptation</w:t>
      </w:r>
      <w:r w:rsidR="007B21ED" w:rsidRPr="000F23E0">
        <w:t xml:space="preserve"> and improved environmental outcomes</w:t>
      </w:r>
      <w:r w:rsidR="00F02B2C" w:rsidRPr="000F23E0">
        <w:t>.</w:t>
      </w:r>
      <w:r w:rsidR="007B21ED" w:rsidRPr="000F23E0">
        <w:t xml:space="preserve"> </w:t>
      </w:r>
    </w:p>
    <w:p w14:paraId="5F239258" w14:textId="2E24111D" w:rsidR="003D7568" w:rsidRPr="000F23E0" w:rsidRDefault="007B21ED" w:rsidP="003866AE">
      <w:pPr>
        <w:pStyle w:val="Bullet"/>
      </w:pPr>
      <w:r w:rsidRPr="000F23E0">
        <w:t xml:space="preserve">Chapters </w:t>
      </w:r>
      <w:r w:rsidR="00D01038" w:rsidRPr="000F23E0">
        <w:t>2</w:t>
      </w:r>
      <w:r w:rsidRPr="000F23E0">
        <w:t xml:space="preserve"> to </w:t>
      </w:r>
      <w:r w:rsidR="00D01038" w:rsidRPr="000F23E0">
        <w:t>9</w:t>
      </w:r>
      <w:r w:rsidRPr="000F23E0">
        <w:t xml:space="preserve"> detail allocation and impact data by </w:t>
      </w:r>
      <w:r w:rsidR="00C81594" w:rsidRPr="000F23E0">
        <w:t>ICMA</w:t>
      </w:r>
      <w:r w:rsidR="00940120" w:rsidRPr="000F23E0">
        <w:t xml:space="preserve"> </w:t>
      </w:r>
      <w:r w:rsidR="004D0FC0" w:rsidRPr="000F23E0">
        <w:t>Green Bond Principles</w:t>
      </w:r>
      <w:r w:rsidR="0026424D" w:rsidRPr="000F23E0">
        <w:t xml:space="preserve"> </w:t>
      </w:r>
      <w:r w:rsidR="00C81594" w:rsidRPr="000F23E0">
        <w:t>categor</w:t>
      </w:r>
      <w:r w:rsidR="00E13B70" w:rsidRPr="000F23E0">
        <w:t xml:space="preserve">ies </w:t>
      </w:r>
      <w:r w:rsidR="00C81594" w:rsidRPr="000F23E0">
        <w:t xml:space="preserve">for </w:t>
      </w:r>
      <w:r w:rsidR="00E13B70" w:rsidRPr="000F23E0">
        <w:t>each</w:t>
      </w:r>
      <w:r w:rsidR="00C81594" w:rsidRPr="000F23E0">
        <w:t xml:space="preserve"> </w:t>
      </w:r>
      <w:r w:rsidRPr="000F23E0">
        <w:t>Eligible Green Expenditure</w:t>
      </w:r>
      <w:r w:rsidR="00F66E86" w:rsidRPr="000F23E0">
        <w:t xml:space="preserve">, including </w:t>
      </w:r>
      <w:r w:rsidRPr="000F23E0">
        <w:t>case studies</w:t>
      </w:r>
      <w:r w:rsidR="00F02B2C" w:rsidRPr="000F23E0">
        <w:t>.</w:t>
      </w:r>
      <w:r w:rsidRPr="000F23E0">
        <w:t xml:space="preserve"> </w:t>
      </w:r>
    </w:p>
    <w:p w14:paraId="52EA9D90" w14:textId="77777777" w:rsidR="003866AE" w:rsidRPr="000F23E0" w:rsidRDefault="00D01038" w:rsidP="003866AE">
      <w:pPr>
        <w:pStyle w:val="Bullet"/>
      </w:pPr>
      <w:r w:rsidRPr="000F23E0">
        <w:t>Chapter 10 and the f</w:t>
      </w:r>
      <w:r w:rsidR="00041B92" w:rsidRPr="000F23E0">
        <w:t>inal sections include further information on</w:t>
      </w:r>
      <w:r w:rsidR="0004199D" w:rsidRPr="000F23E0">
        <w:t xml:space="preserve"> </w:t>
      </w:r>
      <w:r w:rsidR="008432A1" w:rsidRPr="000F23E0">
        <w:t xml:space="preserve">the </w:t>
      </w:r>
      <w:r w:rsidR="00E760DE" w:rsidRPr="000F23E0">
        <w:t>Green Bond Program</w:t>
      </w:r>
      <w:r w:rsidR="00B8770B" w:rsidRPr="000F23E0">
        <w:t xml:space="preserve"> and assurance</w:t>
      </w:r>
      <w:r w:rsidR="00A90873" w:rsidRPr="000F23E0">
        <w:t>s</w:t>
      </w:r>
      <w:r w:rsidR="00B8770B" w:rsidRPr="000F23E0">
        <w:t xml:space="preserve"> </w:t>
      </w:r>
      <w:r w:rsidR="00A90873" w:rsidRPr="000F23E0">
        <w:t>undertaken for this report</w:t>
      </w:r>
      <w:r w:rsidR="009475DE" w:rsidRPr="000F23E0">
        <w:t>.</w:t>
      </w:r>
    </w:p>
    <w:p w14:paraId="424D0798" w14:textId="5F587FF6" w:rsidR="003E249C" w:rsidRPr="000F23E0" w:rsidRDefault="003E249C" w:rsidP="003866AE">
      <w:pPr>
        <w:pStyle w:val="Heading2"/>
        <w:keepLines/>
      </w:pPr>
      <w:bookmarkStart w:id="5" w:name="_Toc225155725"/>
      <w:r w:rsidRPr="000F23E0">
        <w:lastRenderedPageBreak/>
        <w:t xml:space="preserve">Summary of </w:t>
      </w:r>
      <w:r w:rsidR="00385906" w:rsidRPr="000F23E0">
        <w:t xml:space="preserve">Green Treasury Bonds </w:t>
      </w:r>
      <w:r w:rsidRPr="000F23E0">
        <w:t>allocation</w:t>
      </w:r>
      <w:bookmarkEnd w:id="5"/>
    </w:p>
    <w:p w14:paraId="5E4B4BD5" w14:textId="39C727B7" w:rsidR="00BA28D1" w:rsidRPr="000F23E0" w:rsidRDefault="00372521" w:rsidP="003866AE">
      <w:pPr>
        <w:keepNext/>
        <w:keepLines/>
      </w:pPr>
      <w:r w:rsidRPr="000F23E0">
        <w:t xml:space="preserve">Over the </w:t>
      </w:r>
      <w:r w:rsidR="00334B08" w:rsidRPr="000F23E0">
        <w:t xml:space="preserve">Australian financial year </w:t>
      </w:r>
      <w:r w:rsidR="00203907" w:rsidRPr="000F23E0">
        <w:t>2024</w:t>
      </w:r>
      <w:r w:rsidR="00203473" w:rsidRPr="000F23E0">
        <w:t>–</w:t>
      </w:r>
      <w:r w:rsidR="00203907" w:rsidRPr="000F23E0">
        <w:t xml:space="preserve">25, </w:t>
      </w:r>
      <w:r w:rsidR="00704932" w:rsidRPr="000F23E0">
        <w:t>$6.</w:t>
      </w:r>
      <w:r w:rsidR="00F86932" w:rsidRPr="000F23E0">
        <w:t>6</w:t>
      </w:r>
      <w:r w:rsidR="002E55A2" w:rsidRPr="000F23E0">
        <w:t>0</w:t>
      </w:r>
      <w:r w:rsidR="00913BC8" w:rsidRPr="000F23E0">
        <w:t>8</w:t>
      </w:r>
      <w:r w:rsidR="00BD2FFC" w:rsidRPr="000F23E0">
        <w:t> </w:t>
      </w:r>
      <w:r w:rsidRPr="000F23E0">
        <w:t>billion has been spent on pro</w:t>
      </w:r>
      <w:r w:rsidR="001401FB" w:rsidRPr="000F23E0">
        <w:t xml:space="preserve">jects </w:t>
      </w:r>
      <w:r w:rsidR="00960350" w:rsidRPr="000F23E0">
        <w:t xml:space="preserve">considered Eligible Green Expenditures </w:t>
      </w:r>
      <w:r w:rsidR="001401FB" w:rsidRPr="000F23E0">
        <w:t xml:space="preserve">under the </w:t>
      </w:r>
      <w:r w:rsidR="00E760DE" w:rsidRPr="000F23E0">
        <w:t xml:space="preserve">Green Bond </w:t>
      </w:r>
      <w:r w:rsidR="002175C6" w:rsidRPr="000F23E0">
        <w:t>Framework</w:t>
      </w:r>
      <w:r w:rsidR="001401FB" w:rsidRPr="000F23E0">
        <w:t>.</w:t>
      </w:r>
      <w:r w:rsidR="007A0B6A" w:rsidRPr="000F23E0">
        <w:t xml:space="preserve"> As shown </w:t>
      </w:r>
      <w:r w:rsidR="00A348C1" w:rsidRPr="000F23E0">
        <w:t xml:space="preserve">in </w:t>
      </w:r>
      <w:r w:rsidR="00A348C1" w:rsidRPr="000F23E0">
        <w:fldChar w:fldCharType="begin"/>
      </w:r>
      <w:r w:rsidR="00A348C1" w:rsidRPr="000F23E0">
        <w:instrText xml:space="preserve"> REF _Ref220663508 \h </w:instrText>
      </w:r>
      <w:r w:rsidR="00A348C1" w:rsidRPr="000F23E0">
        <w:fldChar w:fldCharType="separate"/>
      </w:r>
      <w:r w:rsidR="00A348C1" w:rsidRPr="000F23E0">
        <w:t>Figure 1</w:t>
      </w:r>
      <w:r w:rsidR="00A348C1" w:rsidRPr="000F23E0">
        <w:fldChar w:fldCharType="end"/>
      </w:r>
      <w:r w:rsidR="007A0B6A" w:rsidRPr="000F23E0">
        <w:t>, this represents an increase in expenditure</w:t>
      </w:r>
      <w:r w:rsidR="00C719C0" w:rsidRPr="000F23E0">
        <w:t xml:space="preserve"> on 2022</w:t>
      </w:r>
      <w:r w:rsidR="00203473" w:rsidRPr="000F23E0">
        <w:t>–</w:t>
      </w:r>
      <w:r w:rsidR="00C719C0" w:rsidRPr="000F23E0">
        <w:t>23 and 2023</w:t>
      </w:r>
      <w:r w:rsidR="00203473" w:rsidRPr="000F23E0">
        <w:t>–</w:t>
      </w:r>
      <w:r w:rsidR="00C719C0" w:rsidRPr="000F23E0">
        <w:t>24 levels</w:t>
      </w:r>
      <w:r w:rsidR="00281F7C" w:rsidRPr="000F23E0">
        <w:t xml:space="preserve"> and brings the total </w:t>
      </w:r>
      <w:r w:rsidR="00897278" w:rsidRPr="000F23E0">
        <w:t xml:space="preserve">expenditure </w:t>
      </w:r>
      <w:r w:rsidR="00281F7C" w:rsidRPr="000F23E0">
        <w:t xml:space="preserve">to </w:t>
      </w:r>
      <w:r w:rsidR="00F86932" w:rsidRPr="000F23E0">
        <w:t>$12.</w:t>
      </w:r>
      <w:r w:rsidR="006C6BB9" w:rsidRPr="000F23E0">
        <w:t>0</w:t>
      </w:r>
      <w:r w:rsidR="00B911DC" w:rsidRPr="000F23E0">
        <w:t>17</w:t>
      </w:r>
      <w:r w:rsidR="009C5662" w:rsidRPr="000F23E0">
        <w:t> </w:t>
      </w:r>
      <w:r w:rsidR="00281F7C" w:rsidRPr="000F23E0">
        <w:t>billion</w:t>
      </w:r>
      <w:r w:rsidR="00C719C0" w:rsidRPr="000F23E0">
        <w:t>.</w:t>
      </w:r>
      <w:r w:rsidR="0023783F" w:rsidRPr="000F23E0">
        <w:t xml:space="preserve"> </w:t>
      </w:r>
    </w:p>
    <w:p w14:paraId="63244E10" w14:textId="7AEEE21E" w:rsidR="00E766FE" w:rsidRPr="000F23E0" w:rsidRDefault="00332259" w:rsidP="00551F72">
      <w:pPr>
        <w:pStyle w:val="ChartMainHeading"/>
      </w:pPr>
      <w:bookmarkStart w:id="6" w:name="_Ref220663508"/>
      <w:bookmarkStart w:id="7" w:name="_Ref214980438"/>
      <w:bookmarkStart w:id="8" w:name="_Toc220610581"/>
      <w:bookmarkStart w:id="9" w:name="_Toc220597351"/>
      <w:bookmarkStart w:id="10" w:name="_Toc224637775"/>
      <w:bookmarkStart w:id="11" w:name="_Toc224642439"/>
      <w:bookmarkStart w:id="12" w:name="_Toc225153415"/>
      <w:bookmarkStart w:id="13" w:name="_Toc225154461"/>
      <w:bookmarkStart w:id="14" w:name="_Toc225155726"/>
      <w:r w:rsidRPr="000F23E0">
        <w:t xml:space="preserve">Figure </w:t>
      </w:r>
      <w:r w:rsidR="007F7570" w:rsidRPr="000F23E0">
        <w:fldChar w:fldCharType="begin"/>
      </w:r>
      <w:r w:rsidR="007F7570" w:rsidRPr="000F23E0">
        <w:instrText xml:space="preserve"> SEQ Figure \* ARABIC </w:instrText>
      </w:r>
      <w:r w:rsidR="007F7570" w:rsidRPr="000F23E0">
        <w:fldChar w:fldCharType="separate"/>
      </w:r>
      <w:r w:rsidRPr="000F23E0">
        <w:t>1</w:t>
      </w:r>
      <w:r w:rsidR="007F7570" w:rsidRPr="000F23E0">
        <w:fldChar w:fldCharType="end"/>
      </w:r>
      <w:bookmarkEnd w:id="6"/>
      <w:r w:rsidR="007B74D4" w:rsidRPr="000F23E0">
        <w:t>:</w:t>
      </w:r>
      <w:r w:rsidR="000A7D2B" w:rsidRPr="000F23E0">
        <w:t xml:space="preserve"> </w:t>
      </w:r>
      <w:bookmarkEnd w:id="7"/>
      <w:r w:rsidR="0050798C" w:rsidRPr="000F23E0">
        <w:t>Expenditure</w:t>
      </w:r>
      <w:r w:rsidR="00E766FE" w:rsidRPr="000F23E0">
        <w:t xml:space="preserve"> </w:t>
      </w:r>
      <w:r w:rsidR="00501CD6" w:rsidRPr="000F23E0">
        <w:t xml:space="preserve">of eligible projects </w:t>
      </w:r>
      <w:r w:rsidR="00E766FE" w:rsidRPr="000F23E0">
        <w:t>by year</w:t>
      </w:r>
      <w:bookmarkEnd w:id="8"/>
      <w:bookmarkEnd w:id="9"/>
      <w:bookmarkEnd w:id="10"/>
      <w:bookmarkEnd w:id="11"/>
      <w:bookmarkEnd w:id="12"/>
      <w:bookmarkEnd w:id="13"/>
      <w:bookmarkEnd w:id="14"/>
    </w:p>
    <w:p w14:paraId="0BC27D74" w14:textId="78A54C73" w:rsidR="00CB3822" w:rsidRPr="000F23E0" w:rsidRDefault="00CB3822" w:rsidP="003866AE">
      <w:pPr>
        <w:pStyle w:val="ChartGraphic"/>
        <w:keepLines/>
      </w:pPr>
      <w:r w:rsidRPr="000F23E0">
        <w:drawing>
          <wp:inline distT="0" distB="0" distL="0" distR="0" wp14:anchorId="7872DAD3" wp14:editId="55639BC0">
            <wp:extent cx="5403850" cy="2133600"/>
            <wp:effectExtent l="0" t="0" r="6350" b="0"/>
            <wp:docPr id="860891813" name="Picture 1" descr="A bar chart shows the level of expenditure of eligible projects by year, with 2022-23 being approximately 2.5 billion dollars, 2023-24 being almost 3 billion dollars, and 6.5 billion for 2024-2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891813" name="Picture 1" descr="A bar chart shows the level of expenditure of eligible projects by year, with 2022-23 being approximately 2.5 billion dollars, 2023-24 being almost 3 billion dollars, and 6.5 billion for 2024-25. "/>
                    <pic:cNvPicPr/>
                  </pic:nvPicPr>
                  <pic:blipFill rotWithShape="1">
                    <a:blip r:embed="rId24" cstate="print">
                      <a:extLst>
                        <a:ext uri="{28A0092B-C50C-407E-A947-70E740481C1C}">
                          <a14:useLocalDpi xmlns:a14="http://schemas.microsoft.com/office/drawing/2010/main" val="0"/>
                        </a:ext>
                      </a:extLst>
                    </a:blip>
                    <a:srcRect/>
                    <a:stretch>
                      <a:fillRect/>
                    </a:stretch>
                  </pic:blipFill>
                  <pic:spPr bwMode="auto">
                    <a:xfrm>
                      <a:off x="0" y="0"/>
                      <a:ext cx="5404128" cy="2133710"/>
                    </a:xfrm>
                    <a:prstGeom prst="rect">
                      <a:avLst/>
                    </a:prstGeom>
                    <a:ln>
                      <a:noFill/>
                    </a:ln>
                    <a:extLst>
                      <a:ext uri="{53640926-AAD7-44D8-BBD7-CCE9431645EC}">
                        <a14:shadowObscured xmlns:a14="http://schemas.microsoft.com/office/drawing/2010/main"/>
                      </a:ext>
                    </a:extLst>
                  </pic:spPr>
                </pic:pic>
              </a:graphicData>
            </a:graphic>
          </wp:inline>
        </w:drawing>
      </w:r>
    </w:p>
    <w:p w14:paraId="56A3AA3A" w14:textId="66A233B1" w:rsidR="00AE1908" w:rsidRPr="000F23E0" w:rsidRDefault="00474C3A" w:rsidP="003866AE">
      <w:pPr>
        <w:keepNext/>
        <w:keepLines/>
      </w:pPr>
      <w:r w:rsidRPr="000F23E0">
        <w:t>Through the Green Bond Program, the $6.608 billion of 2024–25 expenditure has been allocated $1.560</w:t>
      </w:r>
      <w:r w:rsidR="003866AE" w:rsidRPr="000F23E0">
        <w:t> </w:t>
      </w:r>
      <w:r w:rsidRPr="000F23E0">
        <w:t>billion of 2023–24 GTB proceeds and $2.016 billion of 2024–25 GTB proceeds. The remaining $3.031</w:t>
      </w:r>
      <w:r w:rsidR="003866AE" w:rsidRPr="000F23E0">
        <w:t> </w:t>
      </w:r>
      <w:r w:rsidRPr="000F23E0">
        <w:t>billion of 2024–25 expenditure is available to be allocated to in future allocation and impact</w:t>
      </w:r>
      <w:r w:rsidR="00740BA0" w:rsidRPr="000F23E0">
        <w:t> </w:t>
      </w:r>
      <w:r w:rsidRPr="000F23E0">
        <w:t>reports.</w:t>
      </w:r>
    </w:p>
    <w:p w14:paraId="3C3964F5" w14:textId="57E99B54" w:rsidR="007B74D4" w:rsidRPr="000F23E0" w:rsidRDefault="00DD1AA3" w:rsidP="007B74D4">
      <w:r w:rsidRPr="000F23E0">
        <w:fldChar w:fldCharType="begin"/>
      </w:r>
      <w:r w:rsidRPr="000F23E0">
        <w:instrText xml:space="preserve"> REF _Ref220664693 \h </w:instrText>
      </w:r>
      <w:r w:rsidRPr="000F23E0">
        <w:fldChar w:fldCharType="separate"/>
      </w:r>
      <w:r w:rsidRPr="000F23E0">
        <w:t>Figure 2</w:t>
      </w:r>
      <w:r w:rsidRPr="000F23E0">
        <w:fldChar w:fldCharType="end"/>
      </w:r>
      <w:r w:rsidR="00174D63" w:rsidRPr="000F23E0">
        <w:t xml:space="preserve"> </w:t>
      </w:r>
      <w:r w:rsidR="007B74D4" w:rsidRPr="000F23E0">
        <w:t>outlines to which year of expenditure the $9 billion of GTB proceeds issued by AOFM to 30</w:t>
      </w:r>
      <w:r w:rsidR="003866AE" w:rsidRPr="000F23E0">
        <w:t> </w:t>
      </w:r>
      <w:r w:rsidR="007B74D4" w:rsidRPr="000F23E0">
        <w:t xml:space="preserve">June 2025 have been allocated. $5.409 billion of proceeds from the $7 billion 2023–24 issuance were allocated to 2022–23 and 2023–24 expenditure in the 2025 Report. Through this 2026 Report, the remaining GTB proceeds of $1.560 billion from 2023–24 issuance and $2.016 billion from 2024–25 have been allocated to 2024–25 expenditure. </w:t>
      </w:r>
    </w:p>
    <w:p w14:paraId="0D8EF8F0" w14:textId="7CF9521F" w:rsidR="00C719C0" w:rsidRPr="000F23E0" w:rsidRDefault="007B74D4" w:rsidP="007B74D4">
      <w:r w:rsidRPr="000F23E0">
        <w:t>The total allocation in this report is $3.576 billion. All GTB proceeds from issuance to 30 June 2025 have been fully allocated.</w:t>
      </w:r>
      <w:r w:rsidR="009401B1" w:rsidRPr="000F23E0">
        <w:t xml:space="preserve"> </w:t>
      </w:r>
    </w:p>
    <w:p w14:paraId="2AB93AB4" w14:textId="03D0650E" w:rsidR="00637783" w:rsidRPr="000F23E0" w:rsidRDefault="00DD1AA3" w:rsidP="00551F72">
      <w:pPr>
        <w:pStyle w:val="ChartMainHeading"/>
      </w:pPr>
      <w:bookmarkStart w:id="15" w:name="_Ref220664693"/>
      <w:bookmarkStart w:id="16" w:name="_Ref217041275"/>
      <w:bookmarkStart w:id="17" w:name="_Toc220610582"/>
      <w:bookmarkStart w:id="18" w:name="_Toc220597352"/>
      <w:bookmarkStart w:id="19" w:name="_Toc224637776"/>
      <w:bookmarkStart w:id="20" w:name="_Toc224642440"/>
      <w:bookmarkStart w:id="21" w:name="_Toc225153416"/>
      <w:bookmarkStart w:id="22" w:name="_Toc225154462"/>
      <w:bookmarkStart w:id="23" w:name="_Toc225155727"/>
      <w:r w:rsidRPr="000F23E0">
        <w:lastRenderedPageBreak/>
        <w:t xml:space="preserve">Figure </w:t>
      </w:r>
      <w:r w:rsidR="007F7570" w:rsidRPr="000F23E0">
        <w:fldChar w:fldCharType="begin"/>
      </w:r>
      <w:r w:rsidR="007F7570" w:rsidRPr="000F23E0">
        <w:instrText xml:space="preserve"> SEQ Figure \* ARABIC </w:instrText>
      </w:r>
      <w:r w:rsidR="007F7570" w:rsidRPr="000F23E0">
        <w:fldChar w:fldCharType="separate"/>
      </w:r>
      <w:r w:rsidRPr="000F23E0">
        <w:t>2</w:t>
      </w:r>
      <w:r w:rsidR="007F7570" w:rsidRPr="000F23E0">
        <w:fldChar w:fldCharType="end"/>
      </w:r>
      <w:bookmarkEnd w:id="15"/>
      <w:r w:rsidR="007B74D4" w:rsidRPr="000F23E0">
        <w:t>:</w:t>
      </w:r>
      <w:r w:rsidR="00637783" w:rsidRPr="000F23E0">
        <w:t xml:space="preserve"> Green Treasury Bond </w:t>
      </w:r>
      <w:r w:rsidR="003B2066" w:rsidRPr="000F23E0">
        <w:t xml:space="preserve">proceeds </w:t>
      </w:r>
      <w:r w:rsidR="00D00345" w:rsidRPr="000F23E0">
        <w:t xml:space="preserve">allocation </w:t>
      </w:r>
      <w:r w:rsidR="00637783" w:rsidRPr="000F23E0">
        <w:t xml:space="preserve">by </w:t>
      </w:r>
      <w:bookmarkEnd w:id="16"/>
      <w:bookmarkEnd w:id="17"/>
      <w:bookmarkEnd w:id="18"/>
      <w:r w:rsidR="0023639A" w:rsidRPr="000F23E0">
        <w:t xml:space="preserve">expenditure </w:t>
      </w:r>
      <w:r w:rsidR="00637783" w:rsidRPr="000F23E0">
        <w:t>year</w:t>
      </w:r>
      <w:bookmarkEnd w:id="19"/>
      <w:bookmarkEnd w:id="20"/>
      <w:bookmarkEnd w:id="21"/>
      <w:bookmarkEnd w:id="22"/>
      <w:bookmarkEnd w:id="23"/>
    </w:p>
    <w:p w14:paraId="118495B8" w14:textId="56B97275" w:rsidR="00637783" w:rsidRPr="000F23E0" w:rsidRDefault="00CB3822" w:rsidP="00CB3822">
      <w:pPr>
        <w:pStyle w:val="ChartGraphic"/>
      </w:pPr>
      <w:r w:rsidRPr="000F23E0">
        <w:drawing>
          <wp:inline distT="0" distB="0" distL="0" distR="0" wp14:anchorId="2368C5E7" wp14:editId="3EDC5A8E">
            <wp:extent cx="5404128" cy="2165461"/>
            <wp:effectExtent l="0" t="0" r="0" b="6350"/>
            <wp:docPr id="649082176" name="Picture 2" descr="A bar chart showing the proceeds allocation by expenditure year in billions of dollars. The 2023-24 issuance year shows 2.5 expenditure year 2022-23, approximately 5.5 for cumulative 2022-24, and almost 7 for cumulative 2022-25. The 2024-25 issuance year shows 2 for an expenditure year of 202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082176" name="Picture 2" descr="A bar chart showing the proceeds allocation by expenditure year in billions of dollars. The 2023-24 issuance year shows 2.5 expenditure year 2022-23, approximately 5.5 for cumulative 2022-24, and almost 7 for cumulative 2022-25. The 2024-25 issuance year shows 2 for an expenditure year of 2024-25."/>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404128" cy="2165461"/>
                    </a:xfrm>
                    <a:prstGeom prst="rect">
                      <a:avLst/>
                    </a:prstGeom>
                  </pic:spPr>
                </pic:pic>
              </a:graphicData>
            </a:graphic>
          </wp:inline>
        </w:drawing>
      </w:r>
    </w:p>
    <w:p w14:paraId="4C746C96" w14:textId="77777777" w:rsidR="00E06C1D" w:rsidRPr="000F23E0" w:rsidRDefault="00624E6A" w:rsidP="00637783">
      <w:r w:rsidRPr="000F23E0">
        <w:t xml:space="preserve">As the $3.576 billion in GTB proceeds to allocate is less than the $6.608 billion of expenditure in </w:t>
      </w:r>
      <w:r w:rsidR="003866AE" w:rsidRPr="000F23E0">
        <w:br/>
      </w:r>
      <w:r w:rsidRPr="000F23E0">
        <w:t>2024–25, a pro</w:t>
      </w:r>
      <w:r w:rsidR="002C4475" w:rsidRPr="000F23E0">
        <w:noBreakHyphen/>
      </w:r>
      <w:r w:rsidRPr="000F23E0">
        <w:t>rata approach was used to allocate proceeds to each individual eligible project. The pro</w:t>
      </w:r>
      <w:r w:rsidR="002C4475" w:rsidRPr="000F23E0">
        <w:noBreakHyphen/>
      </w:r>
      <w:r w:rsidRPr="000F23E0">
        <w:t>rata rate used is 54.1</w:t>
      </w:r>
      <w:r w:rsidR="003866AE" w:rsidRPr="000F23E0">
        <w:t> </w:t>
      </w:r>
      <w:r w:rsidRPr="000F23E0">
        <w:t>per</w:t>
      </w:r>
      <w:r w:rsidR="003866AE" w:rsidRPr="000F23E0">
        <w:t> </w:t>
      </w:r>
      <w:r w:rsidRPr="000F23E0">
        <w:t>cent. The $3.576 billion of GTB proceeds allocated to expenditure in this report is split among ICMA</w:t>
      </w:r>
      <w:r w:rsidR="002C4475" w:rsidRPr="000F23E0">
        <w:t>’</w:t>
      </w:r>
      <w:r w:rsidRPr="000F23E0">
        <w:t>s Green Bond Principles</w:t>
      </w:r>
      <w:r w:rsidR="002C4475" w:rsidRPr="000F23E0">
        <w:t>’</w:t>
      </w:r>
      <w:r w:rsidRPr="000F23E0">
        <w:t xml:space="preserve"> </w:t>
      </w:r>
      <w:r w:rsidR="002C4475" w:rsidRPr="000F23E0">
        <w:t>‘</w:t>
      </w:r>
      <w:r w:rsidRPr="000F23E0">
        <w:t>Use of Proceeds</w:t>
      </w:r>
      <w:r w:rsidR="002C4475" w:rsidRPr="000F23E0">
        <w:t>’</w:t>
      </w:r>
      <w:r w:rsidRPr="000F23E0">
        <w:t xml:space="preserve"> categories as shown in</w:t>
      </w:r>
      <w:r w:rsidR="00A33DE2" w:rsidRPr="000F23E0">
        <w:t xml:space="preserve"> </w:t>
      </w:r>
      <w:r w:rsidR="00A33DE2" w:rsidRPr="000F23E0">
        <w:fldChar w:fldCharType="begin"/>
      </w:r>
      <w:r w:rsidR="00A33DE2" w:rsidRPr="000F23E0">
        <w:instrText xml:space="preserve"> REF _Ref218778539 \h </w:instrText>
      </w:r>
      <w:r w:rsidR="00A33DE2" w:rsidRPr="000F23E0">
        <w:fldChar w:fldCharType="separate"/>
      </w:r>
      <w:r w:rsidR="00621B8E" w:rsidRPr="000F23E0">
        <w:t xml:space="preserve">Figure </w:t>
      </w:r>
      <w:r w:rsidR="00497E68" w:rsidRPr="000F23E0">
        <w:t>3</w:t>
      </w:r>
      <w:r w:rsidR="00A33DE2" w:rsidRPr="000F23E0">
        <w:fldChar w:fldCharType="end"/>
      </w:r>
      <w:r w:rsidR="00F9791F" w:rsidRPr="000F23E0">
        <w:t>.</w:t>
      </w:r>
    </w:p>
    <w:p w14:paraId="46F6B4A6" w14:textId="58B873AC" w:rsidR="009C2EE7" w:rsidRPr="000F23E0" w:rsidRDefault="009C2EE7" w:rsidP="00E06C1D">
      <w:pPr>
        <w:pStyle w:val="SingleParagraph"/>
      </w:pPr>
    </w:p>
    <w:p w14:paraId="2377C4CF" w14:textId="6A312B53" w:rsidR="00E74CF3" w:rsidRPr="000F23E0" w:rsidRDefault="008011B2" w:rsidP="00551F72">
      <w:pPr>
        <w:pStyle w:val="ChartMainHeading"/>
        <w:rPr>
          <w:spacing w:val="-3"/>
        </w:rPr>
      </w:pPr>
      <w:bookmarkStart w:id="24" w:name="_Ref218778539"/>
      <w:bookmarkStart w:id="25" w:name="_Toc220610583"/>
      <w:bookmarkStart w:id="26" w:name="_Toc220597353"/>
      <w:bookmarkStart w:id="27" w:name="_Toc224637777"/>
      <w:bookmarkStart w:id="28" w:name="_Toc224642441"/>
      <w:bookmarkStart w:id="29" w:name="_Toc225153417"/>
      <w:bookmarkStart w:id="30" w:name="_Toc225154463"/>
      <w:bookmarkStart w:id="31" w:name="_Toc225155728"/>
      <w:r w:rsidRPr="000F23E0">
        <w:rPr>
          <w:spacing w:val="-3"/>
        </w:rPr>
        <w:t xml:space="preserve">Figure </w:t>
      </w:r>
      <w:r w:rsidR="00332259" w:rsidRPr="000F23E0">
        <w:rPr>
          <w:spacing w:val="-3"/>
        </w:rPr>
        <w:fldChar w:fldCharType="begin"/>
      </w:r>
      <w:r w:rsidR="00332259" w:rsidRPr="000F23E0">
        <w:rPr>
          <w:spacing w:val="-3"/>
        </w:rPr>
        <w:instrText xml:space="preserve"> SEQ Figure \* ARABIC </w:instrText>
      </w:r>
      <w:r w:rsidR="00332259" w:rsidRPr="000F23E0">
        <w:rPr>
          <w:spacing w:val="-3"/>
        </w:rPr>
        <w:fldChar w:fldCharType="separate"/>
      </w:r>
      <w:r w:rsidR="00FB4745" w:rsidRPr="000F23E0">
        <w:rPr>
          <w:spacing w:val="-3"/>
        </w:rPr>
        <w:t>3</w:t>
      </w:r>
      <w:r w:rsidR="00332259" w:rsidRPr="000F23E0">
        <w:rPr>
          <w:spacing w:val="-3"/>
        </w:rPr>
        <w:fldChar w:fldCharType="end"/>
      </w:r>
      <w:bookmarkEnd w:id="24"/>
      <w:r w:rsidR="008C3FB8" w:rsidRPr="000F23E0">
        <w:rPr>
          <w:spacing w:val="-3"/>
        </w:rPr>
        <w:t>:</w:t>
      </w:r>
      <w:r w:rsidRPr="000F23E0">
        <w:rPr>
          <w:spacing w:val="-3"/>
        </w:rPr>
        <w:t xml:space="preserve"> Allocation of Green Treasury Bond proceeds by ICMA Green Bond Principles </w:t>
      </w:r>
      <w:r w:rsidR="007E1B62" w:rsidRPr="000F23E0">
        <w:rPr>
          <w:spacing w:val="-3"/>
        </w:rPr>
        <w:t>p</w:t>
      </w:r>
      <w:r w:rsidRPr="000F23E0">
        <w:rPr>
          <w:spacing w:val="-3"/>
        </w:rPr>
        <w:t>roject</w:t>
      </w:r>
      <w:r w:rsidR="0019534E" w:rsidRPr="000F23E0">
        <w:rPr>
          <w:spacing w:val="-3"/>
        </w:rPr>
        <w:t xml:space="preserve"> </w:t>
      </w:r>
      <w:r w:rsidRPr="000F23E0">
        <w:rPr>
          <w:spacing w:val="-3"/>
        </w:rPr>
        <w:t>category</w:t>
      </w:r>
      <w:bookmarkEnd w:id="25"/>
      <w:bookmarkEnd w:id="26"/>
      <w:bookmarkEnd w:id="27"/>
      <w:bookmarkEnd w:id="28"/>
      <w:bookmarkEnd w:id="29"/>
      <w:bookmarkEnd w:id="30"/>
      <w:bookmarkEnd w:id="31"/>
    </w:p>
    <w:p w14:paraId="11E5BD9E" w14:textId="42C84021" w:rsidR="001401FB" w:rsidRPr="000F23E0" w:rsidRDefault="005B793F" w:rsidP="003866AE">
      <w:pPr>
        <w:pStyle w:val="ChartGraphic"/>
        <w:keepNext w:val="0"/>
      </w:pPr>
      <w:r w:rsidRPr="000F23E0">
        <w:drawing>
          <wp:inline distT="0" distB="0" distL="0" distR="0" wp14:anchorId="2E9DE15D" wp14:editId="23B055E8">
            <wp:extent cx="5403850" cy="2737219"/>
            <wp:effectExtent l="0" t="0" r="0" b="0"/>
            <wp:docPr id="1455446988" name="Picture 1" descr="A pie chart showing the allocation of green treasury bond proceeds by ICMA Green Bond Principles Project category, with a list of the percentages next to the chart. They read as 48.2% clean transportation, 31% renewable energy, 10.8% water and wastewater management, 3.5% energy efficiency,  3.1% climate change adaptation, 2.2% biodiversity conservation,  0.7% environmental management and 0.5% circular econom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446988" name="Picture 1" descr="A pie chart showing the allocation of green treasury bond proceeds by ICMA Green Bond Principles Project category, with a list of the percentages next to the chart. They read as 48.2% clean transportation, 31% renewable energy, 10.8% water and wastewater management, 3.5% energy efficiency,  3.1% climate change adaptation, 2.2% biodiversity conservation,  0.7% environmental management and 0.5% circular economy."/>
                    <pic:cNvPicPr/>
                  </pic:nvPicPr>
                  <pic:blipFill rotWithShape="1">
                    <a:blip r:embed="rId26" cstate="print">
                      <a:extLst>
                        <a:ext uri="{28A0092B-C50C-407E-A947-70E740481C1C}">
                          <a14:useLocalDpi xmlns:a14="http://schemas.microsoft.com/office/drawing/2010/main" val="0"/>
                        </a:ext>
                      </a:extLst>
                    </a:blip>
                    <a:srcRect/>
                    <a:stretch>
                      <a:fillRect/>
                    </a:stretch>
                  </pic:blipFill>
                  <pic:spPr bwMode="auto">
                    <a:xfrm>
                      <a:off x="0" y="0"/>
                      <a:ext cx="5404128" cy="2737360"/>
                    </a:xfrm>
                    <a:prstGeom prst="rect">
                      <a:avLst/>
                    </a:prstGeom>
                    <a:ln>
                      <a:noFill/>
                    </a:ln>
                    <a:extLst>
                      <a:ext uri="{53640926-AAD7-44D8-BBD7-CCE9431645EC}">
                        <a14:shadowObscured xmlns:a14="http://schemas.microsoft.com/office/drawing/2010/main"/>
                      </a:ext>
                    </a:extLst>
                  </pic:spPr>
                </pic:pic>
              </a:graphicData>
            </a:graphic>
          </wp:inline>
        </w:drawing>
      </w:r>
      <w:r w:rsidR="001401FB" w:rsidRPr="000F23E0" w:rsidDel="00336B1F">
        <w:fldChar w:fldCharType="begin" w:fldLock="1"/>
      </w:r>
      <w:r w:rsidR="001401FB" w:rsidRPr="000F23E0" w:rsidDel="00336B1F">
        <w:fldChar w:fldCharType="separate"/>
      </w:r>
      <w:r w:rsidR="001401FB" w:rsidRPr="000F23E0" w:rsidDel="00336B1F">
        <w:fldChar w:fldCharType="end"/>
      </w:r>
      <w:r w:rsidR="001401FB" w:rsidRPr="000F23E0" w:rsidDel="00336B1F">
        <w:fldChar w:fldCharType="begin" w:fldLock="1"/>
      </w:r>
      <w:r w:rsidR="001401FB" w:rsidRPr="000F23E0" w:rsidDel="00336B1F">
        <w:fldChar w:fldCharType="separate"/>
      </w:r>
      <w:r w:rsidR="001401FB" w:rsidRPr="000F23E0" w:rsidDel="00336B1F">
        <w:fldChar w:fldCharType="end"/>
      </w:r>
    </w:p>
    <w:p w14:paraId="76308BF8" w14:textId="09572D0A" w:rsidR="00E5564F" w:rsidRPr="000F23E0" w:rsidRDefault="00E5564F" w:rsidP="003866AE">
      <w:pPr>
        <w:pStyle w:val="Heading2"/>
        <w:keepLines/>
      </w:pPr>
      <w:bookmarkStart w:id="32" w:name="_Toc225155729"/>
      <w:r w:rsidRPr="000F23E0">
        <w:lastRenderedPageBreak/>
        <w:t>Summary of eligible Australian Green Treasury</w:t>
      </w:r>
      <w:r w:rsidR="003866AE" w:rsidRPr="000F23E0">
        <w:t> </w:t>
      </w:r>
      <w:r w:rsidRPr="000F23E0">
        <w:t>Bond projects</w:t>
      </w:r>
      <w:bookmarkEnd w:id="32"/>
    </w:p>
    <w:p w14:paraId="3F76A22E" w14:textId="77777777" w:rsidR="00E5564F" w:rsidRPr="000F23E0" w:rsidRDefault="00E5564F" w:rsidP="003866AE">
      <w:pPr>
        <w:keepNext/>
        <w:keepLines/>
      </w:pPr>
      <w:r w:rsidRPr="000F23E0">
        <w:t>Table 1 reports the Australian Eligible Green Expenditure projects, their ICMA Green Bond Principles category, their alignment with Green Bond Program goals, their mapping to UN Sustainable Development Goals and a summary of expenditure and allocation data. Expenditure refers to the amount of money spent on a given Eligible Green Expenditure by the government. Allocation refers to the assigning of proceeds from bond issuance to the expenditure. Proceeds are the monies raised by the AOFM in the sale of GTBs.</w:t>
      </w:r>
    </w:p>
    <w:p w14:paraId="45388691" w14:textId="37C6D854" w:rsidR="00E5564F" w:rsidRPr="000F23E0" w:rsidRDefault="00E5564F" w:rsidP="003866AE">
      <w:pPr>
        <w:keepNext/>
        <w:keepLines/>
      </w:pPr>
      <w:r w:rsidRPr="000F23E0">
        <w:t>There is $6.608 billion of expenditure in 2024–25 that can be allocated to, and $3.576 billion in GTB proceeds to allocate. When expenditure exceeds proceeds, industry practice is for the allocation and impact reporting to be considered on a pro</w:t>
      </w:r>
      <w:r w:rsidR="002C4475" w:rsidRPr="000F23E0">
        <w:noBreakHyphen/>
      </w:r>
      <w:r w:rsidRPr="000F23E0">
        <w:t>rata basis. The pro</w:t>
      </w:r>
      <w:r w:rsidR="002C4475" w:rsidRPr="000F23E0">
        <w:noBreakHyphen/>
      </w:r>
      <w:r w:rsidRPr="000F23E0">
        <w:t xml:space="preserve">rata rate for allocation of GTB proceeds to 2024–25 expenditure through this report is 54.1 per cent and is reflected in the difference between </w:t>
      </w:r>
      <w:r w:rsidR="002C4475" w:rsidRPr="000F23E0">
        <w:t>‘</w:t>
      </w:r>
      <w:r w:rsidRPr="000F23E0">
        <w:t>Expenditure 2024–25</w:t>
      </w:r>
      <w:r w:rsidR="002C4475" w:rsidRPr="000F23E0">
        <w:t>’</w:t>
      </w:r>
      <w:r w:rsidRPr="000F23E0">
        <w:t xml:space="preserve"> and </w:t>
      </w:r>
      <w:r w:rsidR="002C4475" w:rsidRPr="000F23E0">
        <w:t>‘</w:t>
      </w:r>
      <w:r w:rsidRPr="000F23E0">
        <w:t>Allocation 2026 report</w:t>
      </w:r>
      <w:r w:rsidR="002C4475" w:rsidRPr="000F23E0">
        <w:t>’</w:t>
      </w:r>
      <w:r w:rsidRPr="000F23E0">
        <w:t xml:space="preserve"> in Table 1.</w:t>
      </w:r>
    </w:p>
    <w:p w14:paraId="248F49EF" w14:textId="77777777" w:rsidR="00E5564F" w:rsidRPr="000F23E0" w:rsidRDefault="00E5564F" w:rsidP="00E5564F">
      <w:r w:rsidRPr="000F23E0">
        <w:t>The allocation data is presented as follows:</w:t>
      </w:r>
    </w:p>
    <w:p w14:paraId="281426D3" w14:textId="59C271B6" w:rsidR="00E5564F" w:rsidRPr="000F23E0" w:rsidRDefault="002C4475" w:rsidP="00C55B0A">
      <w:pPr>
        <w:pStyle w:val="Bullet"/>
      </w:pPr>
      <w:r w:rsidRPr="000F23E0">
        <w:t>‘</w:t>
      </w:r>
      <w:r w:rsidR="00E5564F" w:rsidRPr="000F23E0">
        <w:t>Previous expenditure</w:t>
      </w:r>
      <w:r w:rsidRPr="000F23E0">
        <w:t>’</w:t>
      </w:r>
      <w:r w:rsidR="00E5564F" w:rsidRPr="000F23E0">
        <w:t xml:space="preserve"> is the total expended on an Eligible Green Expenditure in 2022–23 (the</w:t>
      </w:r>
      <w:r w:rsidR="003866AE" w:rsidRPr="000F23E0">
        <w:t> </w:t>
      </w:r>
      <w:r w:rsidR="00E5564F" w:rsidRPr="000F23E0">
        <w:t>earliest year within the eligibility window of the inaugural GTB issuance) and 2023–24</w:t>
      </w:r>
    </w:p>
    <w:p w14:paraId="28222DB1" w14:textId="56BEE0E6" w:rsidR="00E5564F" w:rsidRPr="000F23E0" w:rsidRDefault="002C4475" w:rsidP="00C55B0A">
      <w:pPr>
        <w:pStyle w:val="Bullet"/>
      </w:pPr>
      <w:r w:rsidRPr="000F23E0">
        <w:t>‘</w:t>
      </w:r>
      <w:r w:rsidR="00E5564F" w:rsidRPr="000F23E0">
        <w:t>Previous allocation</w:t>
      </w:r>
      <w:r w:rsidRPr="000F23E0">
        <w:t>’</w:t>
      </w:r>
      <w:r w:rsidR="00E5564F" w:rsidRPr="000F23E0">
        <w:t xml:space="preserve"> is the total allocated to Eligible Green Expenditures from 2022–23 to </w:t>
      </w:r>
      <w:r w:rsidR="003866AE" w:rsidRPr="000F23E0">
        <w:br/>
      </w:r>
      <w:r w:rsidR="00E5564F" w:rsidRPr="000F23E0">
        <w:t xml:space="preserve">2023–24. </w:t>
      </w:r>
      <w:r w:rsidRPr="000F23E0">
        <w:t>‘</w:t>
      </w:r>
      <w:r w:rsidR="00E5564F" w:rsidRPr="000F23E0">
        <w:t>Previous allocation</w:t>
      </w:r>
      <w:r w:rsidRPr="000F23E0">
        <w:t>’</w:t>
      </w:r>
      <w:r w:rsidR="00E5564F" w:rsidRPr="000F23E0">
        <w:t xml:space="preserve"> matches </w:t>
      </w:r>
      <w:r w:rsidRPr="000F23E0">
        <w:t>‘</w:t>
      </w:r>
      <w:r w:rsidR="00E5564F" w:rsidRPr="000F23E0">
        <w:t>Previous expenditure</w:t>
      </w:r>
      <w:r w:rsidRPr="000F23E0">
        <w:t>’</w:t>
      </w:r>
      <w:r w:rsidR="00E5564F" w:rsidRPr="000F23E0">
        <w:t xml:space="preserve"> as all expenditure prior to 2024–25 has been fully allocated to</w:t>
      </w:r>
    </w:p>
    <w:p w14:paraId="423FAC41" w14:textId="5D7F0A26" w:rsidR="00E5564F" w:rsidRPr="000F23E0" w:rsidRDefault="002C4475" w:rsidP="00C55B0A">
      <w:pPr>
        <w:pStyle w:val="Bullet"/>
      </w:pPr>
      <w:r w:rsidRPr="000F23E0">
        <w:t>‘</w:t>
      </w:r>
      <w:r w:rsidR="00E5564F" w:rsidRPr="000F23E0">
        <w:t>Expenditure 2024–25</w:t>
      </w:r>
      <w:r w:rsidRPr="000F23E0">
        <w:t>’</w:t>
      </w:r>
      <w:r w:rsidR="00E5564F" w:rsidRPr="000F23E0">
        <w:t xml:space="preserve"> is the amount expended on an Eligible Green Expenditure in 2024–25. Total</w:t>
      </w:r>
      <w:r w:rsidR="00D05E2B" w:rsidRPr="000F23E0">
        <w:t> </w:t>
      </w:r>
      <w:r w:rsidR="00E5564F" w:rsidRPr="000F23E0">
        <w:t xml:space="preserve">expenditure can be found by summing </w:t>
      </w:r>
      <w:r w:rsidRPr="000F23E0">
        <w:t>‘</w:t>
      </w:r>
      <w:r w:rsidR="00E5564F" w:rsidRPr="000F23E0">
        <w:t>Previous expenditure</w:t>
      </w:r>
      <w:r w:rsidRPr="000F23E0">
        <w:t>’</w:t>
      </w:r>
      <w:r w:rsidR="00E5564F" w:rsidRPr="000F23E0">
        <w:t xml:space="preserve"> and </w:t>
      </w:r>
      <w:r w:rsidRPr="000F23E0">
        <w:t>‘</w:t>
      </w:r>
      <w:r w:rsidR="00E5564F" w:rsidRPr="000F23E0">
        <w:t>Expenditure 2024–25</w:t>
      </w:r>
      <w:r w:rsidRPr="000F23E0">
        <w:t>’</w:t>
      </w:r>
    </w:p>
    <w:p w14:paraId="1FC001FF" w14:textId="666686D3" w:rsidR="00E5564F" w:rsidRPr="000F23E0" w:rsidRDefault="002C4475" w:rsidP="00C55B0A">
      <w:pPr>
        <w:pStyle w:val="Bullet"/>
      </w:pPr>
      <w:r w:rsidRPr="000F23E0">
        <w:t>‘</w:t>
      </w:r>
      <w:r w:rsidR="00E5564F" w:rsidRPr="000F23E0">
        <w:t>Allocation 2026 report</w:t>
      </w:r>
      <w:r w:rsidRPr="000F23E0">
        <w:t>’</w:t>
      </w:r>
      <w:r w:rsidR="00E5564F" w:rsidRPr="000F23E0">
        <w:t xml:space="preserve"> is the allocation made to 2024–25 expenditure in this report</w:t>
      </w:r>
    </w:p>
    <w:p w14:paraId="241958F3" w14:textId="2E72C9D6" w:rsidR="00E5564F" w:rsidRPr="000F23E0" w:rsidRDefault="002C4475" w:rsidP="00C55B0A">
      <w:pPr>
        <w:pStyle w:val="Bullet"/>
      </w:pPr>
      <w:r w:rsidRPr="000F23E0">
        <w:t>‘</w:t>
      </w:r>
      <w:r w:rsidR="00E5564F" w:rsidRPr="000F23E0">
        <w:t>Total allocation</w:t>
      </w:r>
      <w:r w:rsidRPr="000F23E0">
        <w:t>’</w:t>
      </w:r>
      <w:r w:rsidR="00E5564F" w:rsidRPr="000F23E0">
        <w:t xml:space="preserve"> is the sum of </w:t>
      </w:r>
      <w:r w:rsidRPr="000F23E0">
        <w:t>‘</w:t>
      </w:r>
      <w:r w:rsidR="00E5564F" w:rsidRPr="000F23E0">
        <w:t>Previous allocation</w:t>
      </w:r>
      <w:r w:rsidRPr="000F23E0">
        <w:t>’</w:t>
      </w:r>
      <w:r w:rsidR="00E5564F" w:rsidRPr="000F23E0">
        <w:t xml:space="preserve"> and </w:t>
      </w:r>
      <w:r w:rsidRPr="000F23E0">
        <w:t>‘</w:t>
      </w:r>
      <w:r w:rsidR="00E5564F" w:rsidRPr="000F23E0">
        <w:t>Allocation 2026 report</w:t>
      </w:r>
      <w:r w:rsidRPr="000F23E0">
        <w:t>’</w:t>
      </w:r>
      <w:r w:rsidR="00E5564F" w:rsidRPr="000F23E0">
        <w:t>.</w:t>
      </w:r>
    </w:p>
    <w:p w14:paraId="7B76166D" w14:textId="77777777" w:rsidR="00E5564F" w:rsidRPr="000F23E0" w:rsidRDefault="00E5564F" w:rsidP="00E5564F">
      <w:r w:rsidRPr="000F23E0">
        <w:t>Table 2 reports the associated impacts of the Eligible Green Expenditures. Impact data refers to the measurable outcomes associated with projects financed by GTBs. Impact data can be projected when impacts are expected to be in the future, for example, once a train line is built, or recorded when the impact has been measured or observed.</w:t>
      </w:r>
    </w:p>
    <w:p w14:paraId="7C473D9E" w14:textId="1DF7204F" w:rsidR="00E5564F" w:rsidRPr="000F23E0" w:rsidRDefault="00E5564F" w:rsidP="00086496">
      <w:r w:rsidRPr="000F23E0">
        <w:t>Only Eligible Green Expenditures with expenditure between July 2022 and June 2025 are included in these tables. See AOFM</w:t>
      </w:r>
      <w:r w:rsidR="002C4475" w:rsidRPr="000F23E0">
        <w:t>’</w:t>
      </w:r>
      <w:r w:rsidRPr="000F23E0">
        <w:t>s website for the full up</w:t>
      </w:r>
      <w:r w:rsidR="002C4475" w:rsidRPr="000F23E0">
        <w:noBreakHyphen/>
      </w:r>
      <w:r w:rsidRPr="000F23E0">
        <w:t>to</w:t>
      </w:r>
      <w:r w:rsidR="002C4475" w:rsidRPr="000F23E0">
        <w:noBreakHyphen/>
      </w:r>
      <w:r w:rsidRPr="000F23E0">
        <w:t xml:space="preserve">date list of indicative Eligible Green Expenditures. </w:t>
      </w:r>
    </w:p>
    <w:p w14:paraId="3F84E16B" w14:textId="77777777" w:rsidR="00086496" w:rsidRPr="000F23E0" w:rsidRDefault="00086496" w:rsidP="00086496">
      <w:r w:rsidRPr="000F23E0">
        <w:t>See Chapter 10 for further information on the approach to impact and allocation reporting.</w:t>
      </w:r>
    </w:p>
    <w:p w14:paraId="37353964" w14:textId="2FEF0F00" w:rsidR="00A859D0" w:rsidRPr="000F23E0" w:rsidRDefault="00A859D0" w:rsidP="00A859D0">
      <w:pPr>
        <w:pStyle w:val="ChartGraphic"/>
      </w:pPr>
      <w:r w:rsidRPr="000F23E0">
        <w:drawing>
          <wp:inline distT="0" distB="0" distL="0" distR="0" wp14:anchorId="0DCCE849" wp14:editId="1C952348">
            <wp:extent cx="5753346" cy="1686296"/>
            <wp:effectExtent l="0" t="0" r="0" b="9525"/>
            <wp:docPr id="423638369" name="Picture 13" descr="An aerial view of a country road in the old growth forests of Victoria with a car travelling along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638369" name="Picture 13" descr="An aerial view of a country road in the old growth forests of Victoria with a car travelling along it."/>
                    <pic:cNvPicPr/>
                  </pic:nvPicPr>
                  <pic:blipFill rotWithShape="1">
                    <a:blip r:embed="rId27" cstate="print">
                      <a:extLst>
                        <a:ext uri="{28A0092B-C50C-407E-A947-70E740481C1C}">
                          <a14:useLocalDpi xmlns:a14="http://schemas.microsoft.com/office/drawing/2010/main" val="0"/>
                        </a:ext>
                      </a:extLst>
                    </a:blip>
                    <a:srcRect/>
                    <a:stretch>
                      <a:fillRect/>
                    </a:stretch>
                  </pic:blipFill>
                  <pic:spPr bwMode="auto">
                    <a:xfrm>
                      <a:off x="0" y="0"/>
                      <a:ext cx="5757079" cy="1687390"/>
                    </a:xfrm>
                    <a:prstGeom prst="rect">
                      <a:avLst/>
                    </a:prstGeom>
                    <a:ln>
                      <a:noFill/>
                    </a:ln>
                    <a:extLst>
                      <a:ext uri="{53640926-AAD7-44D8-BBD7-CCE9431645EC}">
                        <a14:shadowObscured xmlns:a14="http://schemas.microsoft.com/office/drawing/2010/main"/>
                      </a:ext>
                    </a:extLst>
                  </pic:spPr>
                </pic:pic>
              </a:graphicData>
            </a:graphic>
          </wp:inline>
        </w:drawing>
      </w:r>
    </w:p>
    <w:p w14:paraId="16D15A28" w14:textId="6EC69B48" w:rsidR="00E5564F" w:rsidRPr="000F23E0" w:rsidRDefault="00E5564F" w:rsidP="00086496">
      <w:pPr>
        <w:pStyle w:val="ChartorTableNote"/>
        <w:sectPr w:rsidR="00E5564F" w:rsidRPr="000F23E0" w:rsidSect="00D77D9A">
          <w:headerReference w:type="even" r:id="rId28"/>
          <w:headerReference w:type="default" r:id="rId29"/>
          <w:footerReference w:type="even" r:id="rId30"/>
          <w:footnotePr>
            <w:numFmt w:val="lowerLetter"/>
          </w:footnotePr>
          <w:endnotePr>
            <w:numFmt w:val="decimal"/>
          </w:endnotePr>
          <w:pgSz w:w="11906" w:h="16838" w:code="9"/>
          <w:pgMar w:top="1843" w:right="1418" w:bottom="1418" w:left="1418" w:header="709" w:footer="709" w:gutter="0"/>
          <w:pgNumType w:fmt="lowerRoman"/>
          <w:cols w:space="708"/>
          <w:docGrid w:linePitch="360"/>
        </w:sectPr>
      </w:pPr>
    </w:p>
    <w:p w14:paraId="07F3708A" w14:textId="698994C5" w:rsidR="00B92023" w:rsidRPr="000F23E0" w:rsidRDefault="00DE7498" w:rsidP="00551F72">
      <w:pPr>
        <w:pStyle w:val="TableMainHeading"/>
      </w:pPr>
      <w:bookmarkStart w:id="33" w:name="_Toc224637779"/>
      <w:bookmarkStart w:id="34" w:name="_Toc224642443"/>
      <w:bookmarkStart w:id="35" w:name="_Toc225153419"/>
      <w:bookmarkStart w:id="36" w:name="_Toc225154465"/>
      <w:bookmarkStart w:id="37" w:name="_Toc225155730"/>
      <w:bookmarkStart w:id="38" w:name="_Ref188020474"/>
      <w:r w:rsidRPr="000F23E0">
        <w:lastRenderedPageBreak/>
        <w:t xml:space="preserve">Table </w:t>
      </w:r>
      <w:r w:rsidR="00510EF9" w:rsidRPr="000F23E0">
        <w:t>1</w:t>
      </w:r>
      <w:r w:rsidR="000B7ACD" w:rsidRPr="000F23E0">
        <w:t>:</w:t>
      </w:r>
      <w:r w:rsidR="001F6A54" w:rsidRPr="000F23E0">
        <w:t xml:space="preserve"> </w:t>
      </w:r>
      <w:r w:rsidRPr="000F23E0">
        <w:t>Green Treasury Bond Expenditure and Allocation</w:t>
      </w:r>
      <w:bookmarkEnd w:id="33"/>
      <w:bookmarkEnd w:id="34"/>
      <w:bookmarkEnd w:id="35"/>
      <w:bookmarkEnd w:id="36"/>
      <w:bookmarkEnd w:id="37"/>
    </w:p>
    <w:tbl>
      <w:tblPr>
        <w:tblStyle w:val="GridTable4-Accent2"/>
        <w:tblpPr w:leftFromText="180" w:rightFromText="180" w:vertAnchor="text" w:tblpY="1"/>
        <w:tblOverlap w:val="never"/>
        <w:tblW w:w="5000" w:type="pct"/>
        <w:tblInd w:w="0" w:type="dxa"/>
        <w:tblBorders>
          <w:top w:val="single" w:sz="4" w:space="0" w:color="DFA795"/>
          <w:left w:val="single" w:sz="4" w:space="0" w:color="DFA795"/>
          <w:bottom w:val="single" w:sz="4" w:space="0" w:color="DFA795"/>
          <w:right w:val="single" w:sz="4" w:space="0" w:color="DFA795"/>
          <w:insideH w:val="single" w:sz="4" w:space="0" w:color="DFA795"/>
          <w:insideV w:val="single" w:sz="4" w:space="0" w:color="DFA795"/>
        </w:tblBorders>
        <w:tblLayout w:type="fixed"/>
        <w:tblCellMar>
          <w:top w:w="28" w:type="dxa"/>
          <w:left w:w="85" w:type="dxa"/>
          <w:bottom w:w="28" w:type="dxa"/>
        </w:tblCellMar>
        <w:tblLook w:val="04A0" w:firstRow="1" w:lastRow="0" w:firstColumn="1" w:lastColumn="0" w:noHBand="0" w:noVBand="1"/>
        <w:tblCaption w:val="Table 1: Green Treasury Bond Expenditure and Allocation"/>
        <w:tblDescription w:val="The UN Sustainable Development Goals – SDGs for short – are listed out in picture form in column 4 next to each eligible green expenditure which they are associated with. Electric rail infrastructure in the Infrastructure Investment Program is associated with UN SDG 9 (Industry, Innovation and Infrastructure).&#10;The Driving the Nation Fund is associated with UN SDG 11 (Sustainable Cities and Communities).&#10;Electric bus charging infrastructure is associated with UN SDG 11 (Sustainable Cities and Communities).&#10;International Climate Finance is associated with UN SDG 7 (Affordable and Clean Energy), UN SDG 9 (Industry, Innovation and Infrastructure), and UN SDG 13 (Climate Action).&#10;The Urban Rivers and Catchments Program is associated with UN SDG 15 (Life on Land).&#10;The Saving Koalas Fund is associated with UN SDG 15 (Life on Land).&#10;Reef 2050 is associated with UN SDG 14 (Life Below Water).&#10;The Murray–Darling Basin Plan is associated with UN SDG 6 (Clean Water and Sanitation).&#10;The Recycling Modernisation Fund is associated with UN SDG 12 (Responsible Consumption and Production)."/>
      </w:tblPr>
      <w:tblGrid>
        <w:gridCol w:w="1935"/>
        <w:gridCol w:w="1638"/>
        <w:gridCol w:w="2078"/>
        <w:gridCol w:w="2912"/>
        <w:gridCol w:w="1092"/>
        <w:gridCol w:w="1092"/>
        <w:gridCol w:w="1087"/>
        <w:gridCol w:w="1087"/>
        <w:gridCol w:w="1081"/>
      </w:tblGrid>
      <w:tr w:rsidR="006E5EF6" w:rsidRPr="000F23E0" w14:paraId="7E0E5875" w14:textId="02BFB975" w:rsidTr="006E5EF6">
        <w:trPr>
          <w:cnfStyle w:val="100000000000" w:firstRow="1" w:lastRow="0" w:firstColumn="0" w:lastColumn="0" w:oddVBand="0" w:evenVBand="0" w:oddHBand="0" w:evenHBand="0" w:firstRowFirstColumn="0" w:firstRowLastColumn="0" w:lastRowFirstColumn="0" w:lastRowLastColumn="0"/>
          <w:trHeight w:val="227"/>
          <w:tblHeader/>
        </w:trPr>
        <w:tc>
          <w:tcPr>
            <w:cnfStyle w:val="001000000000" w:firstRow="0" w:lastRow="0" w:firstColumn="1" w:lastColumn="0" w:oddVBand="0" w:evenVBand="0" w:oddHBand="0" w:evenHBand="0" w:firstRowFirstColumn="0" w:firstRowLastColumn="0" w:lastRowFirstColumn="0" w:lastRowLastColumn="0"/>
            <w:tcW w:w="691" w:type="pct"/>
            <w:tcBorders>
              <w:left w:val="nil"/>
              <w:bottom w:val="single" w:sz="4" w:space="0" w:color="DFA795"/>
              <w:right w:val="nil"/>
            </w:tcBorders>
            <w:shd w:val="clear" w:color="auto" w:fill="F1D0C6"/>
          </w:tcPr>
          <w:p w14:paraId="1D11DCFE" w14:textId="138320A2" w:rsidR="00C74D6F" w:rsidRPr="000F23E0" w:rsidRDefault="00C74D6F" w:rsidP="00745CFC">
            <w:pPr>
              <w:pStyle w:val="TableColumnHeadingLeft"/>
              <w:rPr>
                <w:rFonts w:eastAsia="Calibri"/>
                <w:b/>
              </w:rPr>
            </w:pPr>
            <w:r w:rsidRPr="000F23E0">
              <w:rPr>
                <w:rFonts w:eastAsia="Calibri"/>
                <w:b/>
              </w:rPr>
              <w:t xml:space="preserve">ICMA Green </w:t>
            </w:r>
            <w:r w:rsidR="0013394A" w:rsidRPr="000F23E0">
              <w:rPr>
                <w:rFonts w:eastAsia="Calibri"/>
                <w:b/>
              </w:rPr>
              <w:t>Bonds Principles</w:t>
            </w:r>
            <w:r w:rsidRPr="000F23E0">
              <w:rPr>
                <w:rFonts w:eastAsia="Calibri"/>
                <w:b/>
              </w:rPr>
              <w:t xml:space="preserve"> Category</w:t>
            </w:r>
          </w:p>
        </w:tc>
        <w:tc>
          <w:tcPr>
            <w:tcW w:w="585" w:type="pct"/>
            <w:tcBorders>
              <w:left w:val="nil"/>
              <w:bottom w:val="single" w:sz="4" w:space="0" w:color="DFA795"/>
              <w:right w:val="nil"/>
            </w:tcBorders>
            <w:shd w:val="clear" w:color="auto" w:fill="F1D0C6"/>
          </w:tcPr>
          <w:p w14:paraId="0360E09E" w14:textId="25FC4F34" w:rsidR="00C74D6F" w:rsidRPr="000F23E0" w:rsidRDefault="00C74D6F" w:rsidP="00745CFC">
            <w:pPr>
              <w:pStyle w:val="TableColumnHeadingLeft"/>
              <w:cnfStyle w:val="100000000000" w:firstRow="1" w:lastRow="0" w:firstColumn="0" w:lastColumn="0" w:oddVBand="0" w:evenVBand="0" w:oddHBand="0" w:evenHBand="0" w:firstRowFirstColumn="0" w:firstRowLastColumn="0" w:lastRowFirstColumn="0" w:lastRowLastColumn="0"/>
              <w:rPr>
                <w:rFonts w:eastAsia="Calibri"/>
                <w:b/>
              </w:rPr>
            </w:pPr>
            <w:r w:rsidRPr="000F23E0">
              <w:rPr>
                <w:rFonts w:eastAsia="Calibri"/>
                <w:b/>
              </w:rPr>
              <w:t>Program Goal</w:t>
            </w:r>
          </w:p>
        </w:tc>
        <w:tc>
          <w:tcPr>
            <w:tcW w:w="742" w:type="pct"/>
            <w:tcBorders>
              <w:left w:val="nil"/>
              <w:bottom w:val="single" w:sz="4" w:space="0" w:color="DFA795"/>
              <w:right w:val="nil"/>
            </w:tcBorders>
            <w:shd w:val="clear" w:color="auto" w:fill="F1D0C6"/>
          </w:tcPr>
          <w:p w14:paraId="5157BF2F" w14:textId="5DD0A698" w:rsidR="00C74D6F" w:rsidRPr="000F23E0" w:rsidRDefault="00EE474D" w:rsidP="00745CFC">
            <w:pPr>
              <w:pStyle w:val="TableColumnHeadingLeft"/>
              <w:cnfStyle w:val="100000000000" w:firstRow="1" w:lastRow="0" w:firstColumn="0" w:lastColumn="0" w:oddVBand="0" w:evenVBand="0" w:oddHBand="0" w:evenHBand="0" w:firstRowFirstColumn="0" w:firstRowLastColumn="0" w:lastRowFirstColumn="0" w:lastRowLastColumn="0"/>
              <w:rPr>
                <w:rFonts w:eastAsia="Calibri"/>
                <w:b/>
              </w:rPr>
            </w:pPr>
            <w:r w:rsidRPr="000F23E0">
              <w:rPr>
                <w:rFonts w:eastAsia="Calibri"/>
                <w:b/>
              </w:rPr>
              <w:t xml:space="preserve">Eligible Green </w:t>
            </w:r>
            <w:r w:rsidR="006E5EF6" w:rsidRPr="000F23E0">
              <w:rPr>
                <w:rFonts w:eastAsia="Calibri"/>
                <w:b/>
              </w:rPr>
              <w:br/>
            </w:r>
            <w:r w:rsidRPr="000F23E0">
              <w:rPr>
                <w:rFonts w:eastAsia="Calibri"/>
                <w:b/>
              </w:rPr>
              <w:t>Expenditure</w:t>
            </w:r>
          </w:p>
        </w:tc>
        <w:tc>
          <w:tcPr>
            <w:tcW w:w="1040" w:type="pct"/>
            <w:tcBorders>
              <w:left w:val="nil"/>
              <w:bottom w:val="single" w:sz="4" w:space="0" w:color="DFA795"/>
              <w:right w:val="nil"/>
            </w:tcBorders>
            <w:shd w:val="clear" w:color="auto" w:fill="F1D0C6"/>
          </w:tcPr>
          <w:p w14:paraId="3E37C056" w14:textId="361DA16A" w:rsidR="000C3111" w:rsidRPr="000F23E0" w:rsidRDefault="000C3111" w:rsidP="00745CFC">
            <w:pPr>
              <w:pStyle w:val="TableColumnHeadingLeft"/>
              <w:cnfStyle w:val="100000000000" w:firstRow="1" w:lastRow="0" w:firstColumn="0" w:lastColumn="0" w:oddVBand="0" w:evenVBand="0" w:oddHBand="0" w:evenHBand="0" w:firstRowFirstColumn="0" w:firstRowLastColumn="0" w:lastRowFirstColumn="0" w:lastRowLastColumn="0"/>
              <w:rPr>
                <w:rFonts w:eastAsia="Calibri"/>
                <w:b/>
              </w:rPr>
            </w:pPr>
            <w:r w:rsidRPr="000F23E0">
              <w:rPr>
                <w:rFonts w:eastAsia="Calibri"/>
                <w:b/>
              </w:rPr>
              <w:t xml:space="preserve">UN Sustainable </w:t>
            </w:r>
            <w:r w:rsidR="006E5EF6" w:rsidRPr="000F23E0">
              <w:rPr>
                <w:rFonts w:eastAsia="Calibri"/>
                <w:b/>
              </w:rPr>
              <w:br/>
            </w:r>
            <w:r w:rsidRPr="000F23E0">
              <w:rPr>
                <w:rFonts w:eastAsia="Calibri"/>
                <w:b/>
              </w:rPr>
              <w:t>Development</w:t>
            </w:r>
            <w:r w:rsidR="00745CFC" w:rsidRPr="000F23E0">
              <w:rPr>
                <w:rFonts w:eastAsia="Calibri"/>
                <w:b/>
              </w:rPr>
              <w:t> </w:t>
            </w:r>
            <w:r w:rsidRPr="000F23E0">
              <w:rPr>
                <w:rFonts w:eastAsia="Calibri"/>
                <w:b/>
              </w:rPr>
              <w:t>Goal</w:t>
            </w:r>
          </w:p>
        </w:tc>
        <w:tc>
          <w:tcPr>
            <w:tcW w:w="390" w:type="pct"/>
            <w:tcBorders>
              <w:left w:val="nil"/>
              <w:bottom w:val="single" w:sz="4" w:space="0" w:color="DFA795"/>
              <w:right w:val="nil"/>
            </w:tcBorders>
            <w:shd w:val="clear" w:color="auto" w:fill="F1D0C6"/>
          </w:tcPr>
          <w:p w14:paraId="26C34C06" w14:textId="05584008" w:rsidR="00A30919" w:rsidRPr="000F23E0" w:rsidRDefault="00A30919" w:rsidP="00745CFC">
            <w:pPr>
              <w:pStyle w:val="TableColumnHeadingRight"/>
              <w:cnfStyle w:val="100000000000" w:firstRow="1" w:lastRow="0" w:firstColumn="0" w:lastColumn="0" w:oddVBand="0" w:evenVBand="0" w:oddHBand="0" w:evenHBand="0" w:firstRowFirstColumn="0" w:firstRowLastColumn="0" w:lastRowFirstColumn="0" w:lastRowLastColumn="0"/>
              <w:rPr>
                <w:rFonts w:eastAsia="Calibri"/>
                <w:b/>
              </w:rPr>
            </w:pPr>
            <w:r w:rsidRPr="000F23E0">
              <w:rPr>
                <w:rFonts w:eastAsia="Calibri"/>
                <w:b/>
              </w:rPr>
              <w:t xml:space="preserve">Previous </w:t>
            </w:r>
            <w:r w:rsidR="002407D7" w:rsidRPr="000F23E0">
              <w:rPr>
                <w:rFonts w:eastAsia="Calibri"/>
                <w:b/>
              </w:rPr>
              <w:t>e</w:t>
            </w:r>
            <w:r w:rsidRPr="000F23E0">
              <w:rPr>
                <w:rFonts w:eastAsia="Calibri"/>
                <w:b/>
              </w:rPr>
              <w:t>xpenditure ($m)</w:t>
            </w:r>
          </w:p>
        </w:tc>
        <w:tc>
          <w:tcPr>
            <w:tcW w:w="390" w:type="pct"/>
            <w:tcBorders>
              <w:left w:val="nil"/>
              <w:bottom w:val="single" w:sz="4" w:space="0" w:color="DFA795"/>
              <w:right w:val="nil"/>
            </w:tcBorders>
            <w:shd w:val="clear" w:color="auto" w:fill="F1D0C6"/>
          </w:tcPr>
          <w:p w14:paraId="5503F602" w14:textId="74E28076" w:rsidR="00C74D6F" w:rsidRPr="000F23E0" w:rsidRDefault="00C74D6F" w:rsidP="00745CFC">
            <w:pPr>
              <w:pStyle w:val="TableColumnHeadingRight"/>
              <w:cnfStyle w:val="100000000000" w:firstRow="1" w:lastRow="0" w:firstColumn="0" w:lastColumn="0" w:oddVBand="0" w:evenVBand="0" w:oddHBand="0" w:evenHBand="0" w:firstRowFirstColumn="0" w:firstRowLastColumn="0" w:lastRowFirstColumn="0" w:lastRowLastColumn="0"/>
              <w:rPr>
                <w:rFonts w:eastAsia="Calibri"/>
                <w:b/>
                <w:vertAlign w:val="superscript"/>
              </w:rPr>
            </w:pPr>
            <w:r w:rsidRPr="000F23E0">
              <w:rPr>
                <w:rFonts w:eastAsia="Calibri"/>
                <w:b/>
              </w:rPr>
              <w:t xml:space="preserve">Previous </w:t>
            </w:r>
            <w:r w:rsidR="002407D7" w:rsidRPr="000F23E0">
              <w:rPr>
                <w:rFonts w:eastAsia="Calibri"/>
                <w:b/>
              </w:rPr>
              <w:t>a</w:t>
            </w:r>
            <w:r w:rsidRPr="000F23E0">
              <w:rPr>
                <w:rFonts w:eastAsia="Calibri"/>
                <w:b/>
              </w:rPr>
              <w:t>llocati</w:t>
            </w:r>
            <w:r w:rsidR="00FB51C7" w:rsidRPr="000F23E0">
              <w:rPr>
                <w:rFonts w:eastAsia="Calibri"/>
                <w:b/>
              </w:rPr>
              <w:t>on</w:t>
            </w:r>
            <w:r w:rsidR="00D512B1" w:rsidRPr="000F23E0">
              <w:rPr>
                <w:rFonts w:eastAsia="Calibri"/>
                <w:b/>
              </w:rPr>
              <w:t xml:space="preserve"> ($m)</w:t>
            </w:r>
          </w:p>
        </w:tc>
        <w:tc>
          <w:tcPr>
            <w:tcW w:w="388" w:type="pct"/>
            <w:tcBorders>
              <w:left w:val="nil"/>
              <w:bottom w:val="single" w:sz="4" w:space="0" w:color="DFA795"/>
              <w:right w:val="nil"/>
            </w:tcBorders>
            <w:shd w:val="clear" w:color="auto" w:fill="F1D0C6"/>
          </w:tcPr>
          <w:p w14:paraId="700F224E" w14:textId="5F767C48" w:rsidR="00C74D6F" w:rsidRPr="000F23E0" w:rsidRDefault="00C74D6F" w:rsidP="00745CFC">
            <w:pPr>
              <w:pStyle w:val="TableColumnHeadingRight"/>
              <w:cnfStyle w:val="100000000000" w:firstRow="1" w:lastRow="0" w:firstColumn="0" w:lastColumn="0" w:oddVBand="0" w:evenVBand="0" w:oddHBand="0" w:evenHBand="0" w:firstRowFirstColumn="0" w:firstRowLastColumn="0" w:lastRowFirstColumn="0" w:lastRowLastColumn="0"/>
              <w:rPr>
                <w:rFonts w:eastAsia="Calibri"/>
                <w:b/>
                <w:vertAlign w:val="superscript"/>
              </w:rPr>
            </w:pPr>
            <w:r w:rsidRPr="000F23E0">
              <w:rPr>
                <w:rFonts w:eastAsia="Calibri"/>
                <w:b/>
              </w:rPr>
              <w:t>Expenditure 2024</w:t>
            </w:r>
            <w:r w:rsidR="00A055D4" w:rsidRPr="000F23E0">
              <w:rPr>
                <w:rFonts w:eastAsia="Calibri"/>
                <w:b/>
              </w:rPr>
              <w:t>–</w:t>
            </w:r>
            <w:r w:rsidRPr="000F23E0">
              <w:rPr>
                <w:rFonts w:eastAsia="Calibri"/>
                <w:b/>
              </w:rPr>
              <w:t>25</w:t>
            </w:r>
            <w:r w:rsidR="00745CFC" w:rsidRPr="000F23E0">
              <w:rPr>
                <w:rFonts w:eastAsia="Calibri"/>
                <w:b/>
              </w:rPr>
              <w:br/>
            </w:r>
            <w:r w:rsidRPr="000F23E0">
              <w:rPr>
                <w:rFonts w:eastAsia="Calibri"/>
                <w:b/>
              </w:rPr>
              <w:t>($m)</w:t>
            </w:r>
          </w:p>
        </w:tc>
        <w:tc>
          <w:tcPr>
            <w:tcW w:w="388" w:type="pct"/>
            <w:tcBorders>
              <w:left w:val="nil"/>
              <w:bottom w:val="single" w:sz="4" w:space="0" w:color="DFA795"/>
              <w:right w:val="nil"/>
            </w:tcBorders>
            <w:shd w:val="clear" w:color="auto" w:fill="F1D0C6"/>
          </w:tcPr>
          <w:p w14:paraId="0D57801B" w14:textId="063FAF88" w:rsidR="00C74D6F" w:rsidRPr="000F23E0" w:rsidRDefault="00C74D6F" w:rsidP="00745CFC">
            <w:pPr>
              <w:pStyle w:val="TableColumnHeadingRight"/>
              <w:cnfStyle w:val="100000000000" w:firstRow="1" w:lastRow="0" w:firstColumn="0" w:lastColumn="0" w:oddVBand="0" w:evenVBand="0" w:oddHBand="0" w:evenHBand="0" w:firstRowFirstColumn="0" w:firstRowLastColumn="0" w:lastRowFirstColumn="0" w:lastRowLastColumn="0"/>
              <w:rPr>
                <w:rFonts w:eastAsia="Calibri"/>
                <w:b/>
                <w:vertAlign w:val="superscript"/>
              </w:rPr>
            </w:pPr>
            <w:r w:rsidRPr="000F23E0">
              <w:rPr>
                <w:rFonts w:eastAsia="Calibri"/>
                <w:b/>
              </w:rPr>
              <w:t xml:space="preserve">Allocation </w:t>
            </w:r>
            <w:r w:rsidR="004F2D61" w:rsidRPr="000F23E0">
              <w:rPr>
                <w:rFonts w:eastAsia="Calibri"/>
                <w:b/>
              </w:rPr>
              <w:t xml:space="preserve">2026 </w:t>
            </w:r>
            <w:r w:rsidR="00E63558" w:rsidRPr="000F23E0">
              <w:rPr>
                <w:rFonts w:eastAsia="Calibri"/>
                <w:b/>
              </w:rPr>
              <w:t>r</w:t>
            </w:r>
            <w:r w:rsidR="004F2D61" w:rsidRPr="000F23E0">
              <w:rPr>
                <w:rFonts w:eastAsia="Calibri"/>
                <w:b/>
              </w:rPr>
              <w:t>eport</w:t>
            </w:r>
            <w:r w:rsidRPr="000F23E0">
              <w:rPr>
                <w:rFonts w:eastAsia="Calibri"/>
                <w:b/>
              </w:rPr>
              <w:t xml:space="preserve"> ($m)</w:t>
            </w:r>
          </w:p>
        </w:tc>
        <w:tc>
          <w:tcPr>
            <w:tcW w:w="386" w:type="pct"/>
            <w:tcBorders>
              <w:left w:val="nil"/>
              <w:bottom w:val="single" w:sz="4" w:space="0" w:color="DFA795"/>
              <w:right w:val="nil"/>
            </w:tcBorders>
            <w:shd w:val="clear" w:color="auto" w:fill="F1D0C6"/>
          </w:tcPr>
          <w:p w14:paraId="30C2BB32" w14:textId="69C47036" w:rsidR="00C74D6F" w:rsidRPr="000F23E0" w:rsidRDefault="00FC29F5" w:rsidP="00745CFC">
            <w:pPr>
              <w:pStyle w:val="TableColumnHeadingRight"/>
              <w:cnfStyle w:val="100000000000" w:firstRow="1" w:lastRow="0" w:firstColumn="0" w:lastColumn="0" w:oddVBand="0" w:evenVBand="0" w:oddHBand="0" w:evenHBand="0" w:firstRowFirstColumn="0" w:firstRowLastColumn="0" w:lastRowFirstColumn="0" w:lastRowLastColumn="0"/>
              <w:rPr>
                <w:rFonts w:eastAsia="Calibri"/>
                <w:b/>
                <w:vertAlign w:val="superscript"/>
              </w:rPr>
            </w:pPr>
            <w:r w:rsidRPr="000F23E0">
              <w:rPr>
                <w:rFonts w:eastAsia="Calibri"/>
                <w:b/>
              </w:rPr>
              <w:t xml:space="preserve">Total </w:t>
            </w:r>
            <w:r w:rsidR="002407D7" w:rsidRPr="000F23E0">
              <w:rPr>
                <w:rFonts w:eastAsia="Calibri"/>
                <w:b/>
              </w:rPr>
              <w:t>a</w:t>
            </w:r>
            <w:r w:rsidR="00FB51C7" w:rsidRPr="000F23E0">
              <w:rPr>
                <w:rFonts w:eastAsia="Calibri"/>
                <w:b/>
              </w:rPr>
              <w:t>llocation</w:t>
            </w:r>
            <w:r w:rsidR="00F2507A" w:rsidRPr="000F23E0">
              <w:rPr>
                <w:rFonts w:eastAsia="Calibri"/>
                <w:b/>
              </w:rPr>
              <w:t xml:space="preserve"> ($m)</w:t>
            </w:r>
          </w:p>
        </w:tc>
      </w:tr>
      <w:tr w:rsidR="00740BA0" w:rsidRPr="000F23E0" w14:paraId="69C65A46" w14:textId="7899D2D0" w:rsidTr="00740BA0">
        <w:trPr>
          <w:trHeight w:val="300"/>
        </w:trPr>
        <w:tc>
          <w:tcPr>
            <w:cnfStyle w:val="001000000000" w:firstRow="0" w:lastRow="0" w:firstColumn="1" w:lastColumn="0" w:oddVBand="0" w:evenVBand="0" w:oddHBand="0" w:evenHBand="0" w:firstRowFirstColumn="0" w:firstRowLastColumn="0" w:lastRowFirstColumn="0" w:lastRowLastColumn="0"/>
            <w:tcW w:w="691" w:type="pct"/>
            <w:vMerge w:val="restart"/>
            <w:tcBorders>
              <w:top w:val="single" w:sz="4" w:space="0" w:color="DFA795"/>
              <w:left w:val="nil"/>
              <w:right w:val="nil"/>
            </w:tcBorders>
            <w:shd w:val="clear" w:color="auto" w:fill="FAE5D4"/>
          </w:tcPr>
          <w:p w14:paraId="0764808F" w14:textId="77777777" w:rsidR="00C74D6F" w:rsidRPr="000F23E0" w:rsidRDefault="00C74D6F" w:rsidP="001A0ABB">
            <w:pPr>
              <w:pStyle w:val="TableColumnHeadingLeft"/>
              <w:rPr>
                <w:rFonts w:eastAsia="Calibri"/>
              </w:rPr>
            </w:pPr>
            <w:r w:rsidRPr="000F23E0">
              <w:rPr>
                <w:rFonts w:eastAsia="Calibri"/>
              </w:rPr>
              <w:t>Renewable energy</w:t>
            </w:r>
          </w:p>
        </w:tc>
        <w:tc>
          <w:tcPr>
            <w:tcW w:w="585" w:type="pct"/>
            <w:vMerge w:val="restart"/>
            <w:tcBorders>
              <w:top w:val="single" w:sz="4" w:space="0" w:color="DFA795"/>
              <w:left w:val="nil"/>
              <w:right w:val="nil"/>
            </w:tcBorders>
            <w:shd w:val="clear" w:color="auto" w:fill="FDF0E7"/>
          </w:tcPr>
          <w:p w14:paraId="13CE3B21" w14:textId="6EAB8CC5" w:rsidR="00C74D6F" w:rsidRPr="000F23E0" w:rsidRDefault="00445AD4" w:rsidP="001A0ABB">
            <w:pPr>
              <w:pStyle w:val="TableColumnHeadingLeft"/>
              <w:cnfStyle w:val="000000000000" w:firstRow="0" w:lastRow="0" w:firstColumn="0" w:lastColumn="0" w:oddVBand="0" w:evenVBand="0" w:oddHBand="0" w:evenHBand="0" w:firstRowFirstColumn="0" w:firstRowLastColumn="0" w:lastRowFirstColumn="0" w:lastRowLastColumn="0"/>
              <w:rPr>
                <w:rStyle w:val="Strong"/>
                <w:b/>
                <w:bCs w:val="0"/>
              </w:rPr>
            </w:pPr>
            <w:r w:rsidRPr="000F23E0">
              <w:rPr>
                <w:rStyle w:val="Strong"/>
                <w:b/>
                <w:bCs w:val="0"/>
              </w:rPr>
              <w:t>Climate change mitigation</w:t>
            </w:r>
          </w:p>
        </w:tc>
        <w:tc>
          <w:tcPr>
            <w:tcW w:w="742" w:type="pct"/>
            <w:tcBorders>
              <w:top w:val="single" w:sz="4" w:space="0" w:color="DFA795"/>
              <w:left w:val="nil"/>
              <w:bottom w:val="single" w:sz="4" w:space="0" w:color="DFA795"/>
              <w:right w:val="nil"/>
            </w:tcBorders>
            <w:shd w:val="clear" w:color="auto" w:fill="FEFAF8"/>
          </w:tcPr>
          <w:p w14:paraId="35A4B1C3" w14:textId="031B6140" w:rsidR="00C74D6F" w:rsidRPr="000F23E0" w:rsidRDefault="001C75D4" w:rsidP="00745CFC">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0F23E0">
              <w:t>CEFC Renewable Energy</w:t>
            </w:r>
            <w:r w:rsidR="006E5EF6" w:rsidRPr="000F23E0">
              <w:t> </w:t>
            </w:r>
            <w:r w:rsidRPr="000F23E0">
              <w:t xml:space="preserve">Investments </w:t>
            </w:r>
          </w:p>
        </w:tc>
        <w:tc>
          <w:tcPr>
            <w:tcW w:w="1040" w:type="pct"/>
            <w:tcBorders>
              <w:top w:val="single" w:sz="4" w:space="0" w:color="DFA795"/>
              <w:left w:val="nil"/>
              <w:bottom w:val="single" w:sz="4" w:space="0" w:color="DFA795"/>
              <w:right w:val="nil"/>
            </w:tcBorders>
            <w:shd w:val="clear" w:color="auto" w:fill="FEFAF8"/>
          </w:tcPr>
          <w:p w14:paraId="13D4065E" w14:textId="6992F880" w:rsidR="000C3111" w:rsidRPr="000F23E0" w:rsidRDefault="001C75D4" w:rsidP="00745CFC">
            <w:pPr>
              <w:pStyle w:val="TableColumnHeadingLeft"/>
              <w:cnfStyle w:val="000000000000" w:firstRow="0" w:lastRow="0" w:firstColumn="0" w:lastColumn="0" w:oddVBand="0" w:evenVBand="0" w:oddHBand="0" w:evenHBand="0" w:firstRowFirstColumn="0" w:firstRowLastColumn="0" w:lastRowFirstColumn="0" w:lastRowLastColumn="0"/>
              <w:rPr>
                <w:rFonts w:eastAsia="Calibri"/>
              </w:rPr>
            </w:pPr>
            <w:r w:rsidRPr="000F23E0">
              <w:drawing>
                <wp:inline distT="0" distB="0" distL="0" distR="0" wp14:anchorId="4654310C" wp14:editId="5A0D44F6">
                  <wp:extent cx="432000" cy="432000"/>
                  <wp:effectExtent l="0" t="0" r="6350" b="6350"/>
                  <wp:docPr id="722572195" name="Picture 722572195" descr="7 Affordable and Clean Energ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2572195" name="Picture 722572195" descr="7 Affordable and Clean Energy"/>
                          <pic:cNvPicPr preferRelativeResize="0"/>
                        </pic:nvPicPr>
                        <pic:blipFill>
                          <a:blip r:embed="rId31" cstate="print">
                            <a:extLst>
                              <a:ext uri="{28A0092B-C50C-407E-A947-70E740481C1C}">
                                <a14:useLocalDpi xmlns:a14="http://schemas.microsoft.com/office/drawing/2010/main" val="0"/>
                              </a:ext>
                            </a:extLst>
                          </a:blip>
                          <a:stretch>
                            <a:fillRect/>
                          </a:stretch>
                        </pic:blipFill>
                        <pic:spPr>
                          <a:xfrm>
                            <a:off x="0" y="0"/>
                            <a:ext cx="432000" cy="432000"/>
                          </a:xfrm>
                          <a:prstGeom prst="rect">
                            <a:avLst/>
                          </a:prstGeom>
                        </pic:spPr>
                      </pic:pic>
                    </a:graphicData>
                  </a:graphic>
                </wp:inline>
              </w:drawing>
            </w:r>
            <w:r w:rsidRPr="000F23E0">
              <w:drawing>
                <wp:inline distT="0" distB="0" distL="0" distR="0" wp14:anchorId="0D0169CE" wp14:editId="6D3309D6">
                  <wp:extent cx="432000" cy="432000"/>
                  <wp:effectExtent l="0" t="0" r="6350" b="6350"/>
                  <wp:docPr id="1542845014" name="Picture 1542845014" descr="9 Industry, Innovation and Infra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845014" name="Picture 1542845014" descr="9 Industry, Innovation and Infrastructur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32000" cy="432000"/>
                          </a:xfrm>
                          <a:prstGeom prst="rect">
                            <a:avLst/>
                          </a:prstGeom>
                        </pic:spPr>
                      </pic:pic>
                    </a:graphicData>
                  </a:graphic>
                </wp:inline>
              </w:drawing>
            </w:r>
            <w:r w:rsidRPr="000F23E0">
              <w:drawing>
                <wp:inline distT="0" distB="0" distL="0" distR="0" wp14:anchorId="08815204" wp14:editId="4785A5B6">
                  <wp:extent cx="432000" cy="432000"/>
                  <wp:effectExtent l="0" t="0" r="6350" b="6350"/>
                  <wp:docPr id="887290090" name="Picture 887290090" descr="13 Climate Ac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7290090" name="Picture 887290090" descr="13 Climate Action"/>
                          <pic:cNvPicPr preferRelativeResize="0"/>
                        </pic:nvPicPr>
                        <pic:blipFill>
                          <a:blip r:embed="rId33" cstate="print">
                            <a:extLst>
                              <a:ext uri="{28A0092B-C50C-407E-A947-70E740481C1C}">
                                <a14:useLocalDpi xmlns:a14="http://schemas.microsoft.com/office/drawing/2010/main" val="0"/>
                              </a:ext>
                            </a:extLst>
                          </a:blip>
                          <a:stretch>
                            <a:fillRect/>
                          </a:stretch>
                        </pic:blipFill>
                        <pic:spPr>
                          <a:xfrm>
                            <a:off x="0" y="0"/>
                            <a:ext cx="432000" cy="432000"/>
                          </a:xfrm>
                          <a:prstGeom prst="rect">
                            <a:avLst/>
                          </a:prstGeom>
                        </pic:spPr>
                      </pic:pic>
                    </a:graphicData>
                  </a:graphic>
                </wp:inline>
              </w:drawing>
            </w:r>
          </w:p>
        </w:tc>
        <w:tc>
          <w:tcPr>
            <w:tcW w:w="390" w:type="pct"/>
            <w:tcBorders>
              <w:top w:val="single" w:sz="4" w:space="0" w:color="DFA795"/>
              <w:left w:val="nil"/>
              <w:bottom w:val="single" w:sz="4" w:space="0" w:color="DFA795"/>
              <w:right w:val="nil"/>
            </w:tcBorders>
            <w:shd w:val="clear" w:color="auto" w:fill="FEFAF8"/>
          </w:tcPr>
          <w:p w14:paraId="26C3FE30" w14:textId="3C974330" w:rsidR="004E1334" w:rsidRPr="000F23E0" w:rsidRDefault="001C75D4" w:rsidP="00745CFC">
            <w:pPr>
              <w:pStyle w:val="TableTextRight"/>
              <w:cnfStyle w:val="000000000000" w:firstRow="0" w:lastRow="0" w:firstColumn="0" w:lastColumn="0" w:oddVBand="0" w:evenVBand="0" w:oddHBand="0" w:evenHBand="0" w:firstRowFirstColumn="0" w:firstRowLastColumn="0" w:lastRowFirstColumn="0" w:lastRowLastColumn="0"/>
              <w:rPr>
                <w:rFonts w:eastAsia="Calibri"/>
              </w:rPr>
            </w:pPr>
            <w:r w:rsidRPr="000F23E0">
              <w:rPr>
                <w:rFonts w:eastAsia="Calibri"/>
              </w:rPr>
              <w:t>422.1</w:t>
            </w:r>
          </w:p>
        </w:tc>
        <w:tc>
          <w:tcPr>
            <w:tcW w:w="390" w:type="pct"/>
            <w:tcBorders>
              <w:top w:val="single" w:sz="4" w:space="0" w:color="DFA795"/>
              <w:left w:val="nil"/>
              <w:bottom w:val="single" w:sz="4" w:space="0" w:color="DFA795"/>
              <w:right w:val="nil"/>
            </w:tcBorders>
            <w:shd w:val="clear" w:color="auto" w:fill="FEFAF8"/>
          </w:tcPr>
          <w:p w14:paraId="0E2832CE" w14:textId="11F94F66" w:rsidR="00C74D6F" w:rsidRPr="000F23E0" w:rsidRDefault="001C75D4" w:rsidP="00745CFC">
            <w:pPr>
              <w:pStyle w:val="TableTextRight"/>
              <w:cnfStyle w:val="000000000000" w:firstRow="0" w:lastRow="0" w:firstColumn="0" w:lastColumn="0" w:oddVBand="0" w:evenVBand="0" w:oddHBand="0" w:evenHBand="0" w:firstRowFirstColumn="0" w:firstRowLastColumn="0" w:lastRowFirstColumn="0" w:lastRowLastColumn="0"/>
              <w:rPr>
                <w:rFonts w:eastAsia="Calibri"/>
              </w:rPr>
            </w:pPr>
            <w:r w:rsidRPr="000F23E0">
              <w:rPr>
                <w:rFonts w:eastAsia="Calibri"/>
              </w:rPr>
              <w:t>422.1</w:t>
            </w:r>
          </w:p>
        </w:tc>
        <w:tc>
          <w:tcPr>
            <w:tcW w:w="388" w:type="pct"/>
            <w:tcBorders>
              <w:top w:val="single" w:sz="4" w:space="0" w:color="DFA795"/>
              <w:left w:val="nil"/>
              <w:bottom w:val="single" w:sz="4" w:space="0" w:color="DFA795"/>
              <w:right w:val="nil"/>
            </w:tcBorders>
            <w:shd w:val="clear" w:color="auto" w:fill="FEFAF8"/>
          </w:tcPr>
          <w:p w14:paraId="14EA3886" w14:textId="2467B00F" w:rsidR="00C74D6F" w:rsidRPr="000F23E0" w:rsidRDefault="001C75D4" w:rsidP="00745CFC">
            <w:pPr>
              <w:pStyle w:val="TableTextRight"/>
              <w:cnfStyle w:val="000000000000" w:firstRow="0" w:lastRow="0" w:firstColumn="0" w:lastColumn="0" w:oddVBand="0" w:evenVBand="0" w:oddHBand="0" w:evenHBand="0" w:firstRowFirstColumn="0" w:firstRowLastColumn="0" w:lastRowFirstColumn="0" w:lastRowLastColumn="0"/>
              <w:rPr>
                <w:rFonts w:eastAsia="Calibri"/>
              </w:rPr>
            </w:pPr>
            <w:r w:rsidRPr="000F23E0">
              <w:rPr>
                <w:rFonts w:eastAsia="Calibri"/>
              </w:rPr>
              <w:t>311.8</w:t>
            </w:r>
          </w:p>
        </w:tc>
        <w:tc>
          <w:tcPr>
            <w:tcW w:w="388" w:type="pct"/>
            <w:tcBorders>
              <w:top w:val="single" w:sz="4" w:space="0" w:color="DFA795"/>
              <w:left w:val="nil"/>
              <w:bottom w:val="single" w:sz="4" w:space="0" w:color="DFA795"/>
              <w:right w:val="nil"/>
            </w:tcBorders>
            <w:shd w:val="clear" w:color="auto" w:fill="FEFAF8"/>
          </w:tcPr>
          <w:p w14:paraId="788DF09E" w14:textId="38D9E52C" w:rsidR="00C74D6F" w:rsidRPr="000F23E0" w:rsidRDefault="001C75D4" w:rsidP="00745CFC">
            <w:pPr>
              <w:pStyle w:val="TableTextRight"/>
              <w:cnfStyle w:val="000000000000" w:firstRow="0" w:lastRow="0" w:firstColumn="0" w:lastColumn="0" w:oddVBand="0" w:evenVBand="0" w:oddHBand="0" w:evenHBand="0" w:firstRowFirstColumn="0" w:firstRowLastColumn="0" w:lastRowFirstColumn="0" w:lastRowLastColumn="0"/>
              <w:rPr>
                <w:rFonts w:eastAsia="Calibri"/>
              </w:rPr>
            </w:pPr>
            <w:r w:rsidRPr="000F23E0">
              <w:t>168.8</w:t>
            </w:r>
          </w:p>
        </w:tc>
        <w:tc>
          <w:tcPr>
            <w:tcW w:w="386" w:type="pct"/>
            <w:tcBorders>
              <w:top w:val="single" w:sz="4" w:space="0" w:color="DFA795"/>
              <w:left w:val="nil"/>
              <w:bottom w:val="single" w:sz="4" w:space="0" w:color="DFA795"/>
              <w:right w:val="nil"/>
            </w:tcBorders>
            <w:shd w:val="clear" w:color="auto" w:fill="FEFAF8"/>
          </w:tcPr>
          <w:p w14:paraId="32C8E4ED" w14:textId="1A39ABE4" w:rsidR="00C74D6F" w:rsidRPr="000F23E0" w:rsidRDefault="001C75D4" w:rsidP="00745CFC">
            <w:pPr>
              <w:pStyle w:val="TableTextRight"/>
              <w:cnfStyle w:val="000000000000" w:firstRow="0" w:lastRow="0" w:firstColumn="0" w:lastColumn="0" w:oddVBand="0" w:evenVBand="0" w:oddHBand="0" w:evenHBand="0" w:firstRowFirstColumn="0" w:firstRowLastColumn="0" w:lastRowFirstColumn="0" w:lastRowLastColumn="0"/>
              <w:rPr>
                <w:rFonts w:eastAsia="Calibri"/>
              </w:rPr>
            </w:pPr>
            <w:r w:rsidRPr="000F23E0">
              <w:t>590.9</w:t>
            </w:r>
          </w:p>
        </w:tc>
      </w:tr>
      <w:tr w:rsidR="006E5EF6" w:rsidRPr="000F23E0" w14:paraId="0CFE2682" w14:textId="33233386" w:rsidTr="00740BA0">
        <w:trPr>
          <w:trHeight w:val="816"/>
        </w:trPr>
        <w:tc>
          <w:tcPr>
            <w:cnfStyle w:val="001000000000" w:firstRow="0" w:lastRow="0" w:firstColumn="1" w:lastColumn="0" w:oddVBand="0" w:evenVBand="0" w:oddHBand="0" w:evenHBand="0" w:firstRowFirstColumn="0" w:firstRowLastColumn="0" w:lastRowFirstColumn="0" w:lastRowLastColumn="0"/>
            <w:tcW w:w="691" w:type="pct"/>
            <w:vMerge/>
            <w:tcBorders>
              <w:left w:val="nil"/>
              <w:right w:val="nil"/>
            </w:tcBorders>
            <w:shd w:val="clear" w:color="auto" w:fill="FAE5D4"/>
          </w:tcPr>
          <w:p w14:paraId="79822C55" w14:textId="77777777" w:rsidR="00C74D6F" w:rsidRPr="000F23E0" w:rsidRDefault="00C74D6F" w:rsidP="001A0ABB">
            <w:pPr>
              <w:pStyle w:val="TableColumnHeadingLeft"/>
              <w:rPr>
                <w:rFonts w:eastAsia="Calibri"/>
              </w:rPr>
            </w:pPr>
          </w:p>
        </w:tc>
        <w:tc>
          <w:tcPr>
            <w:tcW w:w="585" w:type="pct"/>
            <w:vMerge/>
            <w:tcBorders>
              <w:left w:val="nil"/>
              <w:right w:val="nil"/>
            </w:tcBorders>
            <w:shd w:val="clear" w:color="auto" w:fill="FDF0E7"/>
          </w:tcPr>
          <w:p w14:paraId="7B1C468C" w14:textId="77777777" w:rsidR="00C74D6F" w:rsidRPr="000F23E0" w:rsidRDefault="00C74D6F" w:rsidP="001A0ABB">
            <w:pPr>
              <w:pStyle w:val="TableColumnHeadingLeft"/>
              <w:cnfStyle w:val="000000000000" w:firstRow="0" w:lastRow="0" w:firstColumn="0" w:lastColumn="0" w:oddVBand="0" w:evenVBand="0" w:oddHBand="0" w:evenHBand="0" w:firstRowFirstColumn="0" w:firstRowLastColumn="0" w:lastRowFirstColumn="0" w:lastRowLastColumn="0"/>
              <w:rPr>
                <w:rStyle w:val="Strong"/>
                <w:b/>
                <w:bCs w:val="0"/>
              </w:rPr>
            </w:pPr>
          </w:p>
        </w:tc>
        <w:tc>
          <w:tcPr>
            <w:tcW w:w="742" w:type="pct"/>
            <w:tcBorders>
              <w:top w:val="single" w:sz="4" w:space="0" w:color="DFA795"/>
              <w:left w:val="nil"/>
              <w:bottom w:val="single" w:sz="4" w:space="0" w:color="DFA795"/>
              <w:right w:val="nil"/>
            </w:tcBorders>
            <w:shd w:val="clear" w:color="auto" w:fill="FEFAF8"/>
          </w:tcPr>
          <w:p w14:paraId="11EBB138" w14:textId="2AECBF49" w:rsidR="00C74D6F" w:rsidRPr="000F23E0" w:rsidRDefault="008144F8" w:rsidP="00745CFC">
            <w:pPr>
              <w:pStyle w:val="TableTextLeft"/>
              <w:cnfStyle w:val="000000000000" w:firstRow="0" w:lastRow="0" w:firstColumn="0" w:lastColumn="0" w:oddVBand="0" w:evenVBand="0" w:oddHBand="0" w:evenHBand="0" w:firstRowFirstColumn="0" w:firstRowLastColumn="0" w:lastRowFirstColumn="0" w:lastRowLastColumn="0"/>
            </w:pPr>
            <w:r w:rsidRPr="000F23E0">
              <w:t xml:space="preserve">Rewiring the Nation </w:t>
            </w:r>
          </w:p>
        </w:tc>
        <w:tc>
          <w:tcPr>
            <w:tcW w:w="1040" w:type="pct"/>
            <w:tcBorders>
              <w:top w:val="single" w:sz="4" w:space="0" w:color="DFA795"/>
              <w:left w:val="nil"/>
              <w:bottom w:val="single" w:sz="4" w:space="0" w:color="DFA795"/>
              <w:right w:val="nil"/>
            </w:tcBorders>
            <w:shd w:val="clear" w:color="auto" w:fill="FEFAF8"/>
          </w:tcPr>
          <w:p w14:paraId="63F0239B" w14:textId="2D4A3428" w:rsidR="000C3111" w:rsidRPr="000F23E0" w:rsidRDefault="00745CFC" w:rsidP="00745CFC">
            <w:pPr>
              <w:pStyle w:val="TableColumnHeadingLeft"/>
              <w:cnfStyle w:val="000000000000" w:firstRow="0" w:lastRow="0" w:firstColumn="0" w:lastColumn="0" w:oddVBand="0" w:evenVBand="0" w:oddHBand="0" w:evenHBand="0" w:firstRowFirstColumn="0" w:firstRowLastColumn="0" w:lastRowFirstColumn="0" w:lastRowLastColumn="0"/>
              <w:rPr>
                <w:rFonts w:eastAsia="Calibri"/>
              </w:rPr>
            </w:pPr>
            <w:r w:rsidRPr="000F23E0">
              <w:drawing>
                <wp:inline distT="0" distB="0" distL="0" distR="0" wp14:anchorId="12BFAC6A" wp14:editId="3FE4CC7D">
                  <wp:extent cx="432000" cy="432000"/>
                  <wp:effectExtent l="0" t="0" r="6350" b="6350"/>
                  <wp:docPr id="980353312" name="Picture 980353312" descr="7 Affordable and Clean Energ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2572195" name="Picture 722572195" descr="7 Affordable and Clean Energy"/>
                          <pic:cNvPicPr preferRelativeResize="0"/>
                        </pic:nvPicPr>
                        <pic:blipFill>
                          <a:blip r:embed="rId31" cstate="print">
                            <a:extLst>
                              <a:ext uri="{28A0092B-C50C-407E-A947-70E740481C1C}">
                                <a14:useLocalDpi xmlns:a14="http://schemas.microsoft.com/office/drawing/2010/main" val="0"/>
                              </a:ext>
                            </a:extLst>
                          </a:blip>
                          <a:stretch>
                            <a:fillRect/>
                          </a:stretch>
                        </pic:blipFill>
                        <pic:spPr>
                          <a:xfrm>
                            <a:off x="0" y="0"/>
                            <a:ext cx="432000" cy="432000"/>
                          </a:xfrm>
                          <a:prstGeom prst="rect">
                            <a:avLst/>
                          </a:prstGeom>
                        </pic:spPr>
                      </pic:pic>
                    </a:graphicData>
                  </a:graphic>
                </wp:inline>
              </w:drawing>
            </w:r>
            <w:r w:rsidRPr="000F23E0">
              <w:drawing>
                <wp:inline distT="0" distB="0" distL="0" distR="0" wp14:anchorId="41BC7BC1" wp14:editId="73813BEC">
                  <wp:extent cx="432000" cy="432000"/>
                  <wp:effectExtent l="0" t="0" r="6350" b="6350"/>
                  <wp:docPr id="378929034" name="Picture 378929034" descr="9 Industry, Innovation and Infra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845014" name="Picture 1542845014" descr="9 Industry, Innovation and Infrastructur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32000" cy="432000"/>
                          </a:xfrm>
                          <a:prstGeom prst="rect">
                            <a:avLst/>
                          </a:prstGeom>
                        </pic:spPr>
                      </pic:pic>
                    </a:graphicData>
                  </a:graphic>
                </wp:inline>
              </w:drawing>
            </w:r>
            <w:r w:rsidRPr="000F23E0">
              <w:drawing>
                <wp:inline distT="0" distB="0" distL="0" distR="0" wp14:anchorId="33341FA9" wp14:editId="1D44CD35">
                  <wp:extent cx="432000" cy="432000"/>
                  <wp:effectExtent l="0" t="0" r="6350" b="6350"/>
                  <wp:docPr id="1039958544" name="Picture 1039958544" descr="13 Climate Ac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7290090" name="Picture 887290090" descr="13 Climate Action"/>
                          <pic:cNvPicPr preferRelativeResize="0"/>
                        </pic:nvPicPr>
                        <pic:blipFill>
                          <a:blip r:embed="rId33" cstate="print">
                            <a:extLst>
                              <a:ext uri="{28A0092B-C50C-407E-A947-70E740481C1C}">
                                <a14:useLocalDpi xmlns:a14="http://schemas.microsoft.com/office/drawing/2010/main" val="0"/>
                              </a:ext>
                            </a:extLst>
                          </a:blip>
                          <a:stretch>
                            <a:fillRect/>
                          </a:stretch>
                        </pic:blipFill>
                        <pic:spPr>
                          <a:xfrm>
                            <a:off x="0" y="0"/>
                            <a:ext cx="432000" cy="432000"/>
                          </a:xfrm>
                          <a:prstGeom prst="rect">
                            <a:avLst/>
                          </a:prstGeom>
                        </pic:spPr>
                      </pic:pic>
                    </a:graphicData>
                  </a:graphic>
                </wp:inline>
              </w:drawing>
            </w:r>
          </w:p>
        </w:tc>
        <w:tc>
          <w:tcPr>
            <w:tcW w:w="390" w:type="pct"/>
            <w:tcBorders>
              <w:top w:val="single" w:sz="4" w:space="0" w:color="DFA795"/>
              <w:left w:val="nil"/>
              <w:bottom w:val="single" w:sz="4" w:space="0" w:color="DFA795"/>
              <w:right w:val="nil"/>
            </w:tcBorders>
            <w:shd w:val="clear" w:color="auto" w:fill="FEFAF8"/>
          </w:tcPr>
          <w:p w14:paraId="5627B9BA" w14:textId="11D9328E" w:rsidR="004E1334" w:rsidRPr="000F23E0" w:rsidRDefault="008144F8" w:rsidP="00745CFC">
            <w:pPr>
              <w:pStyle w:val="TableTextRight"/>
              <w:cnfStyle w:val="000000000000" w:firstRow="0" w:lastRow="0" w:firstColumn="0" w:lastColumn="0" w:oddVBand="0" w:evenVBand="0" w:oddHBand="0" w:evenHBand="0" w:firstRowFirstColumn="0" w:firstRowLastColumn="0" w:lastRowFirstColumn="0" w:lastRowLastColumn="0"/>
              <w:rPr>
                <w:rFonts w:eastAsia="Calibri"/>
              </w:rPr>
            </w:pPr>
            <w:r w:rsidRPr="000F23E0">
              <w:rPr>
                <w:rFonts w:eastAsia="Calibri"/>
              </w:rPr>
              <w:t>5.0</w:t>
            </w:r>
          </w:p>
        </w:tc>
        <w:tc>
          <w:tcPr>
            <w:tcW w:w="390" w:type="pct"/>
            <w:tcBorders>
              <w:top w:val="single" w:sz="4" w:space="0" w:color="DFA795"/>
              <w:left w:val="nil"/>
              <w:bottom w:val="single" w:sz="4" w:space="0" w:color="DFA795"/>
              <w:right w:val="nil"/>
            </w:tcBorders>
            <w:shd w:val="clear" w:color="auto" w:fill="FEFAF8"/>
          </w:tcPr>
          <w:p w14:paraId="7A7E94EB" w14:textId="54752403" w:rsidR="00C74D6F" w:rsidRPr="000F23E0" w:rsidRDefault="008144F8" w:rsidP="00745CFC">
            <w:pPr>
              <w:pStyle w:val="TableTextRight"/>
              <w:cnfStyle w:val="000000000000" w:firstRow="0" w:lastRow="0" w:firstColumn="0" w:lastColumn="0" w:oddVBand="0" w:evenVBand="0" w:oddHBand="0" w:evenHBand="0" w:firstRowFirstColumn="0" w:firstRowLastColumn="0" w:lastRowFirstColumn="0" w:lastRowLastColumn="0"/>
              <w:rPr>
                <w:rFonts w:eastAsia="Calibri"/>
              </w:rPr>
            </w:pPr>
            <w:r w:rsidRPr="000F23E0">
              <w:rPr>
                <w:rFonts w:eastAsia="Calibri"/>
              </w:rPr>
              <w:t>5.0</w:t>
            </w:r>
          </w:p>
        </w:tc>
        <w:tc>
          <w:tcPr>
            <w:tcW w:w="388" w:type="pct"/>
            <w:tcBorders>
              <w:top w:val="single" w:sz="4" w:space="0" w:color="DFA795"/>
              <w:left w:val="nil"/>
              <w:bottom w:val="single" w:sz="4" w:space="0" w:color="DFA795"/>
              <w:right w:val="nil"/>
            </w:tcBorders>
            <w:shd w:val="clear" w:color="auto" w:fill="FEFAF8"/>
          </w:tcPr>
          <w:p w14:paraId="6054805D" w14:textId="2CF36A4C" w:rsidR="00C74D6F" w:rsidRPr="000F23E0" w:rsidRDefault="008144F8" w:rsidP="00745CFC">
            <w:pPr>
              <w:pStyle w:val="TableTextRight"/>
              <w:cnfStyle w:val="000000000000" w:firstRow="0" w:lastRow="0" w:firstColumn="0" w:lastColumn="0" w:oddVBand="0" w:evenVBand="0" w:oddHBand="0" w:evenHBand="0" w:firstRowFirstColumn="0" w:firstRowLastColumn="0" w:lastRowFirstColumn="0" w:lastRowLastColumn="0"/>
              <w:rPr>
                <w:rFonts w:eastAsia="Calibri"/>
              </w:rPr>
            </w:pPr>
            <w:r w:rsidRPr="000F23E0">
              <w:rPr>
                <w:rFonts w:eastAsia="Calibri"/>
              </w:rPr>
              <w:t>1,515.0</w:t>
            </w:r>
          </w:p>
        </w:tc>
        <w:tc>
          <w:tcPr>
            <w:tcW w:w="388" w:type="pct"/>
            <w:tcBorders>
              <w:top w:val="single" w:sz="4" w:space="0" w:color="DFA795"/>
              <w:left w:val="nil"/>
              <w:bottom w:val="single" w:sz="4" w:space="0" w:color="DFA795"/>
              <w:right w:val="nil"/>
            </w:tcBorders>
            <w:shd w:val="clear" w:color="auto" w:fill="FEFAF8"/>
          </w:tcPr>
          <w:p w14:paraId="345CB096" w14:textId="1141ABF8" w:rsidR="00C74D6F" w:rsidRPr="000F23E0" w:rsidRDefault="008144F8" w:rsidP="00745CFC">
            <w:pPr>
              <w:pStyle w:val="TableTextRight"/>
              <w:cnfStyle w:val="000000000000" w:firstRow="0" w:lastRow="0" w:firstColumn="0" w:lastColumn="0" w:oddVBand="0" w:evenVBand="0" w:oddHBand="0" w:evenHBand="0" w:firstRowFirstColumn="0" w:firstRowLastColumn="0" w:lastRowFirstColumn="0" w:lastRowLastColumn="0"/>
              <w:rPr>
                <w:rFonts w:eastAsia="Calibri"/>
              </w:rPr>
            </w:pPr>
            <w:r w:rsidRPr="000F23E0">
              <w:rPr>
                <w:rFonts w:eastAsia="Calibri"/>
              </w:rPr>
              <w:t>820.0</w:t>
            </w:r>
          </w:p>
        </w:tc>
        <w:tc>
          <w:tcPr>
            <w:tcW w:w="386" w:type="pct"/>
            <w:tcBorders>
              <w:top w:val="single" w:sz="4" w:space="0" w:color="DFA795"/>
              <w:left w:val="nil"/>
              <w:bottom w:val="single" w:sz="4" w:space="0" w:color="DFA795"/>
              <w:right w:val="nil"/>
            </w:tcBorders>
            <w:shd w:val="clear" w:color="auto" w:fill="FEFAF8"/>
          </w:tcPr>
          <w:p w14:paraId="7EAC7479" w14:textId="1F6F1214" w:rsidR="00C74D6F" w:rsidRPr="000F23E0" w:rsidRDefault="008144F8" w:rsidP="00745CFC">
            <w:pPr>
              <w:pStyle w:val="TableTextRight"/>
              <w:cnfStyle w:val="000000000000" w:firstRow="0" w:lastRow="0" w:firstColumn="0" w:lastColumn="0" w:oddVBand="0" w:evenVBand="0" w:oddHBand="0" w:evenHBand="0" w:firstRowFirstColumn="0" w:firstRowLastColumn="0" w:lastRowFirstColumn="0" w:lastRowLastColumn="0"/>
            </w:pPr>
            <w:r w:rsidRPr="000F23E0">
              <w:rPr>
                <w:rFonts w:eastAsia="Calibri"/>
              </w:rPr>
              <w:t>825.0</w:t>
            </w:r>
          </w:p>
        </w:tc>
      </w:tr>
      <w:tr w:rsidR="006E5EF6" w:rsidRPr="000F23E0" w14:paraId="57DC7BE6" w14:textId="2C6C614B" w:rsidTr="00740BA0">
        <w:trPr>
          <w:trHeight w:val="300"/>
        </w:trPr>
        <w:tc>
          <w:tcPr>
            <w:cnfStyle w:val="001000000000" w:firstRow="0" w:lastRow="0" w:firstColumn="1" w:lastColumn="0" w:oddVBand="0" w:evenVBand="0" w:oddHBand="0" w:evenHBand="0" w:firstRowFirstColumn="0" w:firstRowLastColumn="0" w:lastRowFirstColumn="0" w:lastRowLastColumn="0"/>
            <w:tcW w:w="691" w:type="pct"/>
            <w:vMerge/>
            <w:tcBorders>
              <w:left w:val="nil"/>
              <w:right w:val="nil"/>
            </w:tcBorders>
            <w:shd w:val="clear" w:color="auto" w:fill="FAE5D4"/>
          </w:tcPr>
          <w:p w14:paraId="3F3C57C6" w14:textId="77777777" w:rsidR="00C74D6F" w:rsidRPr="000F23E0" w:rsidRDefault="00C74D6F" w:rsidP="001A0ABB">
            <w:pPr>
              <w:pStyle w:val="TableColumnHeadingLeft"/>
              <w:rPr>
                <w:rFonts w:eastAsia="Calibri"/>
              </w:rPr>
            </w:pPr>
          </w:p>
        </w:tc>
        <w:tc>
          <w:tcPr>
            <w:tcW w:w="585" w:type="pct"/>
            <w:vMerge/>
            <w:tcBorders>
              <w:left w:val="nil"/>
              <w:right w:val="nil"/>
            </w:tcBorders>
            <w:shd w:val="clear" w:color="auto" w:fill="FDF0E7"/>
          </w:tcPr>
          <w:p w14:paraId="50495FF5" w14:textId="77777777" w:rsidR="00C74D6F" w:rsidRPr="000F23E0" w:rsidRDefault="00C74D6F" w:rsidP="001A0ABB">
            <w:pPr>
              <w:pStyle w:val="TableColumnHeadingLeft"/>
              <w:cnfStyle w:val="000000000000" w:firstRow="0" w:lastRow="0" w:firstColumn="0" w:lastColumn="0" w:oddVBand="0" w:evenVBand="0" w:oddHBand="0" w:evenHBand="0" w:firstRowFirstColumn="0" w:firstRowLastColumn="0" w:lastRowFirstColumn="0" w:lastRowLastColumn="0"/>
              <w:rPr>
                <w:rStyle w:val="Strong"/>
                <w:b/>
                <w:bCs w:val="0"/>
              </w:rPr>
            </w:pPr>
          </w:p>
        </w:tc>
        <w:tc>
          <w:tcPr>
            <w:tcW w:w="742" w:type="pct"/>
            <w:tcBorders>
              <w:top w:val="single" w:sz="4" w:space="0" w:color="DFA795"/>
              <w:left w:val="nil"/>
              <w:bottom w:val="single" w:sz="4" w:space="0" w:color="DFA795"/>
              <w:right w:val="nil"/>
            </w:tcBorders>
            <w:shd w:val="clear" w:color="auto" w:fill="FEFAF8"/>
          </w:tcPr>
          <w:p w14:paraId="09002EDC" w14:textId="574B26F3" w:rsidR="00C74D6F" w:rsidRPr="000F23E0" w:rsidRDefault="00E72D99" w:rsidP="00745CFC">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0F23E0">
              <w:t>Snowy Hydro Limited</w:t>
            </w:r>
          </w:p>
        </w:tc>
        <w:tc>
          <w:tcPr>
            <w:tcW w:w="1040" w:type="pct"/>
            <w:tcBorders>
              <w:top w:val="single" w:sz="4" w:space="0" w:color="DFA795"/>
              <w:left w:val="nil"/>
              <w:bottom w:val="single" w:sz="4" w:space="0" w:color="DFA795"/>
              <w:right w:val="nil"/>
            </w:tcBorders>
            <w:shd w:val="clear" w:color="auto" w:fill="FEFAF8"/>
          </w:tcPr>
          <w:p w14:paraId="5BD3089D" w14:textId="3544670B" w:rsidR="000C3111" w:rsidRPr="000F23E0" w:rsidRDefault="00745CFC" w:rsidP="00745CFC">
            <w:pPr>
              <w:pStyle w:val="TableColumnHeadingLeft"/>
              <w:cnfStyle w:val="000000000000" w:firstRow="0" w:lastRow="0" w:firstColumn="0" w:lastColumn="0" w:oddVBand="0" w:evenVBand="0" w:oddHBand="0" w:evenHBand="0" w:firstRowFirstColumn="0" w:firstRowLastColumn="0" w:lastRowFirstColumn="0" w:lastRowLastColumn="0"/>
              <w:rPr>
                <w:rFonts w:eastAsia="Calibri"/>
              </w:rPr>
            </w:pPr>
            <w:r w:rsidRPr="000F23E0">
              <w:drawing>
                <wp:inline distT="0" distB="0" distL="0" distR="0" wp14:anchorId="4AAA7F28" wp14:editId="4C420EF6">
                  <wp:extent cx="432000" cy="432000"/>
                  <wp:effectExtent l="0" t="0" r="6350" b="6350"/>
                  <wp:docPr id="568648839" name="Picture 568648839" descr="7 Affordable and Clean Energ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2572195" name="Picture 722572195" descr="7 Affordable and Clean Energy"/>
                          <pic:cNvPicPr preferRelativeResize="0"/>
                        </pic:nvPicPr>
                        <pic:blipFill>
                          <a:blip r:embed="rId31" cstate="print">
                            <a:extLst>
                              <a:ext uri="{28A0092B-C50C-407E-A947-70E740481C1C}">
                                <a14:useLocalDpi xmlns:a14="http://schemas.microsoft.com/office/drawing/2010/main" val="0"/>
                              </a:ext>
                            </a:extLst>
                          </a:blip>
                          <a:stretch>
                            <a:fillRect/>
                          </a:stretch>
                        </pic:blipFill>
                        <pic:spPr>
                          <a:xfrm>
                            <a:off x="0" y="0"/>
                            <a:ext cx="432000" cy="432000"/>
                          </a:xfrm>
                          <a:prstGeom prst="rect">
                            <a:avLst/>
                          </a:prstGeom>
                        </pic:spPr>
                      </pic:pic>
                    </a:graphicData>
                  </a:graphic>
                </wp:inline>
              </w:drawing>
            </w:r>
            <w:r w:rsidRPr="000F23E0">
              <w:drawing>
                <wp:inline distT="0" distB="0" distL="0" distR="0" wp14:anchorId="78018EC7" wp14:editId="768E4D8D">
                  <wp:extent cx="432000" cy="432000"/>
                  <wp:effectExtent l="0" t="0" r="6350" b="6350"/>
                  <wp:docPr id="1542821831" name="Picture 1542821831" descr="13 Climate Ac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7290090" name="Picture 887290090" descr="13 Climate Action"/>
                          <pic:cNvPicPr preferRelativeResize="0"/>
                        </pic:nvPicPr>
                        <pic:blipFill>
                          <a:blip r:embed="rId33" cstate="print">
                            <a:extLst>
                              <a:ext uri="{28A0092B-C50C-407E-A947-70E740481C1C}">
                                <a14:useLocalDpi xmlns:a14="http://schemas.microsoft.com/office/drawing/2010/main" val="0"/>
                              </a:ext>
                            </a:extLst>
                          </a:blip>
                          <a:stretch>
                            <a:fillRect/>
                          </a:stretch>
                        </pic:blipFill>
                        <pic:spPr>
                          <a:xfrm>
                            <a:off x="0" y="0"/>
                            <a:ext cx="432000" cy="432000"/>
                          </a:xfrm>
                          <a:prstGeom prst="rect">
                            <a:avLst/>
                          </a:prstGeom>
                        </pic:spPr>
                      </pic:pic>
                    </a:graphicData>
                  </a:graphic>
                </wp:inline>
              </w:drawing>
            </w:r>
          </w:p>
        </w:tc>
        <w:tc>
          <w:tcPr>
            <w:tcW w:w="390" w:type="pct"/>
            <w:tcBorders>
              <w:top w:val="single" w:sz="4" w:space="0" w:color="DFA795"/>
              <w:left w:val="nil"/>
              <w:bottom w:val="single" w:sz="4" w:space="0" w:color="DFA795"/>
              <w:right w:val="nil"/>
            </w:tcBorders>
            <w:shd w:val="clear" w:color="auto" w:fill="FEFAF8"/>
          </w:tcPr>
          <w:p w14:paraId="098FFD89" w14:textId="514DD4C8" w:rsidR="004E1334" w:rsidRPr="000F23E0" w:rsidRDefault="00E72D99" w:rsidP="00745CFC">
            <w:pPr>
              <w:pStyle w:val="TableTextRight"/>
              <w:cnfStyle w:val="000000000000" w:firstRow="0" w:lastRow="0" w:firstColumn="0" w:lastColumn="0" w:oddVBand="0" w:evenVBand="0" w:oddHBand="0" w:evenHBand="0" w:firstRowFirstColumn="0" w:firstRowLastColumn="0" w:lastRowFirstColumn="0" w:lastRowLastColumn="0"/>
              <w:rPr>
                <w:rFonts w:eastAsia="Calibri"/>
              </w:rPr>
            </w:pPr>
            <w:r w:rsidRPr="000F23E0">
              <w:rPr>
                <w:rFonts w:eastAsia="Calibri"/>
              </w:rPr>
              <w:t>-</w:t>
            </w:r>
          </w:p>
        </w:tc>
        <w:tc>
          <w:tcPr>
            <w:tcW w:w="390" w:type="pct"/>
            <w:tcBorders>
              <w:top w:val="single" w:sz="4" w:space="0" w:color="DFA795"/>
              <w:left w:val="nil"/>
              <w:bottom w:val="single" w:sz="4" w:space="0" w:color="DFA795"/>
              <w:right w:val="nil"/>
            </w:tcBorders>
            <w:shd w:val="clear" w:color="auto" w:fill="FEFAF8"/>
          </w:tcPr>
          <w:p w14:paraId="288D87CE" w14:textId="4CF8121E" w:rsidR="00C74D6F" w:rsidRPr="000F23E0" w:rsidRDefault="00E72D99" w:rsidP="00745CFC">
            <w:pPr>
              <w:pStyle w:val="TableTextRight"/>
              <w:cnfStyle w:val="000000000000" w:firstRow="0" w:lastRow="0" w:firstColumn="0" w:lastColumn="0" w:oddVBand="0" w:evenVBand="0" w:oddHBand="0" w:evenHBand="0" w:firstRowFirstColumn="0" w:firstRowLastColumn="0" w:lastRowFirstColumn="0" w:lastRowLastColumn="0"/>
              <w:rPr>
                <w:rFonts w:eastAsia="Calibri"/>
              </w:rPr>
            </w:pPr>
            <w:r w:rsidRPr="000F23E0">
              <w:rPr>
                <w:rFonts w:eastAsia="Calibri"/>
              </w:rPr>
              <w:t>-</w:t>
            </w:r>
          </w:p>
        </w:tc>
        <w:tc>
          <w:tcPr>
            <w:tcW w:w="388" w:type="pct"/>
            <w:tcBorders>
              <w:top w:val="single" w:sz="4" w:space="0" w:color="DFA795"/>
              <w:left w:val="nil"/>
              <w:bottom w:val="single" w:sz="4" w:space="0" w:color="DFA795"/>
              <w:right w:val="nil"/>
            </w:tcBorders>
            <w:shd w:val="clear" w:color="auto" w:fill="FEFAF8"/>
          </w:tcPr>
          <w:p w14:paraId="6E5C687F" w14:textId="07176D02" w:rsidR="00C74D6F" w:rsidRPr="000F23E0" w:rsidRDefault="00E72D99" w:rsidP="00745CFC">
            <w:pPr>
              <w:pStyle w:val="TableTextRight"/>
              <w:cnfStyle w:val="000000000000" w:firstRow="0" w:lastRow="0" w:firstColumn="0" w:lastColumn="0" w:oddVBand="0" w:evenVBand="0" w:oddHBand="0" w:evenHBand="0" w:firstRowFirstColumn="0" w:firstRowLastColumn="0" w:lastRowFirstColumn="0" w:lastRowLastColumn="0"/>
              <w:rPr>
                <w:rFonts w:eastAsia="Calibri"/>
              </w:rPr>
            </w:pPr>
            <w:r w:rsidRPr="000F23E0">
              <w:rPr>
                <w:rFonts w:eastAsia="Calibri"/>
              </w:rPr>
              <w:t>150.0</w:t>
            </w:r>
          </w:p>
        </w:tc>
        <w:tc>
          <w:tcPr>
            <w:tcW w:w="388" w:type="pct"/>
            <w:tcBorders>
              <w:top w:val="single" w:sz="4" w:space="0" w:color="DFA795"/>
              <w:left w:val="nil"/>
              <w:bottom w:val="single" w:sz="4" w:space="0" w:color="DFA795"/>
              <w:right w:val="nil"/>
            </w:tcBorders>
            <w:shd w:val="clear" w:color="auto" w:fill="FEFAF8"/>
          </w:tcPr>
          <w:p w14:paraId="46D07BFF" w14:textId="0A554C77" w:rsidR="00C74D6F" w:rsidRPr="000F23E0" w:rsidRDefault="00E72D99" w:rsidP="00745CFC">
            <w:pPr>
              <w:pStyle w:val="TableTextRight"/>
              <w:cnfStyle w:val="000000000000" w:firstRow="0" w:lastRow="0" w:firstColumn="0" w:lastColumn="0" w:oddVBand="0" w:evenVBand="0" w:oddHBand="0" w:evenHBand="0" w:firstRowFirstColumn="0" w:firstRowLastColumn="0" w:lastRowFirstColumn="0" w:lastRowLastColumn="0"/>
              <w:rPr>
                <w:rFonts w:eastAsia="Calibri"/>
              </w:rPr>
            </w:pPr>
            <w:r w:rsidRPr="000F23E0">
              <w:t>81.2</w:t>
            </w:r>
          </w:p>
        </w:tc>
        <w:tc>
          <w:tcPr>
            <w:tcW w:w="386" w:type="pct"/>
            <w:tcBorders>
              <w:top w:val="single" w:sz="4" w:space="0" w:color="DFA795"/>
              <w:left w:val="nil"/>
              <w:bottom w:val="single" w:sz="4" w:space="0" w:color="DFA795"/>
              <w:right w:val="nil"/>
            </w:tcBorders>
            <w:shd w:val="clear" w:color="auto" w:fill="FEFAF8"/>
          </w:tcPr>
          <w:p w14:paraId="51A50612" w14:textId="496CAF71" w:rsidR="00C74D6F" w:rsidRPr="000F23E0" w:rsidRDefault="00E72D99" w:rsidP="00745CFC">
            <w:pPr>
              <w:pStyle w:val="TableTextRight"/>
              <w:cnfStyle w:val="000000000000" w:firstRow="0" w:lastRow="0" w:firstColumn="0" w:lastColumn="0" w:oddVBand="0" w:evenVBand="0" w:oddHBand="0" w:evenHBand="0" w:firstRowFirstColumn="0" w:firstRowLastColumn="0" w:lastRowFirstColumn="0" w:lastRowLastColumn="0"/>
            </w:pPr>
            <w:r w:rsidRPr="000F23E0">
              <w:t>81.2</w:t>
            </w:r>
          </w:p>
        </w:tc>
      </w:tr>
      <w:tr w:rsidR="006E5EF6" w:rsidRPr="000F23E0" w14:paraId="5FF8237F" w14:textId="249AA272" w:rsidTr="00740BA0">
        <w:trPr>
          <w:trHeight w:val="300"/>
        </w:trPr>
        <w:tc>
          <w:tcPr>
            <w:cnfStyle w:val="001000000000" w:firstRow="0" w:lastRow="0" w:firstColumn="1" w:lastColumn="0" w:oddVBand="0" w:evenVBand="0" w:oddHBand="0" w:evenHBand="0" w:firstRowFirstColumn="0" w:firstRowLastColumn="0" w:lastRowFirstColumn="0" w:lastRowLastColumn="0"/>
            <w:tcW w:w="691" w:type="pct"/>
            <w:vMerge/>
            <w:tcBorders>
              <w:left w:val="nil"/>
              <w:right w:val="nil"/>
            </w:tcBorders>
            <w:shd w:val="clear" w:color="auto" w:fill="FAE5D4"/>
          </w:tcPr>
          <w:p w14:paraId="471A5CE6" w14:textId="77777777" w:rsidR="00C74D6F" w:rsidRPr="000F23E0" w:rsidRDefault="00C74D6F" w:rsidP="001A0ABB">
            <w:pPr>
              <w:pStyle w:val="TableColumnHeadingLeft"/>
              <w:rPr>
                <w:rFonts w:eastAsia="Calibri"/>
              </w:rPr>
            </w:pPr>
          </w:p>
        </w:tc>
        <w:tc>
          <w:tcPr>
            <w:tcW w:w="585" w:type="pct"/>
            <w:vMerge/>
            <w:tcBorders>
              <w:left w:val="nil"/>
              <w:right w:val="nil"/>
            </w:tcBorders>
            <w:shd w:val="clear" w:color="auto" w:fill="FDF0E7"/>
          </w:tcPr>
          <w:p w14:paraId="1A52B801" w14:textId="77777777" w:rsidR="00C74D6F" w:rsidRPr="000F23E0" w:rsidRDefault="00C74D6F" w:rsidP="001A0ABB">
            <w:pPr>
              <w:pStyle w:val="TableColumnHeadingLeft"/>
              <w:cnfStyle w:val="000000000000" w:firstRow="0" w:lastRow="0" w:firstColumn="0" w:lastColumn="0" w:oddVBand="0" w:evenVBand="0" w:oddHBand="0" w:evenHBand="0" w:firstRowFirstColumn="0" w:firstRowLastColumn="0" w:lastRowFirstColumn="0" w:lastRowLastColumn="0"/>
              <w:rPr>
                <w:rStyle w:val="Strong"/>
                <w:b/>
                <w:bCs w:val="0"/>
              </w:rPr>
            </w:pPr>
          </w:p>
        </w:tc>
        <w:tc>
          <w:tcPr>
            <w:tcW w:w="742" w:type="pct"/>
            <w:tcBorders>
              <w:top w:val="single" w:sz="4" w:space="0" w:color="DFA795"/>
              <w:left w:val="nil"/>
              <w:bottom w:val="single" w:sz="4" w:space="0" w:color="DFA795"/>
              <w:right w:val="nil"/>
            </w:tcBorders>
            <w:shd w:val="clear" w:color="auto" w:fill="FEFAF8"/>
          </w:tcPr>
          <w:p w14:paraId="596AD059" w14:textId="46444166" w:rsidR="00C74D6F" w:rsidRPr="000F23E0" w:rsidRDefault="00393957" w:rsidP="00745CFC">
            <w:pPr>
              <w:pStyle w:val="TableTextLeft"/>
              <w:cnfStyle w:val="000000000000" w:firstRow="0" w:lastRow="0" w:firstColumn="0" w:lastColumn="0" w:oddVBand="0" w:evenVBand="0" w:oddHBand="0" w:evenHBand="0" w:firstRowFirstColumn="0" w:firstRowLastColumn="0" w:lastRowFirstColumn="0" w:lastRowLastColumn="0"/>
            </w:pPr>
            <w:r w:rsidRPr="000F23E0">
              <w:t>Regional Hydrogen Hubs</w:t>
            </w:r>
          </w:p>
        </w:tc>
        <w:tc>
          <w:tcPr>
            <w:tcW w:w="1040" w:type="pct"/>
            <w:tcBorders>
              <w:top w:val="single" w:sz="4" w:space="0" w:color="DFA795"/>
              <w:left w:val="nil"/>
              <w:bottom w:val="single" w:sz="4" w:space="0" w:color="DFA795"/>
              <w:right w:val="nil"/>
            </w:tcBorders>
            <w:shd w:val="clear" w:color="auto" w:fill="FEFAF8"/>
          </w:tcPr>
          <w:p w14:paraId="21432187" w14:textId="0C044E21" w:rsidR="000C3111" w:rsidRPr="000F23E0" w:rsidRDefault="00745CFC" w:rsidP="00745CFC">
            <w:pPr>
              <w:pStyle w:val="TableColumnHeadingLeft"/>
              <w:cnfStyle w:val="000000000000" w:firstRow="0" w:lastRow="0" w:firstColumn="0" w:lastColumn="0" w:oddVBand="0" w:evenVBand="0" w:oddHBand="0" w:evenHBand="0" w:firstRowFirstColumn="0" w:firstRowLastColumn="0" w:lastRowFirstColumn="0" w:lastRowLastColumn="0"/>
              <w:rPr>
                <w:rFonts w:eastAsia="Calibri"/>
              </w:rPr>
            </w:pPr>
            <w:r w:rsidRPr="000F23E0">
              <w:drawing>
                <wp:inline distT="0" distB="0" distL="0" distR="0" wp14:anchorId="2E3071D0" wp14:editId="516A5010">
                  <wp:extent cx="432000" cy="432000"/>
                  <wp:effectExtent l="0" t="0" r="6350" b="6350"/>
                  <wp:docPr id="1212092141" name="Picture 1212092141" descr="7 Affordable and Clean Energ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2572195" name="Picture 722572195" descr="7 Affordable and Clean Energy"/>
                          <pic:cNvPicPr preferRelativeResize="0"/>
                        </pic:nvPicPr>
                        <pic:blipFill>
                          <a:blip r:embed="rId31" cstate="print">
                            <a:extLst>
                              <a:ext uri="{28A0092B-C50C-407E-A947-70E740481C1C}">
                                <a14:useLocalDpi xmlns:a14="http://schemas.microsoft.com/office/drawing/2010/main" val="0"/>
                              </a:ext>
                            </a:extLst>
                          </a:blip>
                          <a:stretch>
                            <a:fillRect/>
                          </a:stretch>
                        </pic:blipFill>
                        <pic:spPr>
                          <a:xfrm>
                            <a:off x="0" y="0"/>
                            <a:ext cx="432000" cy="432000"/>
                          </a:xfrm>
                          <a:prstGeom prst="rect">
                            <a:avLst/>
                          </a:prstGeom>
                        </pic:spPr>
                      </pic:pic>
                    </a:graphicData>
                  </a:graphic>
                </wp:inline>
              </w:drawing>
            </w:r>
            <w:r w:rsidRPr="000F23E0">
              <w:drawing>
                <wp:inline distT="0" distB="0" distL="0" distR="0" wp14:anchorId="579BBE9E" wp14:editId="39DF952A">
                  <wp:extent cx="432000" cy="432000"/>
                  <wp:effectExtent l="0" t="0" r="6350" b="6350"/>
                  <wp:docPr id="273688179" name="Picture 273688179" descr="13 Climate Ac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7290090" name="Picture 887290090" descr="13 Climate Action"/>
                          <pic:cNvPicPr preferRelativeResize="0"/>
                        </pic:nvPicPr>
                        <pic:blipFill>
                          <a:blip r:embed="rId33" cstate="print">
                            <a:extLst>
                              <a:ext uri="{28A0092B-C50C-407E-A947-70E740481C1C}">
                                <a14:useLocalDpi xmlns:a14="http://schemas.microsoft.com/office/drawing/2010/main" val="0"/>
                              </a:ext>
                            </a:extLst>
                          </a:blip>
                          <a:stretch>
                            <a:fillRect/>
                          </a:stretch>
                        </pic:blipFill>
                        <pic:spPr>
                          <a:xfrm>
                            <a:off x="0" y="0"/>
                            <a:ext cx="432000" cy="432000"/>
                          </a:xfrm>
                          <a:prstGeom prst="rect">
                            <a:avLst/>
                          </a:prstGeom>
                        </pic:spPr>
                      </pic:pic>
                    </a:graphicData>
                  </a:graphic>
                </wp:inline>
              </w:drawing>
            </w:r>
          </w:p>
        </w:tc>
        <w:tc>
          <w:tcPr>
            <w:tcW w:w="390" w:type="pct"/>
            <w:tcBorders>
              <w:top w:val="single" w:sz="4" w:space="0" w:color="DFA795"/>
              <w:left w:val="nil"/>
              <w:bottom w:val="single" w:sz="4" w:space="0" w:color="DFA795"/>
              <w:right w:val="nil"/>
            </w:tcBorders>
            <w:shd w:val="clear" w:color="auto" w:fill="FEFAF8"/>
          </w:tcPr>
          <w:p w14:paraId="50224E2D" w14:textId="41F4795C" w:rsidR="004E1334" w:rsidRPr="000F23E0" w:rsidRDefault="000D09E1" w:rsidP="00745CFC">
            <w:pPr>
              <w:pStyle w:val="TableTextRight"/>
              <w:cnfStyle w:val="000000000000" w:firstRow="0" w:lastRow="0" w:firstColumn="0" w:lastColumn="0" w:oddVBand="0" w:evenVBand="0" w:oddHBand="0" w:evenHBand="0" w:firstRowFirstColumn="0" w:firstRowLastColumn="0" w:lastRowFirstColumn="0" w:lastRowLastColumn="0"/>
              <w:rPr>
                <w:rFonts w:eastAsia="Calibri"/>
              </w:rPr>
            </w:pPr>
            <w:r w:rsidRPr="000F23E0">
              <w:rPr>
                <w:rFonts w:eastAsia="Calibri"/>
              </w:rPr>
              <w:t>35.5</w:t>
            </w:r>
          </w:p>
        </w:tc>
        <w:tc>
          <w:tcPr>
            <w:tcW w:w="390" w:type="pct"/>
            <w:tcBorders>
              <w:top w:val="single" w:sz="4" w:space="0" w:color="DFA795"/>
              <w:left w:val="nil"/>
              <w:bottom w:val="single" w:sz="4" w:space="0" w:color="DFA795"/>
              <w:right w:val="nil"/>
            </w:tcBorders>
            <w:shd w:val="clear" w:color="auto" w:fill="FEFAF8"/>
          </w:tcPr>
          <w:p w14:paraId="51866A9E" w14:textId="752FB4A8" w:rsidR="00C74D6F" w:rsidRPr="000F23E0" w:rsidRDefault="000D09E1" w:rsidP="00745CFC">
            <w:pPr>
              <w:pStyle w:val="TableTextRight"/>
              <w:cnfStyle w:val="000000000000" w:firstRow="0" w:lastRow="0" w:firstColumn="0" w:lastColumn="0" w:oddVBand="0" w:evenVBand="0" w:oddHBand="0" w:evenHBand="0" w:firstRowFirstColumn="0" w:firstRowLastColumn="0" w:lastRowFirstColumn="0" w:lastRowLastColumn="0"/>
              <w:rPr>
                <w:rFonts w:eastAsia="Calibri"/>
              </w:rPr>
            </w:pPr>
            <w:r w:rsidRPr="000F23E0">
              <w:rPr>
                <w:rFonts w:eastAsia="Calibri"/>
              </w:rPr>
              <w:t>35.5</w:t>
            </w:r>
          </w:p>
        </w:tc>
        <w:tc>
          <w:tcPr>
            <w:tcW w:w="388" w:type="pct"/>
            <w:tcBorders>
              <w:top w:val="single" w:sz="4" w:space="0" w:color="DFA795"/>
              <w:left w:val="nil"/>
              <w:bottom w:val="single" w:sz="4" w:space="0" w:color="DFA795"/>
              <w:right w:val="nil"/>
            </w:tcBorders>
            <w:shd w:val="clear" w:color="auto" w:fill="FEFAF8"/>
          </w:tcPr>
          <w:p w14:paraId="2CB51EAB" w14:textId="263FFBE6" w:rsidR="00C74D6F" w:rsidRPr="000F23E0" w:rsidRDefault="000D09E1" w:rsidP="00745CFC">
            <w:pPr>
              <w:pStyle w:val="TableTextRight"/>
              <w:cnfStyle w:val="000000000000" w:firstRow="0" w:lastRow="0" w:firstColumn="0" w:lastColumn="0" w:oddVBand="0" w:evenVBand="0" w:oddHBand="0" w:evenHBand="0" w:firstRowFirstColumn="0" w:firstRowLastColumn="0" w:lastRowFirstColumn="0" w:lastRowLastColumn="0"/>
              <w:rPr>
                <w:rFonts w:eastAsia="Calibri"/>
              </w:rPr>
            </w:pPr>
            <w:r w:rsidRPr="000F23E0">
              <w:rPr>
                <w:rFonts w:eastAsia="Calibri"/>
              </w:rPr>
              <w:t>25.1</w:t>
            </w:r>
          </w:p>
        </w:tc>
        <w:tc>
          <w:tcPr>
            <w:tcW w:w="388" w:type="pct"/>
            <w:tcBorders>
              <w:top w:val="single" w:sz="4" w:space="0" w:color="DFA795"/>
              <w:left w:val="nil"/>
              <w:bottom w:val="single" w:sz="4" w:space="0" w:color="DFA795"/>
              <w:right w:val="nil"/>
            </w:tcBorders>
            <w:shd w:val="clear" w:color="auto" w:fill="FEFAF8"/>
          </w:tcPr>
          <w:p w14:paraId="3B6655D8" w14:textId="05A4D081" w:rsidR="00C74D6F" w:rsidRPr="000F23E0" w:rsidRDefault="000D09E1" w:rsidP="00745CFC">
            <w:pPr>
              <w:pStyle w:val="TableTextRight"/>
              <w:cnfStyle w:val="000000000000" w:firstRow="0" w:lastRow="0" w:firstColumn="0" w:lastColumn="0" w:oddVBand="0" w:evenVBand="0" w:oddHBand="0" w:evenHBand="0" w:firstRowFirstColumn="0" w:firstRowLastColumn="0" w:lastRowFirstColumn="0" w:lastRowLastColumn="0"/>
              <w:rPr>
                <w:rFonts w:eastAsia="Calibri"/>
              </w:rPr>
            </w:pPr>
            <w:r w:rsidRPr="000F23E0">
              <w:t>13.6</w:t>
            </w:r>
          </w:p>
        </w:tc>
        <w:tc>
          <w:tcPr>
            <w:tcW w:w="386" w:type="pct"/>
            <w:tcBorders>
              <w:top w:val="single" w:sz="4" w:space="0" w:color="DFA795"/>
              <w:left w:val="nil"/>
              <w:bottom w:val="single" w:sz="4" w:space="0" w:color="DFA795"/>
              <w:right w:val="nil"/>
            </w:tcBorders>
            <w:shd w:val="clear" w:color="auto" w:fill="FEFAF8"/>
          </w:tcPr>
          <w:p w14:paraId="491A6B83" w14:textId="028DD729" w:rsidR="00C74D6F" w:rsidRPr="000F23E0" w:rsidRDefault="000D09E1" w:rsidP="00745CFC">
            <w:pPr>
              <w:pStyle w:val="TableTextRight"/>
              <w:cnfStyle w:val="000000000000" w:firstRow="0" w:lastRow="0" w:firstColumn="0" w:lastColumn="0" w:oddVBand="0" w:evenVBand="0" w:oddHBand="0" w:evenHBand="0" w:firstRowFirstColumn="0" w:firstRowLastColumn="0" w:lastRowFirstColumn="0" w:lastRowLastColumn="0"/>
            </w:pPr>
            <w:r w:rsidRPr="000F23E0">
              <w:t>49.1</w:t>
            </w:r>
          </w:p>
        </w:tc>
      </w:tr>
      <w:tr w:rsidR="006E5EF6" w:rsidRPr="000F23E0" w14:paraId="3E7917CB" w14:textId="1D42965E" w:rsidTr="00740BA0">
        <w:trPr>
          <w:trHeight w:val="649"/>
        </w:trPr>
        <w:tc>
          <w:tcPr>
            <w:cnfStyle w:val="001000000000" w:firstRow="0" w:lastRow="0" w:firstColumn="1" w:lastColumn="0" w:oddVBand="0" w:evenVBand="0" w:oddHBand="0" w:evenHBand="0" w:firstRowFirstColumn="0" w:firstRowLastColumn="0" w:lastRowFirstColumn="0" w:lastRowLastColumn="0"/>
            <w:tcW w:w="691" w:type="pct"/>
            <w:vMerge/>
            <w:tcBorders>
              <w:left w:val="nil"/>
              <w:right w:val="nil"/>
            </w:tcBorders>
            <w:shd w:val="clear" w:color="auto" w:fill="FAE5D4"/>
          </w:tcPr>
          <w:p w14:paraId="408A19CB" w14:textId="77777777" w:rsidR="00745CFC" w:rsidRPr="000F23E0" w:rsidRDefault="00745CFC" w:rsidP="001A0ABB">
            <w:pPr>
              <w:pStyle w:val="TableColumnHeadingLeft"/>
              <w:rPr>
                <w:rFonts w:eastAsia="Calibri"/>
              </w:rPr>
            </w:pPr>
          </w:p>
        </w:tc>
        <w:tc>
          <w:tcPr>
            <w:tcW w:w="585" w:type="pct"/>
            <w:vMerge/>
            <w:tcBorders>
              <w:left w:val="nil"/>
              <w:right w:val="nil"/>
            </w:tcBorders>
            <w:shd w:val="clear" w:color="auto" w:fill="FDF0E7"/>
          </w:tcPr>
          <w:p w14:paraId="608F35FA" w14:textId="77777777" w:rsidR="00745CFC" w:rsidRPr="000F23E0" w:rsidRDefault="00745CFC" w:rsidP="001A0ABB">
            <w:pPr>
              <w:pStyle w:val="TableColumnHeadingLeft"/>
              <w:cnfStyle w:val="000000000000" w:firstRow="0" w:lastRow="0" w:firstColumn="0" w:lastColumn="0" w:oddVBand="0" w:evenVBand="0" w:oddHBand="0" w:evenHBand="0" w:firstRowFirstColumn="0" w:firstRowLastColumn="0" w:lastRowFirstColumn="0" w:lastRowLastColumn="0"/>
              <w:rPr>
                <w:rStyle w:val="Strong"/>
                <w:b/>
                <w:bCs w:val="0"/>
              </w:rPr>
            </w:pPr>
          </w:p>
        </w:tc>
        <w:tc>
          <w:tcPr>
            <w:tcW w:w="742" w:type="pct"/>
            <w:tcBorders>
              <w:top w:val="single" w:sz="4" w:space="0" w:color="DFA795"/>
              <w:left w:val="nil"/>
              <w:bottom w:val="single" w:sz="4" w:space="0" w:color="DFA795"/>
              <w:right w:val="nil"/>
            </w:tcBorders>
            <w:shd w:val="clear" w:color="auto" w:fill="FEFAF8"/>
          </w:tcPr>
          <w:p w14:paraId="0D0C6886" w14:textId="438DCC2F" w:rsidR="00745CFC" w:rsidRPr="000F23E0" w:rsidRDefault="00745CFC" w:rsidP="00745CFC">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0F23E0">
              <w:t xml:space="preserve">Community Batteries </w:t>
            </w:r>
          </w:p>
        </w:tc>
        <w:tc>
          <w:tcPr>
            <w:tcW w:w="1040" w:type="pct"/>
            <w:tcBorders>
              <w:top w:val="single" w:sz="4" w:space="0" w:color="DFA795"/>
              <w:left w:val="nil"/>
              <w:bottom w:val="single" w:sz="4" w:space="0" w:color="DFA795"/>
              <w:right w:val="nil"/>
            </w:tcBorders>
            <w:shd w:val="clear" w:color="auto" w:fill="FEFAF8"/>
          </w:tcPr>
          <w:p w14:paraId="26006418" w14:textId="4CCE6977" w:rsidR="00745CFC" w:rsidRPr="000F23E0" w:rsidRDefault="00745CFC" w:rsidP="00745CFC">
            <w:pPr>
              <w:pStyle w:val="TableColumnHeadingLeft"/>
              <w:cnfStyle w:val="000000000000" w:firstRow="0" w:lastRow="0" w:firstColumn="0" w:lastColumn="0" w:oddVBand="0" w:evenVBand="0" w:oddHBand="0" w:evenHBand="0" w:firstRowFirstColumn="0" w:firstRowLastColumn="0" w:lastRowFirstColumn="0" w:lastRowLastColumn="0"/>
              <w:rPr>
                <w:rFonts w:eastAsia="Calibri"/>
              </w:rPr>
            </w:pPr>
            <w:r w:rsidRPr="000F23E0">
              <w:drawing>
                <wp:inline distT="0" distB="0" distL="0" distR="0" wp14:anchorId="25B0DF76" wp14:editId="35FCAF58">
                  <wp:extent cx="432000" cy="432000"/>
                  <wp:effectExtent l="0" t="0" r="6350" b="6350"/>
                  <wp:docPr id="1033482576" name="Picture 1033482576" descr="7 Affordable and Clean Energ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2572195" name="Picture 722572195" descr="7 Affordable and Clean Energy"/>
                          <pic:cNvPicPr preferRelativeResize="0"/>
                        </pic:nvPicPr>
                        <pic:blipFill>
                          <a:blip r:embed="rId31" cstate="print">
                            <a:extLst>
                              <a:ext uri="{28A0092B-C50C-407E-A947-70E740481C1C}">
                                <a14:useLocalDpi xmlns:a14="http://schemas.microsoft.com/office/drawing/2010/main" val="0"/>
                              </a:ext>
                            </a:extLst>
                          </a:blip>
                          <a:stretch>
                            <a:fillRect/>
                          </a:stretch>
                        </pic:blipFill>
                        <pic:spPr>
                          <a:xfrm>
                            <a:off x="0" y="0"/>
                            <a:ext cx="432000" cy="432000"/>
                          </a:xfrm>
                          <a:prstGeom prst="rect">
                            <a:avLst/>
                          </a:prstGeom>
                        </pic:spPr>
                      </pic:pic>
                    </a:graphicData>
                  </a:graphic>
                </wp:inline>
              </w:drawing>
            </w:r>
            <w:r w:rsidRPr="000F23E0">
              <w:drawing>
                <wp:inline distT="0" distB="0" distL="0" distR="0" wp14:anchorId="07793864" wp14:editId="425E47FE">
                  <wp:extent cx="432000" cy="432000"/>
                  <wp:effectExtent l="0" t="0" r="6350" b="6350"/>
                  <wp:docPr id="1585436696" name="Picture 1585436696" descr="13 Climate Ac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7290090" name="Picture 887290090" descr="13 Climate Action"/>
                          <pic:cNvPicPr preferRelativeResize="0"/>
                        </pic:nvPicPr>
                        <pic:blipFill>
                          <a:blip r:embed="rId33" cstate="print">
                            <a:extLst>
                              <a:ext uri="{28A0092B-C50C-407E-A947-70E740481C1C}">
                                <a14:useLocalDpi xmlns:a14="http://schemas.microsoft.com/office/drawing/2010/main" val="0"/>
                              </a:ext>
                            </a:extLst>
                          </a:blip>
                          <a:stretch>
                            <a:fillRect/>
                          </a:stretch>
                        </pic:blipFill>
                        <pic:spPr>
                          <a:xfrm>
                            <a:off x="0" y="0"/>
                            <a:ext cx="432000" cy="432000"/>
                          </a:xfrm>
                          <a:prstGeom prst="rect">
                            <a:avLst/>
                          </a:prstGeom>
                        </pic:spPr>
                      </pic:pic>
                    </a:graphicData>
                  </a:graphic>
                </wp:inline>
              </w:drawing>
            </w:r>
          </w:p>
        </w:tc>
        <w:tc>
          <w:tcPr>
            <w:tcW w:w="390" w:type="pct"/>
            <w:tcBorders>
              <w:top w:val="single" w:sz="4" w:space="0" w:color="DFA795"/>
              <w:left w:val="nil"/>
              <w:bottom w:val="single" w:sz="4" w:space="0" w:color="DFA795"/>
              <w:right w:val="nil"/>
            </w:tcBorders>
            <w:shd w:val="clear" w:color="auto" w:fill="FEFAF8"/>
          </w:tcPr>
          <w:p w14:paraId="6621FB60" w14:textId="7DB421AB" w:rsidR="00745CFC" w:rsidRPr="000F23E0" w:rsidRDefault="00745CFC" w:rsidP="00745CFC">
            <w:pPr>
              <w:pStyle w:val="TableTextRight"/>
              <w:cnfStyle w:val="000000000000" w:firstRow="0" w:lastRow="0" w:firstColumn="0" w:lastColumn="0" w:oddVBand="0" w:evenVBand="0" w:oddHBand="0" w:evenHBand="0" w:firstRowFirstColumn="0" w:firstRowLastColumn="0" w:lastRowFirstColumn="0" w:lastRowLastColumn="0"/>
              <w:rPr>
                <w:rFonts w:eastAsia="Calibri"/>
              </w:rPr>
            </w:pPr>
            <w:r w:rsidRPr="000F23E0">
              <w:rPr>
                <w:rFonts w:eastAsia="Calibri"/>
              </w:rPr>
              <w:t>13.7</w:t>
            </w:r>
          </w:p>
        </w:tc>
        <w:tc>
          <w:tcPr>
            <w:tcW w:w="390" w:type="pct"/>
            <w:tcBorders>
              <w:top w:val="single" w:sz="4" w:space="0" w:color="DFA795"/>
              <w:left w:val="nil"/>
              <w:bottom w:val="single" w:sz="4" w:space="0" w:color="DFA795"/>
              <w:right w:val="nil"/>
            </w:tcBorders>
            <w:shd w:val="clear" w:color="auto" w:fill="FEFAF8"/>
          </w:tcPr>
          <w:p w14:paraId="79E70150" w14:textId="0CAD0EEB" w:rsidR="00745CFC" w:rsidRPr="000F23E0" w:rsidRDefault="00745CFC" w:rsidP="00745CFC">
            <w:pPr>
              <w:pStyle w:val="TableTextRight"/>
              <w:cnfStyle w:val="000000000000" w:firstRow="0" w:lastRow="0" w:firstColumn="0" w:lastColumn="0" w:oddVBand="0" w:evenVBand="0" w:oddHBand="0" w:evenHBand="0" w:firstRowFirstColumn="0" w:firstRowLastColumn="0" w:lastRowFirstColumn="0" w:lastRowLastColumn="0"/>
              <w:rPr>
                <w:rFonts w:eastAsia="Calibri"/>
              </w:rPr>
            </w:pPr>
            <w:r w:rsidRPr="000F23E0">
              <w:rPr>
                <w:rFonts w:eastAsia="Calibri"/>
              </w:rPr>
              <w:t>13.7</w:t>
            </w:r>
          </w:p>
        </w:tc>
        <w:tc>
          <w:tcPr>
            <w:tcW w:w="388" w:type="pct"/>
            <w:tcBorders>
              <w:top w:val="single" w:sz="4" w:space="0" w:color="DFA795"/>
              <w:left w:val="nil"/>
              <w:bottom w:val="single" w:sz="4" w:space="0" w:color="DFA795"/>
              <w:right w:val="nil"/>
            </w:tcBorders>
            <w:shd w:val="clear" w:color="auto" w:fill="FEFAF8"/>
          </w:tcPr>
          <w:p w14:paraId="12EDDFC8" w14:textId="70D76F4F" w:rsidR="00745CFC" w:rsidRPr="000F23E0" w:rsidRDefault="00745CFC" w:rsidP="00745CFC">
            <w:pPr>
              <w:pStyle w:val="TableTextRight"/>
              <w:cnfStyle w:val="000000000000" w:firstRow="0" w:lastRow="0" w:firstColumn="0" w:lastColumn="0" w:oddVBand="0" w:evenVBand="0" w:oddHBand="0" w:evenHBand="0" w:firstRowFirstColumn="0" w:firstRowLastColumn="0" w:lastRowFirstColumn="0" w:lastRowLastColumn="0"/>
              <w:rPr>
                <w:rFonts w:eastAsia="Calibri"/>
              </w:rPr>
            </w:pPr>
            <w:r w:rsidRPr="000F23E0">
              <w:rPr>
                <w:rFonts w:eastAsia="Calibri"/>
              </w:rPr>
              <w:t>14.3</w:t>
            </w:r>
          </w:p>
        </w:tc>
        <w:tc>
          <w:tcPr>
            <w:tcW w:w="388" w:type="pct"/>
            <w:tcBorders>
              <w:top w:val="single" w:sz="4" w:space="0" w:color="DFA795"/>
              <w:left w:val="nil"/>
              <w:bottom w:val="single" w:sz="4" w:space="0" w:color="DFA795"/>
              <w:right w:val="nil"/>
            </w:tcBorders>
            <w:shd w:val="clear" w:color="auto" w:fill="FEFAF8"/>
          </w:tcPr>
          <w:p w14:paraId="567B5A4F" w14:textId="553FFBF3" w:rsidR="00745CFC" w:rsidRPr="000F23E0" w:rsidRDefault="00745CFC" w:rsidP="00745CFC">
            <w:pPr>
              <w:pStyle w:val="TableTextRight"/>
              <w:cnfStyle w:val="000000000000" w:firstRow="0" w:lastRow="0" w:firstColumn="0" w:lastColumn="0" w:oddVBand="0" w:evenVBand="0" w:oddHBand="0" w:evenHBand="0" w:firstRowFirstColumn="0" w:firstRowLastColumn="0" w:lastRowFirstColumn="0" w:lastRowLastColumn="0"/>
              <w:rPr>
                <w:rFonts w:eastAsia="Calibri"/>
              </w:rPr>
            </w:pPr>
            <w:r w:rsidRPr="000F23E0">
              <w:t>7.7</w:t>
            </w:r>
          </w:p>
        </w:tc>
        <w:tc>
          <w:tcPr>
            <w:tcW w:w="386" w:type="pct"/>
            <w:tcBorders>
              <w:top w:val="single" w:sz="4" w:space="0" w:color="DFA795"/>
              <w:left w:val="nil"/>
              <w:bottom w:val="single" w:sz="4" w:space="0" w:color="DFA795"/>
              <w:right w:val="nil"/>
            </w:tcBorders>
            <w:shd w:val="clear" w:color="auto" w:fill="FEFAF8"/>
          </w:tcPr>
          <w:p w14:paraId="4D6E2EF9" w14:textId="556D91F1" w:rsidR="00745CFC" w:rsidRPr="000F23E0" w:rsidRDefault="00745CFC" w:rsidP="00745CFC">
            <w:pPr>
              <w:pStyle w:val="TableTextRight"/>
              <w:cnfStyle w:val="000000000000" w:firstRow="0" w:lastRow="0" w:firstColumn="0" w:lastColumn="0" w:oddVBand="0" w:evenVBand="0" w:oddHBand="0" w:evenHBand="0" w:firstRowFirstColumn="0" w:firstRowLastColumn="0" w:lastRowFirstColumn="0" w:lastRowLastColumn="0"/>
            </w:pPr>
            <w:r w:rsidRPr="000F23E0">
              <w:t>21.4</w:t>
            </w:r>
          </w:p>
        </w:tc>
      </w:tr>
      <w:tr w:rsidR="006E5EF6" w:rsidRPr="000F23E0" w14:paraId="6AB467B5" w14:textId="7D29699B" w:rsidTr="00740BA0">
        <w:trPr>
          <w:trHeight w:val="300"/>
        </w:trPr>
        <w:tc>
          <w:tcPr>
            <w:cnfStyle w:val="001000000000" w:firstRow="0" w:lastRow="0" w:firstColumn="1" w:lastColumn="0" w:oddVBand="0" w:evenVBand="0" w:oddHBand="0" w:evenHBand="0" w:firstRowFirstColumn="0" w:firstRowLastColumn="0" w:lastRowFirstColumn="0" w:lastRowLastColumn="0"/>
            <w:tcW w:w="691" w:type="pct"/>
            <w:vMerge/>
            <w:tcBorders>
              <w:left w:val="nil"/>
              <w:right w:val="nil"/>
            </w:tcBorders>
            <w:shd w:val="clear" w:color="auto" w:fill="FAE5D4"/>
          </w:tcPr>
          <w:p w14:paraId="5FD53031" w14:textId="77777777" w:rsidR="00745CFC" w:rsidRPr="000F23E0" w:rsidRDefault="00745CFC" w:rsidP="001A0ABB">
            <w:pPr>
              <w:pStyle w:val="TableColumnHeadingLeft"/>
              <w:rPr>
                <w:rFonts w:eastAsia="Calibri"/>
              </w:rPr>
            </w:pPr>
          </w:p>
        </w:tc>
        <w:tc>
          <w:tcPr>
            <w:tcW w:w="585" w:type="pct"/>
            <w:vMerge/>
            <w:tcBorders>
              <w:left w:val="nil"/>
              <w:right w:val="nil"/>
            </w:tcBorders>
            <w:shd w:val="clear" w:color="auto" w:fill="FDF0E7"/>
          </w:tcPr>
          <w:p w14:paraId="5063D53A" w14:textId="77777777" w:rsidR="00745CFC" w:rsidRPr="000F23E0" w:rsidRDefault="00745CFC" w:rsidP="001A0ABB">
            <w:pPr>
              <w:pStyle w:val="TableColumnHeadingLeft"/>
              <w:cnfStyle w:val="000000000000" w:firstRow="0" w:lastRow="0" w:firstColumn="0" w:lastColumn="0" w:oddVBand="0" w:evenVBand="0" w:oddHBand="0" w:evenHBand="0" w:firstRowFirstColumn="0" w:firstRowLastColumn="0" w:lastRowFirstColumn="0" w:lastRowLastColumn="0"/>
              <w:rPr>
                <w:rStyle w:val="Strong"/>
                <w:b/>
                <w:bCs w:val="0"/>
              </w:rPr>
            </w:pPr>
          </w:p>
        </w:tc>
        <w:tc>
          <w:tcPr>
            <w:tcW w:w="742" w:type="pct"/>
            <w:tcBorders>
              <w:top w:val="single" w:sz="4" w:space="0" w:color="DFA795"/>
              <w:left w:val="nil"/>
              <w:bottom w:val="single" w:sz="4" w:space="0" w:color="DFA795"/>
              <w:right w:val="nil"/>
            </w:tcBorders>
            <w:shd w:val="clear" w:color="auto" w:fill="FEFAF8"/>
          </w:tcPr>
          <w:p w14:paraId="10A6BF51" w14:textId="7105A29A" w:rsidR="00745CFC" w:rsidRPr="000F23E0" w:rsidRDefault="00745CFC" w:rsidP="00745CFC">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0F23E0">
              <w:t>Advancing Renewables Program</w:t>
            </w:r>
          </w:p>
        </w:tc>
        <w:tc>
          <w:tcPr>
            <w:tcW w:w="1040" w:type="pct"/>
            <w:tcBorders>
              <w:top w:val="single" w:sz="4" w:space="0" w:color="DFA795"/>
              <w:left w:val="nil"/>
              <w:bottom w:val="single" w:sz="4" w:space="0" w:color="DFA795"/>
              <w:right w:val="nil"/>
            </w:tcBorders>
            <w:shd w:val="clear" w:color="auto" w:fill="FEFAF8"/>
          </w:tcPr>
          <w:p w14:paraId="5381E1D9" w14:textId="50C13B72" w:rsidR="00745CFC" w:rsidRPr="000F23E0" w:rsidRDefault="00745CFC" w:rsidP="00745CFC">
            <w:pPr>
              <w:pStyle w:val="TableColumnHeadingLeft"/>
              <w:cnfStyle w:val="000000000000" w:firstRow="0" w:lastRow="0" w:firstColumn="0" w:lastColumn="0" w:oddVBand="0" w:evenVBand="0" w:oddHBand="0" w:evenHBand="0" w:firstRowFirstColumn="0" w:firstRowLastColumn="0" w:lastRowFirstColumn="0" w:lastRowLastColumn="0"/>
              <w:rPr>
                <w:rFonts w:eastAsia="Calibri"/>
              </w:rPr>
            </w:pPr>
            <w:r w:rsidRPr="000F23E0">
              <w:drawing>
                <wp:inline distT="0" distB="0" distL="0" distR="0" wp14:anchorId="2012757C" wp14:editId="478B3432">
                  <wp:extent cx="432000" cy="432000"/>
                  <wp:effectExtent l="0" t="0" r="6350" b="6350"/>
                  <wp:docPr id="256445816" name="Picture 256445816" descr="7 Affordable and Clean Energ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2572195" name="Picture 722572195" descr="7 Affordable and Clean Energy"/>
                          <pic:cNvPicPr preferRelativeResize="0"/>
                        </pic:nvPicPr>
                        <pic:blipFill>
                          <a:blip r:embed="rId31" cstate="print">
                            <a:extLst>
                              <a:ext uri="{28A0092B-C50C-407E-A947-70E740481C1C}">
                                <a14:useLocalDpi xmlns:a14="http://schemas.microsoft.com/office/drawing/2010/main" val="0"/>
                              </a:ext>
                            </a:extLst>
                          </a:blip>
                          <a:stretch>
                            <a:fillRect/>
                          </a:stretch>
                        </pic:blipFill>
                        <pic:spPr>
                          <a:xfrm>
                            <a:off x="0" y="0"/>
                            <a:ext cx="432000" cy="432000"/>
                          </a:xfrm>
                          <a:prstGeom prst="rect">
                            <a:avLst/>
                          </a:prstGeom>
                        </pic:spPr>
                      </pic:pic>
                    </a:graphicData>
                  </a:graphic>
                </wp:inline>
              </w:drawing>
            </w:r>
            <w:r w:rsidRPr="000F23E0">
              <w:drawing>
                <wp:inline distT="0" distB="0" distL="0" distR="0" wp14:anchorId="3499C504" wp14:editId="06FA3335">
                  <wp:extent cx="432000" cy="432000"/>
                  <wp:effectExtent l="0" t="0" r="6350" b="6350"/>
                  <wp:docPr id="820955470" name="Picture 820955470" descr="13 Climate Ac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7290090" name="Picture 887290090" descr="13 Climate Action"/>
                          <pic:cNvPicPr preferRelativeResize="0"/>
                        </pic:nvPicPr>
                        <pic:blipFill>
                          <a:blip r:embed="rId33" cstate="print">
                            <a:extLst>
                              <a:ext uri="{28A0092B-C50C-407E-A947-70E740481C1C}">
                                <a14:useLocalDpi xmlns:a14="http://schemas.microsoft.com/office/drawing/2010/main" val="0"/>
                              </a:ext>
                            </a:extLst>
                          </a:blip>
                          <a:stretch>
                            <a:fillRect/>
                          </a:stretch>
                        </pic:blipFill>
                        <pic:spPr>
                          <a:xfrm>
                            <a:off x="0" y="0"/>
                            <a:ext cx="432000" cy="432000"/>
                          </a:xfrm>
                          <a:prstGeom prst="rect">
                            <a:avLst/>
                          </a:prstGeom>
                        </pic:spPr>
                      </pic:pic>
                    </a:graphicData>
                  </a:graphic>
                </wp:inline>
              </w:drawing>
            </w:r>
          </w:p>
        </w:tc>
        <w:tc>
          <w:tcPr>
            <w:tcW w:w="390" w:type="pct"/>
            <w:tcBorders>
              <w:top w:val="single" w:sz="4" w:space="0" w:color="DFA795"/>
              <w:left w:val="nil"/>
              <w:bottom w:val="single" w:sz="4" w:space="0" w:color="DFA795"/>
              <w:right w:val="nil"/>
            </w:tcBorders>
            <w:shd w:val="clear" w:color="auto" w:fill="FEFAF8"/>
          </w:tcPr>
          <w:p w14:paraId="2C30E4EC" w14:textId="027C868D" w:rsidR="00745CFC" w:rsidRPr="000F23E0" w:rsidRDefault="00745CFC" w:rsidP="00745CFC">
            <w:pPr>
              <w:pStyle w:val="TableTextRight"/>
              <w:cnfStyle w:val="000000000000" w:firstRow="0" w:lastRow="0" w:firstColumn="0" w:lastColumn="0" w:oddVBand="0" w:evenVBand="0" w:oddHBand="0" w:evenHBand="0" w:firstRowFirstColumn="0" w:firstRowLastColumn="0" w:lastRowFirstColumn="0" w:lastRowLastColumn="0"/>
              <w:rPr>
                <w:rFonts w:eastAsia="Calibri"/>
              </w:rPr>
            </w:pPr>
            <w:r w:rsidRPr="000F23E0">
              <w:rPr>
                <w:rFonts w:eastAsia="Calibri"/>
              </w:rPr>
              <w:t>305.6</w:t>
            </w:r>
          </w:p>
        </w:tc>
        <w:tc>
          <w:tcPr>
            <w:tcW w:w="390" w:type="pct"/>
            <w:tcBorders>
              <w:top w:val="single" w:sz="4" w:space="0" w:color="DFA795"/>
              <w:left w:val="nil"/>
              <w:bottom w:val="single" w:sz="4" w:space="0" w:color="DFA795"/>
              <w:right w:val="nil"/>
            </w:tcBorders>
            <w:shd w:val="clear" w:color="auto" w:fill="FEFAF8"/>
          </w:tcPr>
          <w:p w14:paraId="523F140E" w14:textId="5398E909" w:rsidR="00745CFC" w:rsidRPr="000F23E0" w:rsidRDefault="00745CFC" w:rsidP="00745CFC">
            <w:pPr>
              <w:pStyle w:val="TableTextRight"/>
              <w:cnfStyle w:val="000000000000" w:firstRow="0" w:lastRow="0" w:firstColumn="0" w:lastColumn="0" w:oddVBand="0" w:evenVBand="0" w:oddHBand="0" w:evenHBand="0" w:firstRowFirstColumn="0" w:firstRowLastColumn="0" w:lastRowFirstColumn="0" w:lastRowLastColumn="0"/>
              <w:rPr>
                <w:rFonts w:eastAsia="Calibri"/>
              </w:rPr>
            </w:pPr>
            <w:r w:rsidRPr="000F23E0">
              <w:rPr>
                <w:rFonts w:eastAsia="Calibri"/>
              </w:rPr>
              <w:t>305.6</w:t>
            </w:r>
          </w:p>
        </w:tc>
        <w:tc>
          <w:tcPr>
            <w:tcW w:w="388" w:type="pct"/>
            <w:tcBorders>
              <w:top w:val="single" w:sz="4" w:space="0" w:color="DFA795"/>
              <w:left w:val="nil"/>
              <w:bottom w:val="single" w:sz="4" w:space="0" w:color="DFA795"/>
              <w:right w:val="nil"/>
            </w:tcBorders>
            <w:shd w:val="clear" w:color="auto" w:fill="FEFAF8"/>
          </w:tcPr>
          <w:p w14:paraId="57B929D1" w14:textId="589212E6" w:rsidR="00745CFC" w:rsidRPr="000F23E0" w:rsidRDefault="00745CFC" w:rsidP="00745CFC">
            <w:pPr>
              <w:pStyle w:val="TableTextRight"/>
              <w:cnfStyle w:val="000000000000" w:firstRow="0" w:lastRow="0" w:firstColumn="0" w:lastColumn="0" w:oddVBand="0" w:evenVBand="0" w:oddHBand="0" w:evenHBand="0" w:firstRowFirstColumn="0" w:firstRowLastColumn="0" w:lastRowFirstColumn="0" w:lastRowLastColumn="0"/>
              <w:rPr>
                <w:rFonts w:eastAsia="Calibri"/>
              </w:rPr>
            </w:pPr>
            <w:r w:rsidRPr="000F23E0">
              <w:rPr>
                <w:rFonts w:eastAsia="Calibri"/>
              </w:rPr>
              <w:t>133.7</w:t>
            </w:r>
          </w:p>
        </w:tc>
        <w:tc>
          <w:tcPr>
            <w:tcW w:w="388" w:type="pct"/>
            <w:tcBorders>
              <w:top w:val="single" w:sz="4" w:space="0" w:color="DFA795"/>
              <w:left w:val="nil"/>
              <w:bottom w:val="single" w:sz="4" w:space="0" w:color="DFA795"/>
              <w:right w:val="nil"/>
            </w:tcBorders>
            <w:shd w:val="clear" w:color="auto" w:fill="FEFAF8"/>
          </w:tcPr>
          <w:p w14:paraId="50475757" w14:textId="6B291FD9" w:rsidR="00745CFC" w:rsidRPr="000F23E0" w:rsidRDefault="00745CFC" w:rsidP="00745CFC">
            <w:pPr>
              <w:pStyle w:val="TableTextRight"/>
              <w:cnfStyle w:val="000000000000" w:firstRow="0" w:lastRow="0" w:firstColumn="0" w:lastColumn="0" w:oddVBand="0" w:evenVBand="0" w:oddHBand="0" w:evenHBand="0" w:firstRowFirstColumn="0" w:firstRowLastColumn="0" w:lastRowFirstColumn="0" w:lastRowLastColumn="0"/>
              <w:rPr>
                <w:rFonts w:eastAsia="Calibri"/>
              </w:rPr>
            </w:pPr>
            <w:r w:rsidRPr="000F23E0">
              <w:t>72.4</w:t>
            </w:r>
          </w:p>
        </w:tc>
        <w:tc>
          <w:tcPr>
            <w:tcW w:w="386" w:type="pct"/>
            <w:tcBorders>
              <w:top w:val="single" w:sz="4" w:space="0" w:color="DFA795"/>
              <w:left w:val="nil"/>
              <w:bottom w:val="single" w:sz="4" w:space="0" w:color="DFA795"/>
              <w:right w:val="nil"/>
            </w:tcBorders>
            <w:shd w:val="clear" w:color="auto" w:fill="FEFAF8"/>
          </w:tcPr>
          <w:p w14:paraId="139D30FF" w14:textId="301E8611" w:rsidR="00745CFC" w:rsidRPr="000F23E0" w:rsidRDefault="00745CFC" w:rsidP="00745CFC">
            <w:pPr>
              <w:pStyle w:val="TableTextRight"/>
              <w:cnfStyle w:val="000000000000" w:firstRow="0" w:lastRow="0" w:firstColumn="0" w:lastColumn="0" w:oddVBand="0" w:evenVBand="0" w:oddHBand="0" w:evenHBand="0" w:firstRowFirstColumn="0" w:firstRowLastColumn="0" w:lastRowFirstColumn="0" w:lastRowLastColumn="0"/>
            </w:pPr>
            <w:r w:rsidRPr="000F23E0">
              <w:t>378.0</w:t>
            </w:r>
          </w:p>
        </w:tc>
      </w:tr>
      <w:tr w:rsidR="006E5EF6" w:rsidRPr="000F23E0" w14:paraId="3E39E5B1" w14:textId="695A768A" w:rsidTr="00740BA0">
        <w:trPr>
          <w:trHeight w:val="256"/>
        </w:trPr>
        <w:tc>
          <w:tcPr>
            <w:cnfStyle w:val="001000000000" w:firstRow="0" w:lastRow="0" w:firstColumn="1" w:lastColumn="0" w:oddVBand="0" w:evenVBand="0" w:oddHBand="0" w:evenHBand="0" w:firstRowFirstColumn="0" w:firstRowLastColumn="0" w:lastRowFirstColumn="0" w:lastRowLastColumn="0"/>
            <w:tcW w:w="691" w:type="pct"/>
            <w:vMerge w:val="restart"/>
            <w:tcBorders>
              <w:left w:val="nil"/>
              <w:right w:val="nil"/>
            </w:tcBorders>
            <w:shd w:val="clear" w:color="auto" w:fill="FAE5D4"/>
          </w:tcPr>
          <w:p w14:paraId="25FB88C9" w14:textId="77777777" w:rsidR="00C74D6F" w:rsidRPr="000F23E0" w:rsidRDefault="00C74D6F" w:rsidP="001A0ABB">
            <w:pPr>
              <w:pStyle w:val="TableColumnHeadingLeft"/>
              <w:rPr>
                <w:rFonts w:eastAsia="Calibri"/>
              </w:rPr>
            </w:pPr>
            <w:r w:rsidRPr="000F23E0">
              <w:rPr>
                <w:rFonts w:eastAsia="Calibri"/>
              </w:rPr>
              <w:t>Energy efficiency</w:t>
            </w:r>
          </w:p>
        </w:tc>
        <w:tc>
          <w:tcPr>
            <w:tcW w:w="585" w:type="pct"/>
            <w:vMerge w:val="restart"/>
            <w:tcBorders>
              <w:left w:val="nil"/>
              <w:right w:val="nil"/>
            </w:tcBorders>
            <w:shd w:val="clear" w:color="auto" w:fill="FDF0E7"/>
          </w:tcPr>
          <w:p w14:paraId="536DA33E" w14:textId="50C31EBE" w:rsidR="00C74D6F" w:rsidRPr="000F23E0" w:rsidRDefault="00445AD4" w:rsidP="001A0ABB">
            <w:pPr>
              <w:pStyle w:val="TableColumnHeadingLeft"/>
              <w:cnfStyle w:val="000000000000" w:firstRow="0" w:lastRow="0" w:firstColumn="0" w:lastColumn="0" w:oddVBand="0" w:evenVBand="0" w:oddHBand="0" w:evenHBand="0" w:firstRowFirstColumn="0" w:firstRowLastColumn="0" w:lastRowFirstColumn="0" w:lastRowLastColumn="0"/>
              <w:rPr>
                <w:rStyle w:val="Strong"/>
                <w:b/>
                <w:bCs w:val="0"/>
              </w:rPr>
            </w:pPr>
            <w:r w:rsidRPr="000F23E0">
              <w:rPr>
                <w:rStyle w:val="Strong"/>
                <w:b/>
                <w:bCs w:val="0"/>
              </w:rPr>
              <w:t>Climate change mitigation</w:t>
            </w:r>
          </w:p>
        </w:tc>
        <w:tc>
          <w:tcPr>
            <w:tcW w:w="742" w:type="pct"/>
            <w:tcBorders>
              <w:top w:val="single" w:sz="4" w:space="0" w:color="DFA795"/>
              <w:left w:val="nil"/>
              <w:bottom w:val="single" w:sz="4" w:space="0" w:color="DFA795"/>
              <w:right w:val="nil"/>
            </w:tcBorders>
            <w:shd w:val="clear" w:color="auto" w:fill="FEFAF8"/>
          </w:tcPr>
          <w:p w14:paraId="3DBB4E6D" w14:textId="77777777" w:rsidR="00C74D6F" w:rsidRPr="000F23E0" w:rsidRDefault="00C74D6F" w:rsidP="00745CFC">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0F23E0">
              <w:t>Household Energy Upgrades Fund™</w:t>
            </w:r>
          </w:p>
        </w:tc>
        <w:tc>
          <w:tcPr>
            <w:tcW w:w="1040" w:type="pct"/>
            <w:tcBorders>
              <w:top w:val="single" w:sz="4" w:space="0" w:color="DFA795"/>
              <w:left w:val="nil"/>
              <w:bottom w:val="single" w:sz="4" w:space="0" w:color="DFA795"/>
              <w:right w:val="nil"/>
            </w:tcBorders>
            <w:shd w:val="clear" w:color="auto" w:fill="FEFAF8"/>
          </w:tcPr>
          <w:p w14:paraId="2C5F9905" w14:textId="59156234" w:rsidR="000C3111" w:rsidRPr="000F23E0" w:rsidRDefault="00745CFC" w:rsidP="00745CFC">
            <w:pPr>
              <w:pStyle w:val="TableColumnHeadingLeft"/>
              <w:cnfStyle w:val="000000000000" w:firstRow="0" w:lastRow="0" w:firstColumn="0" w:lastColumn="0" w:oddVBand="0" w:evenVBand="0" w:oddHBand="0" w:evenHBand="0" w:firstRowFirstColumn="0" w:firstRowLastColumn="0" w:lastRowFirstColumn="0" w:lastRowLastColumn="0"/>
              <w:rPr>
                <w:rFonts w:eastAsia="Calibri"/>
              </w:rPr>
            </w:pPr>
            <w:r w:rsidRPr="000F23E0">
              <w:drawing>
                <wp:inline distT="0" distB="0" distL="0" distR="0" wp14:anchorId="714B4F09" wp14:editId="6067BE3E">
                  <wp:extent cx="432000" cy="432000"/>
                  <wp:effectExtent l="0" t="0" r="6350" b="6350"/>
                  <wp:docPr id="394463225" name="Picture 394463225" descr="7 Affordable and Clean Energ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2572195" name="Picture 722572195" descr="7 Affordable and Clean Energy"/>
                          <pic:cNvPicPr preferRelativeResize="0"/>
                        </pic:nvPicPr>
                        <pic:blipFill>
                          <a:blip r:embed="rId31" cstate="print">
                            <a:extLst>
                              <a:ext uri="{28A0092B-C50C-407E-A947-70E740481C1C}">
                                <a14:useLocalDpi xmlns:a14="http://schemas.microsoft.com/office/drawing/2010/main" val="0"/>
                              </a:ext>
                            </a:extLst>
                          </a:blip>
                          <a:stretch>
                            <a:fillRect/>
                          </a:stretch>
                        </pic:blipFill>
                        <pic:spPr>
                          <a:xfrm>
                            <a:off x="0" y="0"/>
                            <a:ext cx="432000" cy="432000"/>
                          </a:xfrm>
                          <a:prstGeom prst="rect">
                            <a:avLst/>
                          </a:prstGeom>
                        </pic:spPr>
                      </pic:pic>
                    </a:graphicData>
                  </a:graphic>
                </wp:inline>
              </w:drawing>
            </w:r>
            <w:r w:rsidRPr="000F23E0">
              <w:drawing>
                <wp:inline distT="0" distB="0" distL="0" distR="0" wp14:anchorId="0BCEF470" wp14:editId="28E1257C">
                  <wp:extent cx="432000" cy="432000"/>
                  <wp:effectExtent l="0" t="0" r="6350" b="6350"/>
                  <wp:docPr id="792164718" name="Picture 792164718" descr="9 Industry, Innovation and Infra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845014" name="Picture 1542845014" descr="9 Industry, Innovation and Infrastructur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32000" cy="432000"/>
                          </a:xfrm>
                          <a:prstGeom prst="rect">
                            <a:avLst/>
                          </a:prstGeom>
                        </pic:spPr>
                      </pic:pic>
                    </a:graphicData>
                  </a:graphic>
                </wp:inline>
              </w:drawing>
            </w:r>
            <w:r w:rsidRPr="000F23E0">
              <w:drawing>
                <wp:inline distT="0" distB="0" distL="0" distR="0" wp14:anchorId="24655B48" wp14:editId="48CAD884">
                  <wp:extent cx="432000" cy="432000"/>
                  <wp:effectExtent l="0" t="0" r="6350" b="6350"/>
                  <wp:docPr id="641239066" name="Picture 7" descr="12 Responsible Consumption and Produ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239066" name="Picture 7" descr="12 Responsible Consumption and Production"/>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32000" cy="432000"/>
                          </a:xfrm>
                          <a:prstGeom prst="rect">
                            <a:avLst/>
                          </a:prstGeom>
                        </pic:spPr>
                      </pic:pic>
                    </a:graphicData>
                  </a:graphic>
                </wp:inline>
              </w:drawing>
            </w:r>
            <w:r w:rsidRPr="000F23E0">
              <w:drawing>
                <wp:inline distT="0" distB="0" distL="0" distR="0" wp14:anchorId="6EFB5223" wp14:editId="7BFD8B02">
                  <wp:extent cx="432000" cy="432000"/>
                  <wp:effectExtent l="0" t="0" r="6350" b="6350"/>
                  <wp:docPr id="1540488640" name="Picture 1540488640" descr="13 Climate Ac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7290090" name="Picture 887290090" descr="13 Climate Action"/>
                          <pic:cNvPicPr preferRelativeResize="0"/>
                        </pic:nvPicPr>
                        <pic:blipFill>
                          <a:blip r:embed="rId33" cstate="print">
                            <a:extLst>
                              <a:ext uri="{28A0092B-C50C-407E-A947-70E740481C1C}">
                                <a14:useLocalDpi xmlns:a14="http://schemas.microsoft.com/office/drawing/2010/main" val="0"/>
                              </a:ext>
                            </a:extLst>
                          </a:blip>
                          <a:stretch>
                            <a:fillRect/>
                          </a:stretch>
                        </pic:blipFill>
                        <pic:spPr>
                          <a:xfrm>
                            <a:off x="0" y="0"/>
                            <a:ext cx="432000" cy="432000"/>
                          </a:xfrm>
                          <a:prstGeom prst="rect">
                            <a:avLst/>
                          </a:prstGeom>
                        </pic:spPr>
                      </pic:pic>
                    </a:graphicData>
                  </a:graphic>
                </wp:inline>
              </w:drawing>
            </w:r>
          </w:p>
        </w:tc>
        <w:tc>
          <w:tcPr>
            <w:tcW w:w="390" w:type="pct"/>
            <w:tcBorders>
              <w:top w:val="single" w:sz="4" w:space="0" w:color="DFA795"/>
              <w:left w:val="nil"/>
              <w:bottom w:val="single" w:sz="4" w:space="0" w:color="DFA795"/>
              <w:right w:val="nil"/>
            </w:tcBorders>
            <w:shd w:val="clear" w:color="auto" w:fill="FEFAF8"/>
          </w:tcPr>
          <w:p w14:paraId="7A17DDA7" w14:textId="7E427236" w:rsidR="004E1334" w:rsidRPr="000F23E0" w:rsidRDefault="004E1334" w:rsidP="00745CFC">
            <w:pPr>
              <w:pStyle w:val="TableTextRight"/>
              <w:cnfStyle w:val="000000000000" w:firstRow="0" w:lastRow="0" w:firstColumn="0" w:lastColumn="0" w:oddVBand="0" w:evenVBand="0" w:oddHBand="0" w:evenHBand="0" w:firstRowFirstColumn="0" w:firstRowLastColumn="0" w:lastRowFirstColumn="0" w:lastRowLastColumn="0"/>
              <w:rPr>
                <w:rFonts w:eastAsia="Calibri"/>
              </w:rPr>
            </w:pPr>
            <w:r w:rsidRPr="000F23E0">
              <w:rPr>
                <w:rFonts w:eastAsia="Calibri"/>
              </w:rPr>
              <w:t>5.0</w:t>
            </w:r>
          </w:p>
        </w:tc>
        <w:tc>
          <w:tcPr>
            <w:tcW w:w="390" w:type="pct"/>
            <w:tcBorders>
              <w:top w:val="single" w:sz="4" w:space="0" w:color="DFA795"/>
              <w:left w:val="nil"/>
              <w:bottom w:val="single" w:sz="4" w:space="0" w:color="DFA795"/>
              <w:right w:val="nil"/>
            </w:tcBorders>
            <w:shd w:val="clear" w:color="auto" w:fill="FEFAF8"/>
          </w:tcPr>
          <w:p w14:paraId="220D468C" w14:textId="7F04E6D1" w:rsidR="00C74D6F" w:rsidRPr="000F23E0" w:rsidRDefault="00C74D6F" w:rsidP="00745CFC">
            <w:pPr>
              <w:pStyle w:val="TableTextRight"/>
              <w:cnfStyle w:val="000000000000" w:firstRow="0" w:lastRow="0" w:firstColumn="0" w:lastColumn="0" w:oddVBand="0" w:evenVBand="0" w:oddHBand="0" w:evenHBand="0" w:firstRowFirstColumn="0" w:firstRowLastColumn="0" w:lastRowFirstColumn="0" w:lastRowLastColumn="0"/>
              <w:rPr>
                <w:rFonts w:eastAsia="Calibri"/>
              </w:rPr>
            </w:pPr>
            <w:r w:rsidRPr="000F23E0">
              <w:rPr>
                <w:rFonts w:eastAsia="Calibri"/>
              </w:rPr>
              <w:t>5.0</w:t>
            </w:r>
          </w:p>
        </w:tc>
        <w:tc>
          <w:tcPr>
            <w:tcW w:w="388" w:type="pct"/>
            <w:tcBorders>
              <w:top w:val="single" w:sz="4" w:space="0" w:color="DFA795"/>
              <w:left w:val="nil"/>
              <w:bottom w:val="single" w:sz="4" w:space="0" w:color="DFA795"/>
              <w:right w:val="nil"/>
            </w:tcBorders>
            <w:shd w:val="clear" w:color="auto" w:fill="FEFAF8"/>
          </w:tcPr>
          <w:p w14:paraId="26CB5AB6" w14:textId="13912277" w:rsidR="00C74D6F" w:rsidRPr="000F23E0" w:rsidRDefault="00C74D6F" w:rsidP="00745CFC">
            <w:pPr>
              <w:pStyle w:val="TableTextRight"/>
              <w:cnfStyle w:val="000000000000" w:firstRow="0" w:lastRow="0" w:firstColumn="0" w:lastColumn="0" w:oddVBand="0" w:evenVBand="0" w:oddHBand="0" w:evenHBand="0" w:firstRowFirstColumn="0" w:firstRowLastColumn="0" w:lastRowFirstColumn="0" w:lastRowLastColumn="0"/>
              <w:rPr>
                <w:rFonts w:eastAsia="Calibri"/>
              </w:rPr>
            </w:pPr>
            <w:r w:rsidRPr="000F23E0">
              <w:rPr>
                <w:rFonts w:eastAsia="Calibri"/>
              </w:rPr>
              <w:t>161.5</w:t>
            </w:r>
          </w:p>
        </w:tc>
        <w:tc>
          <w:tcPr>
            <w:tcW w:w="388" w:type="pct"/>
            <w:tcBorders>
              <w:top w:val="single" w:sz="4" w:space="0" w:color="DFA795"/>
              <w:left w:val="nil"/>
              <w:bottom w:val="single" w:sz="4" w:space="0" w:color="DFA795"/>
              <w:right w:val="nil"/>
            </w:tcBorders>
            <w:shd w:val="clear" w:color="auto" w:fill="FEFAF8"/>
          </w:tcPr>
          <w:p w14:paraId="6880EE04" w14:textId="1CFA3DE2" w:rsidR="00C74D6F" w:rsidRPr="000F23E0" w:rsidRDefault="00C74D6F" w:rsidP="00745CFC">
            <w:pPr>
              <w:pStyle w:val="TableTextRight"/>
              <w:cnfStyle w:val="000000000000" w:firstRow="0" w:lastRow="0" w:firstColumn="0" w:lastColumn="0" w:oddVBand="0" w:evenVBand="0" w:oddHBand="0" w:evenHBand="0" w:firstRowFirstColumn="0" w:firstRowLastColumn="0" w:lastRowFirstColumn="0" w:lastRowLastColumn="0"/>
              <w:rPr>
                <w:rFonts w:eastAsia="Calibri"/>
              </w:rPr>
            </w:pPr>
            <w:r w:rsidRPr="000F23E0">
              <w:t>87.4</w:t>
            </w:r>
          </w:p>
        </w:tc>
        <w:tc>
          <w:tcPr>
            <w:tcW w:w="386" w:type="pct"/>
            <w:tcBorders>
              <w:top w:val="single" w:sz="4" w:space="0" w:color="DFA795"/>
              <w:left w:val="nil"/>
              <w:bottom w:val="single" w:sz="4" w:space="0" w:color="DFA795"/>
              <w:right w:val="nil"/>
            </w:tcBorders>
            <w:shd w:val="clear" w:color="auto" w:fill="FEFAF8"/>
          </w:tcPr>
          <w:p w14:paraId="18E2F3F5" w14:textId="6B1EC9E8" w:rsidR="00C74D6F" w:rsidRPr="000F23E0" w:rsidRDefault="00953BCE" w:rsidP="00745CFC">
            <w:pPr>
              <w:pStyle w:val="TableTextRight"/>
              <w:cnfStyle w:val="000000000000" w:firstRow="0" w:lastRow="0" w:firstColumn="0" w:lastColumn="0" w:oddVBand="0" w:evenVBand="0" w:oddHBand="0" w:evenHBand="0" w:firstRowFirstColumn="0" w:firstRowLastColumn="0" w:lastRowFirstColumn="0" w:lastRowLastColumn="0"/>
            </w:pPr>
            <w:r w:rsidRPr="000F23E0">
              <w:t>92.4</w:t>
            </w:r>
          </w:p>
        </w:tc>
      </w:tr>
      <w:tr w:rsidR="006E5EF6" w:rsidRPr="000F23E0" w14:paraId="53864E4E" w14:textId="672E29A2" w:rsidTr="00740BA0">
        <w:trPr>
          <w:trHeight w:val="300"/>
        </w:trPr>
        <w:tc>
          <w:tcPr>
            <w:cnfStyle w:val="001000000000" w:firstRow="0" w:lastRow="0" w:firstColumn="1" w:lastColumn="0" w:oddVBand="0" w:evenVBand="0" w:oddHBand="0" w:evenHBand="0" w:firstRowFirstColumn="0" w:firstRowLastColumn="0" w:lastRowFirstColumn="0" w:lastRowLastColumn="0"/>
            <w:tcW w:w="691" w:type="pct"/>
            <w:vMerge/>
            <w:tcBorders>
              <w:left w:val="nil"/>
              <w:right w:val="nil"/>
            </w:tcBorders>
            <w:shd w:val="clear" w:color="auto" w:fill="FAE5D4"/>
          </w:tcPr>
          <w:p w14:paraId="1987AC7F" w14:textId="77777777" w:rsidR="00C74D6F" w:rsidRPr="000F23E0" w:rsidRDefault="00C74D6F" w:rsidP="00745CFC">
            <w:pPr>
              <w:pStyle w:val="TableColumnHeadingLeft"/>
              <w:rPr>
                <w:rFonts w:eastAsia="Calibri"/>
              </w:rPr>
            </w:pPr>
          </w:p>
        </w:tc>
        <w:tc>
          <w:tcPr>
            <w:tcW w:w="585" w:type="pct"/>
            <w:vMerge/>
            <w:tcBorders>
              <w:left w:val="nil"/>
              <w:right w:val="nil"/>
            </w:tcBorders>
            <w:shd w:val="clear" w:color="auto" w:fill="FDF0E7"/>
          </w:tcPr>
          <w:p w14:paraId="0D124B3E" w14:textId="77777777" w:rsidR="00C74D6F" w:rsidRPr="000F23E0" w:rsidRDefault="00C74D6F" w:rsidP="00745CFC">
            <w:pPr>
              <w:pStyle w:val="TableTextLeft"/>
              <w:cnfStyle w:val="000000000000" w:firstRow="0" w:lastRow="0" w:firstColumn="0" w:lastColumn="0" w:oddVBand="0" w:evenVBand="0" w:oddHBand="0" w:evenHBand="0" w:firstRowFirstColumn="0" w:firstRowLastColumn="0" w:lastRowFirstColumn="0" w:lastRowLastColumn="0"/>
              <w:rPr>
                <w:rStyle w:val="Strong"/>
              </w:rPr>
            </w:pPr>
          </w:p>
        </w:tc>
        <w:tc>
          <w:tcPr>
            <w:tcW w:w="742" w:type="pct"/>
            <w:tcBorders>
              <w:top w:val="single" w:sz="4" w:space="0" w:color="DFA795"/>
              <w:left w:val="nil"/>
              <w:bottom w:val="single" w:sz="4" w:space="0" w:color="DFA795"/>
              <w:right w:val="nil"/>
            </w:tcBorders>
            <w:shd w:val="clear" w:color="auto" w:fill="FEFAF8"/>
          </w:tcPr>
          <w:p w14:paraId="04F13239" w14:textId="7481056C" w:rsidR="00C74D6F" w:rsidRPr="000F23E0" w:rsidRDefault="00C74D6F" w:rsidP="00745CFC">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0F23E0">
              <w:t>Social Housing Energy Performance Initiative</w:t>
            </w:r>
          </w:p>
        </w:tc>
        <w:tc>
          <w:tcPr>
            <w:tcW w:w="1040" w:type="pct"/>
            <w:tcBorders>
              <w:top w:val="single" w:sz="4" w:space="0" w:color="DFA795"/>
              <w:left w:val="nil"/>
              <w:bottom w:val="single" w:sz="4" w:space="0" w:color="DFA795"/>
              <w:right w:val="nil"/>
            </w:tcBorders>
            <w:shd w:val="clear" w:color="auto" w:fill="FEFAF8"/>
          </w:tcPr>
          <w:p w14:paraId="5A280549" w14:textId="36BF42AF" w:rsidR="000C3111" w:rsidRPr="000F23E0" w:rsidRDefault="00745CFC" w:rsidP="00745CFC">
            <w:pPr>
              <w:pStyle w:val="TableColumnHeadingLeft"/>
              <w:cnfStyle w:val="000000000000" w:firstRow="0" w:lastRow="0" w:firstColumn="0" w:lastColumn="0" w:oddVBand="0" w:evenVBand="0" w:oddHBand="0" w:evenHBand="0" w:firstRowFirstColumn="0" w:firstRowLastColumn="0" w:lastRowFirstColumn="0" w:lastRowLastColumn="0"/>
              <w:rPr>
                <w:rFonts w:eastAsia="Calibri"/>
              </w:rPr>
            </w:pPr>
            <w:r w:rsidRPr="000F23E0">
              <w:drawing>
                <wp:inline distT="0" distB="0" distL="0" distR="0" wp14:anchorId="626E0AA4" wp14:editId="175A3DB2">
                  <wp:extent cx="432000" cy="432000"/>
                  <wp:effectExtent l="0" t="0" r="6350" b="6350"/>
                  <wp:docPr id="740201816" name="Picture 740201816" descr="11 Sustainable Cities and Communitie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0201816" name="Picture 740201816" descr="11 Sustainable Cities and Communities"/>
                          <pic:cNvPicPr preferRelativeResize="0"/>
                        </pic:nvPicPr>
                        <pic:blipFill>
                          <a:blip r:embed="rId35" cstate="print">
                            <a:extLst>
                              <a:ext uri="{28A0092B-C50C-407E-A947-70E740481C1C}">
                                <a14:useLocalDpi xmlns:a14="http://schemas.microsoft.com/office/drawing/2010/main" val="0"/>
                              </a:ext>
                            </a:extLst>
                          </a:blip>
                          <a:stretch>
                            <a:fillRect/>
                          </a:stretch>
                        </pic:blipFill>
                        <pic:spPr>
                          <a:xfrm>
                            <a:off x="0" y="0"/>
                            <a:ext cx="432000" cy="432000"/>
                          </a:xfrm>
                          <a:prstGeom prst="rect">
                            <a:avLst/>
                          </a:prstGeom>
                        </pic:spPr>
                      </pic:pic>
                    </a:graphicData>
                  </a:graphic>
                </wp:inline>
              </w:drawing>
            </w:r>
            <w:r w:rsidRPr="000F23E0">
              <w:drawing>
                <wp:inline distT="0" distB="0" distL="0" distR="0" wp14:anchorId="020D0926" wp14:editId="1DD1DEBA">
                  <wp:extent cx="432000" cy="432000"/>
                  <wp:effectExtent l="0" t="0" r="6350" b="6350"/>
                  <wp:docPr id="248629581" name="Picture 248629581" descr="13 Climate Ac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7290090" name="Picture 887290090" descr="13 Climate Action"/>
                          <pic:cNvPicPr preferRelativeResize="0"/>
                        </pic:nvPicPr>
                        <pic:blipFill>
                          <a:blip r:embed="rId33" cstate="print">
                            <a:extLst>
                              <a:ext uri="{28A0092B-C50C-407E-A947-70E740481C1C}">
                                <a14:useLocalDpi xmlns:a14="http://schemas.microsoft.com/office/drawing/2010/main" val="0"/>
                              </a:ext>
                            </a:extLst>
                          </a:blip>
                          <a:stretch>
                            <a:fillRect/>
                          </a:stretch>
                        </pic:blipFill>
                        <pic:spPr>
                          <a:xfrm>
                            <a:off x="0" y="0"/>
                            <a:ext cx="432000" cy="432000"/>
                          </a:xfrm>
                          <a:prstGeom prst="rect">
                            <a:avLst/>
                          </a:prstGeom>
                        </pic:spPr>
                      </pic:pic>
                    </a:graphicData>
                  </a:graphic>
                </wp:inline>
              </w:drawing>
            </w:r>
          </w:p>
        </w:tc>
        <w:tc>
          <w:tcPr>
            <w:tcW w:w="390" w:type="pct"/>
            <w:tcBorders>
              <w:top w:val="single" w:sz="4" w:space="0" w:color="DFA795"/>
              <w:left w:val="nil"/>
              <w:bottom w:val="single" w:sz="4" w:space="0" w:color="DFA795"/>
              <w:right w:val="nil"/>
            </w:tcBorders>
            <w:shd w:val="clear" w:color="auto" w:fill="FEFAF8"/>
          </w:tcPr>
          <w:p w14:paraId="2FC2E34D" w14:textId="56247B27" w:rsidR="004E1334" w:rsidRPr="000F23E0" w:rsidRDefault="004E1334" w:rsidP="00745CFC">
            <w:pPr>
              <w:pStyle w:val="TableTextRight"/>
              <w:cnfStyle w:val="000000000000" w:firstRow="0" w:lastRow="0" w:firstColumn="0" w:lastColumn="0" w:oddVBand="0" w:evenVBand="0" w:oddHBand="0" w:evenHBand="0" w:firstRowFirstColumn="0" w:firstRowLastColumn="0" w:lastRowFirstColumn="0" w:lastRowLastColumn="0"/>
              <w:rPr>
                <w:rFonts w:eastAsia="Calibri"/>
              </w:rPr>
            </w:pPr>
            <w:r w:rsidRPr="000F23E0">
              <w:rPr>
                <w:rFonts w:eastAsia="Calibri"/>
              </w:rPr>
              <w:t>-</w:t>
            </w:r>
          </w:p>
        </w:tc>
        <w:tc>
          <w:tcPr>
            <w:tcW w:w="390" w:type="pct"/>
            <w:tcBorders>
              <w:top w:val="single" w:sz="4" w:space="0" w:color="DFA795"/>
              <w:left w:val="nil"/>
              <w:bottom w:val="single" w:sz="4" w:space="0" w:color="DFA795"/>
              <w:right w:val="nil"/>
            </w:tcBorders>
            <w:shd w:val="clear" w:color="auto" w:fill="FEFAF8"/>
          </w:tcPr>
          <w:p w14:paraId="68FAD287" w14:textId="16AAC136" w:rsidR="00C74D6F" w:rsidRPr="000F23E0" w:rsidRDefault="00C74D6F" w:rsidP="00745CFC">
            <w:pPr>
              <w:pStyle w:val="TableTextRight"/>
              <w:cnfStyle w:val="000000000000" w:firstRow="0" w:lastRow="0" w:firstColumn="0" w:lastColumn="0" w:oddVBand="0" w:evenVBand="0" w:oddHBand="0" w:evenHBand="0" w:firstRowFirstColumn="0" w:firstRowLastColumn="0" w:lastRowFirstColumn="0" w:lastRowLastColumn="0"/>
              <w:rPr>
                <w:rFonts w:eastAsia="Calibri"/>
              </w:rPr>
            </w:pPr>
            <w:r w:rsidRPr="000F23E0">
              <w:rPr>
                <w:rFonts w:eastAsia="Calibri"/>
              </w:rPr>
              <w:t>-</w:t>
            </w:r>
          </w:p>
        </w:tc>
        <w:tc>
          <w:tcPr>
            <w:tcW w:w="388" w:type="pct"/>
            <w:tcBorders>
              <w:top w:val="single" w:sz="4" w:space="0" w:color="DFA795"/>
              <w:left w:val="nil"/>
              <w:bottom w:val="single" w:sz="4" w:space="0" w:color="DFA795"/>
              <w:right w:val="nil"/>
            </w:tcBorders>
            <w:shd w:val="clear" w:color="auto" w:fill="FEFAF8"/>
          </w:tcPr>
          <w:p w14:paraId="17E707DA" w14:textId="5E9741F4" w:rsidR="00C74D6F" w:rsidRPr="000F23E0" w:rsidRDefault="00C74D6F" w:rsidP="00745CFC">
            <w:pPr>
              <w:pStyle w:val="TableTextRight"/>
              <w:cnfStyle w:val="000000000000" w:firstRow="0" w:lastRow="0" w:firstColumn="0" w:lastColumn="0" w:oddVBand="0" w:evenVBand="0" w:oddHBand="0" w:evenHBand="0" w:firstRowFirstColumn="0" w:firstRowLastColumn="0" w:lastRowFirstColumn="0" w:lastRowLastColumn="0"/>
              <w:rPr>
                <w:rFonts w:eastAsia="Calibri"/>
              </w:rPr>
            </w:pPr>
            <w:r w:rsidRPr="000F23E0">
              <w:rPr>
                <w:rFonts w:eastAsia="Calibri"/>
              </w:rPr>
              <w:t>62.6</w:t>
            </w:r>
          </w:p>
        </w:tc>
        <w:tc>
          <w:tcPr>
            <w:tcW w:w="388" w:type="pct"/>
            <w:tcBorders>
              <w:top w:val="single" w:sz="4" w:space="0" w:color="DFA795"/>
              <w:left w:val="nil"/>
              <w:bottom w:val="single" w:sz="4" w:space="0" w:color="DFA795"/>
              <w:right w:val="nil"/>
            </w:tcBorders>
            <w:shd w:val="clear" w:color="auto" w:fill="FEFAF8"/>
          </w:tcPr>
          <w:p w14:paraId="589D5804" w14:textId="17B3AF80" w:rsidR="00C74D6F" w:rsidRPr="000F23E0" w:rsidRDefault="00C74D6F" w:rsidP="00745CFC">
            <w:pPr>
              <w:pStyle w:val="TableTextRight"/>
              <w:cnfStyle w:val="000000000000" w:firstRow="0" w:lastRow="0" w:firstColumn="0" w:lastColumn="0" w:oddVBand="0" w:evenVBand="0" w:oddHBand="0" w:evenHBand="0" w:firstRowFirstColumn="0" w:firstRowLastColumn="0" w:lastRowFirstColumn="0" w:lastRowLastColumn="0"/>
              <w:rPr>
                <w:rFonts w:eastAsia="Calibri"/>
              </w:rPr>
            </w:pPr>
            <w:r w:rsidRPr="000F23E0">
              <w:t>33.9</w:t>
            </w:r>
          </w:p>
        </w:tc>
        <w:tc>
          <w:tcPr>
            <w:tcW w:w="386" w:type="pct"/>
            <w:tcBorders>
              <w:top w:val="single" w:sz="4" w:space="0" w:color="DFA795"/>
              <w:left w:val="nil"/>
              <w:bottom w:val="single" w:sz="4" w:space="0" w:color="DFA795"/>
              <w:right w:val="nil"/>
            </w:tcBorders>
            <w:shd w:val="clear" w:color="auto" w:fill="FEFAF8"/>
          </w:tcPr>
          <w:p w14:paraId="1561738F" w14:textId="23FA01F6" w:rsidR="00C74D6F" w:rsidRPr="000F23E0" w:rsidRDefault="00953BCE" w:rsidP="00745CFC">
            <w:pPr>
              <w:pStyle w:val="TableTextRight"/>
              <w:cnfStyle w:val="000000000000" w:firstRow="0" w:lastRow="0" w:firstColumn="0" w:lastColumn="0" w:oddVBand="0" w:evenVBand="0" w:oddHBand="0" w:evenHBand="0" w:firstRowFirstColumn="0" w:firstRowLastColumn="0" w:lastRowFirstColumn="0" w:lastRowLastColumn="0"/>
            </w:pPr>
            <w:r w:rsidRPr="000F23E0">
              <w:t>33.9</w:t>
            </w:r>
          </w:p>
        </w:tc>
      </w:tr>
    </w:tbl>
    <w:p w14:paraId="2C0020DB" w14:textId="77777777" w:rsidR="00745CFC" w:rsidRPr="000F23E0" w:rsidRDefault="00745CFC">
      <w:r w:rsidRPr="000F23E0">
        <w:rPr>
          <w:b/>
          <w:bCs/>
        </w:rPr>
        <w:br w:type="page"/>
      </w:r>
    </w:p>
    <w:tbl>
      <w:tblPr>
        <w:tblStyle w:val="GridTable4-Accent2"/>
        <w:tblpPr w:leftFromText="180" w:rightFromText="180" w:vertAnchor="text" w:tblpY="1"/>
        <w:tblOverlap w:val="never"/>
        <w:tblW w:w="5000" w:type="pct"/>
        <w:tblInd w:w="0" w:type="dxa"/>
        <w:tblBorders>
          <w:top w:val="single" w:sz="4" w:space="0" w:color="DFA795"/>
          <w:left w:val="single" w:sz="4" w:space="0" w:color="DFA795"/>
          <w:bottom w:val="single" w:sz="4" w:space="0" w:color="DFA795"/>
          <w:right w:val="single" w:sz="4" w:space="0" w:color="DFA795"/>
          <w:insideH w:val="single" w:sz="4" w:space="0" w:color="DFA795"/>
          <w:insideV w:val="single" w:sz="4" w:space="0" w:color="DFA795"/>
        </w:tblBorders>
        <w:tblLayout w:type="fixed"/>
        <w:tblCellMar>
          <w:top w:w="28" w:type="dxa"/>
          <w:left w:w="85" w:type="dxa"/>
          <w:bottom w:w="28" w:type="dxa"/>
        </w:tblCellMar>
        <w:tblLook w:val="04A0" w:firstRow="1" w:lastRow="0" w:firstColumn="1" w:lastColumn="0" w:noHBand="0" w:noVBand="1"/>
        <w:tblCaption w:val="Table 1: Green Treasury Bond Expenditure and Allocation"/>
        <w:tblDescription w:val="The UN Sustainable Development Goals – SDGs for short – are listed out in picture form in column 4 next to each eligible green expenditure which they are associated with. Electric rail infrastructure in the Infrastructure Investment Program is associated with UN SDG 9 (Industry, Innovation and Infrastructure).&#10;The Driving the Nation Fund is associated with UN SDG 11 (Sustainable Cities and Communities).&#10;Electric bus charging infrastructure is associated with UN SDG 11 (Sustainable Cities and Communities).&#10;International Climate Finance is associated with UN SDG 7 (Affordable and Clean Energy), UN SDG 9 (Industry, Innovation and Infrastructure), and UN SDG 13 (Climate Action).&#10;The Urban Rivers and Catchments Program is associated with UN SDG 15 (Life on Land).&#10;The Saving Koalas Fund is associated with UN SDG 15 (Life on Land).&#10;Reef 2050 is associated with UN SDG 14 (Life Below Water).&#10;The Murray–Darling Basin Plan is associated with UN SDG 6 (Clean Water and Sanitation).&#10;The Recycling Modernisation Fund is associated with UN SDG 12 (Responsible Consumption and Production)."/>
      </w:tblPr>
      <w:tblGrid>
        <w:gridCol w:w="2353"/>
        <w:gridCol w:w="1474"/>
        <w:gridCol w:w="2059"/>
        <w:gridCol w:w="2711"/>
        <w:gridCol w:w="1081"/>
        <w:gridCol w:w="1081"/>
        <w:gridCol w:w="1081"/>
        <w:gridCol w:w="1081"/>
        <w:gridCol w:w="1081"/>
      </w:tblGrid>
      <w:tr w:rsidR="006E5EF6" w:rsidRPr="000F23E0" w14:paraId="7E0CC120" w14:textId="77777777" w:rsidTr="006E5EF6">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40" w:type="pct"/>
            <w:tcBorders>
              <w:left w:val="nil"/>
              <w:right w:val="nil"/>
            </w:tcBorders>
            <w:shd w:val="clear" w:color="auto" w:fill="F1D0C6"/>
          </w:tcPr>
          <w:p w14:paraId="4AACC661" w14:textId="4635FD0E" w:rsidR="00745CFC" w:rsidRPr="000F23E0" w:rsidRDefault="00745CFC" w:rsidP="00745CFC">
            <w:pPr>
              <w:pStyle w:val="TableColumnHeadingLeft"/>
              <w:keepLines/>
              <w:rPr>
                <w:rFonts w:eastAsia="Calibri"/>
              </w:rPr>
            </w:pPr>
            <w:r w:rsidRPr="000F23E0">
              <w:rPr>
                <w:rFonts w:eastAsia="Calibri"/>
                <w:b/>
              </w:rPr>
              <w:lastRenderedPageBreak/>
              <w:t>ICMA Green Bonds Principles</w:t>
            </w:r>
            <w:r w:rsidR="006E5EF6" w:rsidRPr="000F23E0">
              <w:rPr>
                <w:rFonts w:eastAsia="Calibri"/>
                <w:b/>
              </w:rPr>
              <w:t> </w:t>
            </w:r>
            <w:r w:rsidRPr="000F23E0">
              <w:rPr>
                <w:rFonts w:eastAsia="Calibri"/>
                <w:b/>
              </w:rPr>
              <w:t>Category</w:t>
            </w:r>
          </w:p>
        </w:tc>
        <w:tc>
          <w:tcPr>
            <w:tcW w:w="526" w:type="pct"/>
            <w:tcBorders>
              <w:left w:val="nil"/>
              <w:right w:val="nil"/>
            </w:tcBorders>
            <w:shd w:val="clear" w:color="auto" w:fill="F1D0C6"/>
          </w:tcPr>
          <w:p w14:paraId="614364C8" w14:textId="06F25968" w:rsidR="00745CFC" w:rsidRPr="000F23E0" w:rsidRDefault="00745CFC" w:rsidP="00745CFC">
            <w:pPr>
              <w:pStyle w:val="TableTextLeft"/>
              <w:keepLines/>
              <w:cnfStyle w:val="100000000000" w:firstRow="1" w:lastRow="0" w:firstColumn="0" w:lastColumn="0" w:oddVBand="0" w:evenVBand="0" w:oddHBand="0" w:evenHBand="0" w:firstRowFirstColumn="0" w:firstRowLastColumn="0" w:lastRowFirstColumn="0" w:lastRowLastColumn="0"/>
              <w:rPr>
                <w:rStyle w:val="Strong"/>
              </w:rPr>
            </w:pPr>
            <w:r w:rsidRPr="000F23E0">
              <w:rPr>
                <w:rFonts w:eastAsia="Calibri"/>
              </w:rPr>
              <w:t>Program Goal</w:t>
            </w:r>
          </w:p>
        </w:tc>
        <w:tc>
          <w:tcPr>
            <w:tcW w:w="735" w:type="pct"/>
            <w:tcBorders>
              <w:top w:val="single" w:sz="4" w:space="0" w:color="DFA795"/>
              <w:left w:val="nil"/>
              <w:bottom w:val="single" w:sz="4" w:space="0" w:color="DFA795"/>
              <w:right w:val="nil"/>
            </w:tcBorders>
            <w:shd w:val="clear" w:color="auto" w:fill="F1D0C6"/>
          </w:tcPr>
          <w:p w14:paraId="717E3BEC" w14:textId="43A178EC" w:rsidR="00745CFC" w:rsidRPr="000F23E0" w:rsidRDefault="00745CFC" w:rsidP="00745CFC">
            <w:pPr>
              <w:pStyle w:val="TableTextLeft"/>
              <w:keepLines/>
              <w:cnfStyle w:val="100000000000" w:firstRow="1" w:lastRow="0" w:firstColumn="0" w:lastColumn="0" w:oddVBand="0" w:evenVBand="0" w:oddHBand="0" w:evenHBand="0" w:firstRowFirstColumn="0" w:firstRowLastColumn="0" w:lastRowFirstColumn="0" w:lastRowLastColumn="0"/>
            </w:pPr>
            <w:r w:rsidRPr="000F23E0">
              <w:rPr>
                <w:rFonts w:eastAsia="Calibri"/>
              </w:rPr>
              <w:t xml:space="preserve">Eligible Green </w:t>
            </w:r>
            <w:r w:rsidR="006E5EF6" w:rsidRPr="000F23E0">
              <w:rPr>
                <w:rFonts w:eastAsia="Calibri"/>
              </w:rPr>
              <w:br/>
            </w:r>
            <w:r w:rsidRPr="000F23E0">
              <w:rPr>
                <w:rFonts w:eastAsia="Calibri"/>
              </w:rPr>
              <w:t>Expenditure</w:t>
            </w:r>
          </w:p>
        </w:tc>
        <w:tc>
          <w:tcPr>
            <w:tcW w:w="968" w:type="pct"/>
            <w:tcBorders>
              <w:top w:val="single" w:sz="4" w:space="0" w:color="DFA795"/>
              <w:left w:val="nil"/>
              <w:bottom w:val="single" w:sz="4" w:space="0" w:color="DFA795"/>
              <w:right w:val="nil"/>
            </w:tcBorders>
            <w:shd w:val="clear" w:color="auto" w:fill="F1D0C6"/>
          </w:tcPr>
          <w:p w14:paraId="12CDC2D3" w14:textId="28C5DE78" w:rsidR="00745CFC" w:rsidRPr="000F23E0" w:rsidRDefault="00745CFC" w:rsidP="00745CFC">
            <w:pPr>
              <w:pStyle w:val="TableColumnHeadingLeft"/>
              <w:cnfStyle w:val="100000000000" w:firstRow="1" w:lastRow="0" w:firstColumn="0" w:lastColumn="0" w:oddVBand="0" w:evenVBand="0" w:oddHBand="0" w:evenHBand="0" w:firstRowFirstColumn="0" w:firstRowLastColumn="0" w:lastRowFirstColumn="0" w:lastRowLastColumn="0"/>
            </w:pPr>
            <w:r w:rsidRPr="000F23E0">
              <w:rPr>
                <w:rFonts w:eastAsia="Calibri"/>
                <w:b/>
              </w:rPr>
              <w:t xml:space="preserve">UN Sustainable </w:t>
            </w:r>
            <w:r w:rsidR="006E5EF6" w:rsidRPr="000F23E0">
              <w:rPr>
                <w:rFonts w:eastAsia="Calibri"/>
                <w:b/>
              </w:rPr>
              <w:br/>
            </w:r>
            <w:r w:rsidRPr="000F23E0">
              <w:rPr>
                <w:rFonts w:eastAsia="Calibri"/>
                <w:b/>
              </w:rPr>
              <w:t>Development Goal</w:t>
            </w:r>
          </w:p>
        </w:tc>
        <w:tc>
          <w:tcPr>
            <w:tcW w:w="386" w:type="pct"/>
            <w:tcBorders>
              <w:top w:val="single" w:sz="4" w:space="0" w:color="DFA795"/>
              <w:left w:val="nil"/>
              <w:bottom w:val="single" w:sz="4" w:space="0" w:color="DFA795"/>
              <w:right w:val="nil"/>
            </w:tcBorders>
            <w:shd w:val="clear" w:color="auto" w:fill="F1D0C6"/>
          </w:tcPr>
          <w:p w14:paraId="7AB7D651" w14:textId="26BDEA64" w:rsidR="00745CFC" w:rsidRPr="000F23E0" w:rsidRDefault="00745CFC" w:rsidP="00745CFC">
            <w:pPr>
              <w:pStyle w:val="TableTextRight"/>
              <w:keepLines/>
              <w:cnfStyle w:val="100000000000" w:firstRow="1" w:lastRow="0" w:firstColumn="0" w:lastColumn="0" w:oddVBand="0" w:evenVBand="0" w:oddHBand="0" w:evenHBand="0" w:firstRowFirstColumn="0" w:firstRowLastColumn="0" w:lastRowFirstColumn="0" w:lastRowLastColumn="0"/>
              <w:rPr>
                <w:rFonts w:eastAsia="Calibri"/>
              </w:rPr>
            </w:pPr>
            <w:r w:rsidRPr="000F23E0">
              <w:rPr>
                <w:rFonts w:eastAsia="Calibri"/>
              </w:rPr>
              <w:t>Previous expenditure ($m)</w:t>
            </w:r>
          </w:p>
        </w:tc>
        <w:tc>
          <w:tcPr>
            <w:tcW w:w="386" w:type="pct"/>
            <w:tcBorders>
              <w:top w:val="single" w:sz="4" w:space="0" w:color="DFA795"/>
              <w:left w:val="nil"/>
              <w:bottom w:val="single" w:sz="4" w:space="0" w:color="DFA795"/>
              <w:right w:val="nil"/>
            </w:tcBorders>
            <w:shd w:val="clear" w:color="auto" w:fill="F1D0C6"/>
          </w:tcPr>
          <w:p w14:paraId="79A5CE12" w14:textId="5ED5CC54" w:rsidR="00745CFC" w:rsidRPr="000F23E0" w:rsidRDefault="00745CFC" w:rsidP="00745CFC">
            <w:pPr>
              <w:pStyle w:val="TableTextRight"/>
              <w:keepLines/>
              <w:cnfStyle w:val="100000000000" w:firstRow="1" w:lastRow="0" w:firstColumn="0" w:lastColumn="0" w:oddVBand="0" w:evenVBand="0" w:oddHBand="0" w:evenHBand="0" w:firstRowFirstColumn="0" w:firstRowLastColumn="0" w:lastRowFirstColumn="0" w:lastRowLastColumn="0"/>
              <w:rPr>
                <w:rFonts w:eastAsia="Calibri"/>
              </w:rPr>
            </w:pPr>
            <w:r w:rsidRPr="000F23E0">
              <w:rPr>
                <w:rFonts w:eastAsia="Calibri"/>
              </w:rPr>
              <w:t>Previous allocation ($m)</w:t>
            </w:r>
          </w:p>
        </w:tc>
        <w:tc>
          <w:tcPr>
            <w:tcW w:w="386" w:type="pct"/>
            <w:tcBorders>
              <w:top w:val="single" w:sz="4" w:space="0" w:color="DFA795"/>
              <w:left w:val="nil"/>
              <w:bottom w:val="single" w:sz="4" w:space="0" w:color="DFA795"/>
              <w:right w:val="nil"/>
            </w:tcBorders>
            <w:shd w:val="clear" w:color="auto" w:fill="F1D0C6"/>
          </w:tcPr>
          <w:p w14:paraId="68DF7110" w14:textId="4B0C8FBA" w:rsidR="00745CFC" w:rsidRPr="000F23E0" w:rsidRDefault="00745CFC" w:rsidP="00745CFC">
            <w:pPr>
              <w:pStyle w:val="TableTextRight"/>
              <w:keepLines/>
              <w:cnfStyle w:val="100000000000" w:firstRow="1" w:lastRow="0" w:firstColumn="0" w:lastColumn="0" w:oddVBand="0" w:evenVBand="0" w:oddHBand="0" w:evenHBand="0" w:firstRowFirstColumn="0" w:firstRowLastColumn="0" w:lastRowFirstColumn="0" w:lastRowLastColumn="0"/>
              <w:rPr>
                <w:rFonts w:eastAsia="Calibri"/>
              </w:rPr>
            </w:pPr>
            <w:r w:rsidRPr="000F23E0">
              <w:rPr>
                <w:rFonts w:eastAsia="Calibri"/>
              </w:rPr>
              <w:t>Expenditure 2024–25</w:t>
            </w:r>
            <w:r w:rsidRPr="000F23E0">
              <w:rPr>
                <w:rFonts w:eastAsia="Calibri"/>
                <w:b w:val="0"/>
              </w:rPr>
              <w:br/>
            </w:r>
            <w:r w:rsidRPr="000F23E0">
              <w:rPr>
                <w:rFonts w:eastAsia="Calibri"/>
              </w:rPr>
              <w:t>($m)</w:t>
            </w:r>
          </w:p>
        </w:tc>
        <w:tc>
          <w:tcPr>
            <w:tcW w:w="386" w:type="pct"/>
            <w:tcBorders>
              <w:top w:val="single" w:sz="4" w:space="0" w:color="DFA795"/>
              <w:left w:val="nil"/>
              <w:bottom w:val="single" w:sz="4" w:space="0" w:color="DFA795"/>
              <w:right w:val="nil"/>
            </w:tcBorders>
            <w:shd w:val="clear" w:color="auto" w:fill="F1D0C6"/>
          </w:tcPr>
          <w:p w14:paraId="5F015BA3" w14:textId="3EED0A65" w:rsidR="00745CFC" w:rsidRPr="000F23E0" w:rsidRDefault="00745CFC" w:rsidP="00745CFC">
            <w:pPr>
              <w:pStyle w:val="TableTextRight"/>
              <w:keepLines/>
              <w:cnfStyle w:val="100000000000" w:firstRow="1" w:lastRow="0" w:firstColumn="0" w:lastColumn="0" w:oddVBand="0" w:evenVBand="0" w:oddHBand="0" w:evenHBand="0" w:firstRowFirstColumn="0" w:firstRowLastColumn="0" w:lastRowFirstColumn="0" w:lastRowLastColumn="0"/>
            </w:pPr>
            <w:r w:rsidRPr="000F23E0">
              <w:rPr>
                <w:rFonts w:eastAsia="Calibri"/>
              </w:rPr>
              <w:t>Allocation 2026 report ($m)</w:t>
            </w:r>
          </w:p>
        </w:tc>
        <w:tc>
          <w:tcPr>
            <w:tcW w:w="386" w:type="pct"/>
            <w:tcBorders>
              <w:top w:val="single" w:sz="4" w:space="0" w:color="DFA795"/>
              <w:left w:val="nil"/>
              <w:bottom w:val="single" w:sz="4" w:space="0" w:color="DFA795"/>
              <w:right w:val="nil"/>
            </w:tcBorders>
            <w:shd w:val="clear" w:color="auto" w:fill="F1D0C6"/>
          </w:tcPr>
          <w:p w14:paraId="52255A79" w14:textId="67938C67" w:rsidR="00745CFC" w:rsidRPr="000F23E0" w:rsidRDefault="00745CFC" w:rsidP="00745CFC">
            <w:pPr>
              <w:pStyle w:val="TableTextRight"/>
              <w:keepLines/>
              <w:cnfStyle w:val="100000000000" w:firstRow="1" w:lastRow="0" w:firstColumn="0" w:lastColumn="0" w:oddVBand="0" w:evenVBand="0" w:oddHBand="0" w:evenHBand="0" w:firstRowFirstColumn="0" w:firstRowLastColumn="0" w:lastRowFirstColumn="0" w:lastRowLastColumn="0"/>
            </w:pPr>
            <w:r w:rsidRPr="000F23E0">
              <w:rPr>
                <w:rFonts w:eastAsia="Calibri"/>
              </w:rPr>
              <w:t>Total allocation ($m)</w:t>
            </w:r>
          </w:p>
        </w:tc>
      </w:tr>
      <w:tr w:rsidR="006E5EF6" w:rsidRPr="000F23E0" w14:paraId="152418CB" w14:textId="5D0F54E7" w:rsidTr="00740BA0">
        <w:trPr>
          <w:trHeight w:val="300"/>
        </w:trPr>
        <w:tc>
          <w:tcPr>
            <w:cnfStyle w:val="001000000000" w:firstRow="0" w:lastRow="0" w:firstColumn="1" w:lastColumn="0" w:oddVBand="0" w:evenVBand="0" w:oddHBand="0" w:evenHBand="0" w:firstRowFirstColumn="0" w:firstRowLastColumn="0" w:lastRowFirstColumn="0" w:lastRowLastColumn="0"/>
            <w:tcW w:w="840" w:type="pct"/>
            <w:vMerge w:val="restart"/>
            <w:tcBorders>
              <w:left w:val="nil"/>
              <w:right w:val="nil"/>
            </w:tcBorders>
            <w:shd w:val="clear" w:color="auto" w:fill="FAE5D4"/>
          </w:tcPr>
          <w:p w14:paraId="6276EC16" w14:textId="73BCC5E0" w:rsidR="00C74D6F" w:rsidRPr="000F23E0" w:rsidRDefault="00C74D6F" w:rsidP="001A0ABB">
            <w:pPr>
              <w:pStyle w:val="TableColumnHeadingLeft"/>
              <w:rPr>
                <w:rFonts w:eastAsia="Calibri"/>
              </w:rPr>
            </w:pPr>
            <w:r w:rsidRPr="000F23E0">
              <w:rPr>
                <w:rFonts w:eastAsia="Calibri"/>
              </w:rPr>
              <w:t>Clean transportation</w:t>
            </w:r>
          </w:p>
        </w:tc>
        <w:tc>
          <w:tcPr>
            <w:tcW w:w="526" w:type="pct"/>
            <w:vMerge w:val="restart"/>
            <w:tcBorders>
              <w:left w:val="nil"/>
              <w:right w:val="nil"/>
            </w:tcBorders>
            <w:shd w:val="clear" w:color="auto" w:fill="FDF0E7"/>
          </w:tcPr>
          <w:p w14:paraId="507C89AD" w14:textId="687F4453" w:rsidR="00C74D6F" w:rsidRPr="000F23E0" w:rsidRDefault="00445AD4" w:rsidP="001A0ABB">
            <w:pPr>
              <w:pStyle w:val="TableColumnHeadingLeft"/>
              <w:cnfStyle w:val="000000000000" w:firstRow="0" w:lastRow="0" w:firstColumn="0" w:lastColumn="0" w:oddVBand="0" w:evenVBand="0" w:oddHBand="0" w:evenHBand="0" w:firstRowFirstColumn="0" w:firstRowLastColumn="0" w:lastRowFirstColumn="0" w:lastRowLastColumn="0"/>
              <w:rPr>
                <w:rStyle w:val="Strong"/>
                <w:b/>
                <w:bCs w:val="0"/>
              </w:rPr>
            </w:pPr>
            <w:r w:rsidRPr="000F23E0">
              <w:rPr>
                <w:rStyle w:val="Strong"/>
                <w:b/>
                <w:bCs w:val="0"/>
              </w:rPr>
              <w:t>Climate change mitigation</w:t>
            </w:r>
          </w:p>
        </w:tc>
        <w:tc>
          <w:tcPr>
            <w:tcW w:w="735" w:type="pct"/>
            <w:tcBorders>
              <w:top w:val="single" w:sz="4" w:space="0" w:color="DFA795"/>
              <w:left w:val="nil"/>
              <w:bottom w:val="single" w:sz="4" w:space="0" w:color="DFA795"/>
              <w:right w:val="nil"/>
            </w:tcBorders>
            <w:shd w:val="clear" w:color="auto" w:fill="FEFAF8"/>
          </w:tcPr>
          <w:p w14:paraId="074BFB76" w14:textId="58591D65" w:rsidR="00C74D6F" w:rsidRPr="000F23E0" w:rsidRDefault="00393957" w:rsidP="00745CFC">
            <w:pPr>
              <w:pStyle w:val="TableTextLeft"/>
              <w:keepNext/>
              <w:keepLines/>
              <w:cnfStyle w:val="000000000000" w:firstRow="0" w:lastRow="0" w:firstColumn="0" w:lastColumn="0" w:oddVBand="0" w:evenVBand="0" w:oddHBand="0" w:evenHBand="0" w:firstRowFirstColumn="0" w:firstRowLastColumn="0" w:lastRowFirstColumn="0" w:lastRowLastColumn="0"/>
              <w:rPr>
                <w:rFonts w:eastAsia="Calibri"/>
              </w:rPr>
            </w:pPr>
            <w:r w:rsidRPr="000F23E0">
              <w:t>Electric rail infrastructure in the Infrastructure Investment Program</w:t>
            </w:r>
          </w:p>
        </w:tc>
        <w:tc>
          <w:tcPr>
            <w:tcW w:w="968" w:type="pct"/>
            <w:tcBorders>
              <w:top w:val="single" w:sz="4" w:space="0" w:color="DFA795"/>
              <w:left w:val="nil"/>
              <w:bottom w:val="single" w:sz="4" w:space="0" w:color="DFA795"/>
              <w:right w:val="nil"/>
            </w:tcBorders>
            <w:shd w:val="clear" w:color="auto" w:fill="FEFAF8"/>
          </w:tcPr>
          <w:p w14:paraId="58CF3308" w14:textId="3C71D336" w:rsidR="000C3111" w:rsidRPr="000F23E0" w:rsidRDefault="00745CFC" w:rsidP="00745CFC">
            <w:pPr>
              <w:pStyle w:val="TableColumnHeadingLeft"/>
              <w:cnfStyle w:val="000000000000" w:firstRow="0" w:lastRow="0" w:firstColumn="0" w:lastColumn="0" w:oddVBand="0" w:evenVBand="0" w:oddHBand="0" w:evenHBand="0" w:firstRowFirstColumn="0" w:firstRowLastColumn="0" w:lastRowFirstColumn="0" w:lastRowLastColumn="0"/>
              <w:rPr>
                <w:rFonts w:eastAsia="Calibri"/>
              </w:rPr>
            </w:pPr>
            <w:r w:rsidRPr="000F23E0">
              <w:drawing>
                <wp:inline distT="0" distB="0" distL="0" distR="0" wp14:anchorId="75C0808D" wp14:editId="496AB5EB">
                  <wp:extent cx="432000" cy="432000"/>
                  <wp:effectExtent l="0" t="0" r="6350" b="6350"/>
                  <wp:docPr id="625774663" name="Picture 625774663" descr="9 Industry, Innovation and Infra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845014" name="Picture 1542845014" descr="9 Industry, Innovation and Infrastructur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32000" cy="432000"/>
                          </a:xfrm>
                          <a:prstGeom prst="rect">
                            <a:avLst/>
                          </a:prstGeom>
                        </pic:spPr>
                      </pic:pic>
                    </a:graphicData>
                  </a:graphic>
                </wp:inline>
              </w:drawing>
            </w:r>
          </w:p>
        </w:tc>
        <w:tc>
          <w:tcPr>
            <w:tcW w:w="386" w:type="pct"/>
            <w:tcBorders>
              <w:top w:val="single" w:sz="4" w:space="0" w:color="DFA795"/>
              <w:left w:val="nil"/>
              <w:bottom w:val="single" w:sz="4" w:space="0" w:color="DFA795"/>
              <w:right w:val="nil"/>
            </w:tcBorders>
            <w:shd w:val="clear" w:color="auto" w:fill="FEFAF8"/>
          </w:tcPr>
          <w:p w14:paraId="309F9AAD" w14:textId="5095698C" w:rsidR="004E1334" w:rsidRPr="000F23E0" w:rsidRDefault="004E1334" w:rsidP="00745CFC">
            <w:pPr>
              <w:pStyle w:val="TableTextRight"/>
              <w:keepNext/>
              <w:keepLines/>
              <w:cnfStyle w:val="000000000000" w:firstRow="0" w:lastRow="0" w:firstColumn="0" w:lastColumn="0" w:oddVBand="0" w:evenVBand="0" w:oddHBand="0" w:evenHBand="0" w:firstRowFirstColumn="0" w:firstRowLastColumn="0" w:lastRowFirstColumn="0" w:lastRowLastColumn="0"/>
              <w:rPr>
                <w:rFonts w:eastAsia="Calibri"/>
              </w:rPr>
            </w:pPr>
            <w:r w:rsidRPr="000F23E0">
              <w:rPr>
                <w:rFonts w:eastAsia="Calibri"/>
              </w:rPr>
              <w:t>3,365.9</w:t>
            </w:r>
          </w:p>
        </w:tc>
        <w:tc>
          <w:tcPr>
            <w:tcW w:w="386" w:type="pct"/>
            <w:tcBorders>
              <w:top w:val="single" w:sz="4" w:space="0" w:color="DFA795"/>
              <w:left w:val="nil"/>
              <w:bottom w:val="single" w:sz="4" w:space="0" w:color="DFA795"/>
              <w:right w:val="nil"/>
            </w:tcBorders>
            <w:shd w:val="clear" w:color="auto" w:fill="FEFAF8"/>
          </w:tcPr>
          <w:p w14:paraId="400B2B6F" w14:textId="23027718" w:rsidR="00C74D6F" w:rsidRPr="000F23E0" w:rsidRDefault="00C74D6F" w:rsidP="00745CFC">
            <w:pPr>
              <w:pStyle w:val="TableTextRight"/>
              <w:keepNext/>
              <w:keepLines/>
              <w:cnfStyle w:val="000000000000" w:firstRow="0" w:lastRow="0" w:firstColumn="0" w:lastColumn="0" w:oddVBand="0" w:evenVBand="0" w:oddHBand="0" w:evenHBand="0" w:firstRowFirstColumn="0" w:firstRowLastColumn="0" w:lastRowFirstColumn="0" w:lastRowLastColumn="0"/>
              <w:rPr>
                <w:rFonts w:eastAsia="Calibri"/>
              </w:rPr>
            </w:pPr>
            <w:r w:rsidRPr="000F23E0">
              <w:rPr>
                <w:rFonts w:eastAsia="Calibri"/>
              </w:rPr>
              <w:t>3</w:t>
            </w:r>
            <w:r w:rsidR="007E43EF" w:rsidRPr="000F23E0">
              <w:rPr>
                <w:rFonts w:eastAsia="Calibri"/>
              </w:rPr>
              <w:t>,</w:t>
            </w:r>
            <w:r w:rsidRPr="000F23E0">
              <w:rPr>
                <w:rFonts w:eastAsia="Calibri"/>
              </w:rPr>
              <w:t>365.9</w:t>
            </w:r>
          </w:p>
        </w:tc>
        <w:tc>
          <w:tcPr>
            <w:tcW w:w="386" w:type="pct"/>
            <w:tcBorders>
              <w:top w:val="single" w:sz="4" w:space="0" w:color="DFA795"/>
              <w:left w:val="nil"/>
              <w:bottom w:val="single" w:sz="4" w:space="0" w:color="DFA795"/>
              <w:right w:val="nil"/>
            </w:tcBorders>
            <w:shd w:val="clear" w:color="auto" w:fill="FEFAF8"/>
          </w:tcPr>
          <w:p w14:paraId="3E6CBB64" w14:textId="43ACE767" w:rsidR="00C74D6F" w:rsidRPr="000F23E0" w:rsidRDefault="00C74D6F" w:rsidP="00745CFC">
            <w:pPr>
              <w:pStyle w:val="TableTextRight"/>
              <w:keepNext/>
              <w:keepLines/>
              <w:cnfStyle w:val="000000000000" w:firstRow="0" w:lastRow="0" w:firstColumn="0" w:lastColumn="0" w:oddVBand="0" w:evenVBand="0" w:oddHBand="0" w:evenHBand="0" w:firstRowFirstColumn="0" w:firstRowLastColumn="0" w:lastRowFirstColumn="0" w:lastRowLastColumn="0"/>
              <w:rPr>
                <w:rFonts w:eastAsia="Calibri"/>
              </w:rPr>
            </w:pPr>
            <w:r w:rsidRPr="000F23E0">
              <w:rPr>
                <w:rFonts w:eastAsia="Calibri"/>
              </w:rPr>
              <w:t>3,041.6</w:t>
            </w:r>
          </w:p>
        </w:tc>
        <w:tc>
          <w:tcPr>
            <w:tcW w:w="386" w:type="pct"/>
            <w:tcBorders>
              <w:top w:val="single" w:sz="4" w:space="0" w:color="DFA795"/>
              <w:left w:val="nil"/>
              <w:bottom w:val="single" w:sz="4" w:space="0" w:color="DFA795"/>
              <w:right w:val="nil"/>
            </w:tcBorders>
            <w:shd w:val="clear" w:color="auto" w:fill="FEFAF8"/>
          </w:tcPr>
          <w:p w14:paraId="0F1F94B9" w14:textId="360F23DB" w:rsidR="00C74D6F" w:rsidRPr="000F23E0" w:rsidDel="00D03E23" w:rsidRDefault="00C74D6F" w:rsidP="00745CFC">
            <w:pPr>
              <w:pStyle w:val="TableTextRight"/>
              <w:keepNext/>
              <w:keepLines/>
              <w:cnfStyle w:val="000000000000" w:firstRow="0" w:lastRow="0" w:firstColumn="0" w:lastColumn="0" w:oddVBand="0" w:evenVBand="0" w:oddHBand="0" w:evenHBand="0" w:firstRowFirstColumn="0" w:firstRowLastColumn="0" w:lastRowFirstColumn="0" w:lastRowLastColumn="0"/>
              <w:rPr>
                <w:rFonts w:eastAsia="Calibri"/>
              </w:rPr>
            </w:pPr>
            <w:r w:rsidRPr="000F23E0">
              <w:t>1</w:t>
            </w:r>
            <w:r w:rsidR="007E43EF" w:rsidRPr="000F23E0">
              <w:t>,</w:t>
            </w:r>
            <w:r w:rsidRPr="000F23E0">
              <w:t>646.2</w:t>
            </w:r>
          </w:p>
        </w:tc>
        <w:tc>
          <w:tcPr>
            <w:tcW w:w="386" w:type="pct"/>
            <w:tcBorders>
              <w:top w:val="single" w:sz="4" w:space="0" w:color="DFA795"/>
              <w:left w:val="nil"/>
              <w:bottom w:val="single" w:sz="4" w:space="0" w:color="DFA795"/>
              <w:right w:val="nil"/>
            </w:tcBorders>
            <w:shd w:val="clear" w:color="auto" w:fill="FEFAF8"/>
          </w:tcPr>
          <w:p w14:paraId="085BCA1F" w14:textId="5D0BEF72" w:rsidR="00C74D6F" w:rsidRPr="000F23E0" w:rsidRDefault="007E43EF" w:rsidP="00745CFC">
            <w:pPr>
              <w:pStyle w:val="TableTextRight"/>
              <w:keepNext/>
              <w:keepLines/>
              <w:cnfStyle w:val="000000000000" w:firstRow="0" w:lastRow="0" w:firstColumn="0" w:lastColumn="0" w:oddVBand="0" w:evenVBand="0" w:oddHBand="0" w:evenHBand="0" w:firstRowFirstColumn="0" w:firstRowLastColumn="0" w:lastRowFirstColumn="0" w:lastRowLastColumn="0"/>
            </w:pPr>
            <w:r w:rsidRPr="000F23E0">
              <w:t>5,012.1</w:t>
            </w:r>
          </w:p>
        </w:tc>
      </w:tr>
      <w:tr w:rsidR="006E5EF6" w:rsidRPr="000F23E0" w14:paraId="1A31024E" w14:textId="532EB468" w:rsidTr="00740BA0">
        <w:trPr>
          <w:trHeight w:val="649"/>
        </w:trPr>
        <w:tc>
          <w:tcPr>
            <w:cnfStyle w:val="001000000000" w:firstRow="0" w:lastRow="0" w:firstColumn="1" w:lastColumn="0" w:oddVBand="0" w:evenVBand="0" w:oddHBand="0" w:evenHBand="0" w:firstRowFirstColumn="0" w:firstRowLastColumn="0" w:lastRowFirstColumn="0" w:lastRowLastColumn="0"/>
            <w:tcW w:w="840" w:type="pct"/>
            <w:vMerge/>
            <w:tcBorders>
              <w:left w:val="nil"/>
              <w:right w:val="nil"/>
            </w:tcBorders>
            <w:shd w:val="clear" w:color="auto" w:fill="FAE5D4"/>
          </w:tcPr>
          <w:p w14:paraId="24D7D533" w14:textId="77777777" w:rsidR="00C74D6F" w:rsidRPr="000F23E0" w:rsidRDefault="00C74D6F" w:rsidP="001A0ABB">
            <w:pPr>
              <w:pStyle w:val="TableColumnHeadingLeft"/>
              <w:rPr>
                <w:rFonts w:eastAsia="Calibri"/>
                <w:bCs w:val="0"/>
                <w:color w:val="FFFFFF" w:themeColor="background1"/>
                <w:sz w:val="20"/>
              </w:rPr>
            </w:pPr>
          </w:p>
        </w:tc>
        <w:tc>
          <w:tcPr>
            <w:tcW w:w="526" w:type="pct"/>
            <w:vMerge/>
            <w:tcBorders>
              <w:left w:val="nil"/>
              <w:right w:val="nil"/>
            </w:tcBorders>
            <w:shd w:val="clear" w:color="auto" w:fill="FDF0E7"/>
          </w:tcPr>
          <w:p w14:paraId="57C0E1C7" w14:textId="77777777" w:rsidR="00C74D6F" w:rsidRPr="000F23E0" w:rsidRDefault="00C74D6F" w:rsidP="001A0ABB">
            <w:pPr>
              <w:pStyle w:val="TableColumnHeadingLeft"/>
              <w:cnfStyle w:val="000000000000" w:firstRow="0" w:lastRow="0" w:firstColumn="0" w:lastColumn="0" w:oddVBand="0" w:evenVBand="0" w:oddHBand="0" w:evenHBand="0" w:firstRowFirstColumn="0" w:firstRowLastColumn="0" w:lastRowFirstColumn="0" w:lastRowLastColumn="0"/>
            </w:pPr>
          </w:p>
        </w:tc>
        <w:tc>
          <w:tcPr>
            <w:tcW w:w="735" w:type="pct"/>
            <w:tcBorders>
              <w:top w:val="single" w:sz="4" w:space="0" w:color="DFA795"/>
              <w:left w:val="nil"/>
              <w:bottom w:val="single" w:sz="4" w:space="0" w:color="DFA795"/>
              <w:right w:val="nil"/>
            </w:tcBorders>
            <w:shd w:val="clear" w:color="auto" w:fill="FEFAF8"/>
          </w:tcPr>
          <w:p w14:paraId="071ADAE0" w14:textId="77777777" w:rsidR="00C74D6F" w:rsidRPr="000F23E0" w:rsidRDefault="00C74D6F" w:rsidP="00745CFC">
            <w:pPr>
              <w:pStyle w:val="TableTextLeft"/>
              <w:keepNext/>
              <w:keepLines/>
              <w:cnfStyle w:val="000000000000" w:firstRow="0" w:lastRow="0" w:firstColumn="0" w:lastColumn="0" w:oddVBand="0" w:evenVBand="0" w:oddHBand="0" w:evenHBand="0" w:firstRowFirstColumn="0" w:firstRowLastColumn="0" w:lastRowFirstColumn="0" w:lastRowLastColumn="0"/>
              <w:rPr>
                <w:rFonts w:eastAsia="Calibri"/>
              </w:rPr>
            </w:pPr>
            <w:r w:rsidRPr="000F23E0">
              <w:t>Driving the Nation Fund</w:t>
            </w:r>
          </w:p>
        </w:tc>
        <w:tc>
          <w:tcPr>
            <w:tcW w:w="968" w:type="pct"/>
            <w:tcBorders>
              <w:top w:val="single" w:sz="4" w:space="0" w:color="DFA795"/>
              <w:left w:val="nil"/>
              <w:bottom w:val="single" w:sz="4" w:space="0" w:color="DFA795"/>
              <w:right w:val="nil"/>
            </w:tcBorders>
            <w:shd w:val="clear" w:color="auto" w:fill="FEFAF8"/>
          </w:tcPr>
          <w:p w14:paraId="78CEAC43" w14:textId="759DABB4" w:rsidR="000C3111" w:rsidRPr="000F23E0" w:rsidRDefault="00745CFC" w:rsidP="00745CFC">
            <w:pPr>
              <w:pStyle w:val="TableColumnHeadingLeft"/>
              <w:cnfStyle w:val="000000000000" w:firstRow="0" w:lastRow="0" w:firstColumn="0" w:lastColumn="0" w:oddVBand="0" w:evenVBand="0" w:oddHBand="0" w:evenHBand="0" w:firstRowFirstColumn="0" w:firstRowLastColumn="0" w:lastRowFirstColumn="0" w:lastRowLastColumn="0"/>
              <w:rPr>
                <w:rFonts w:eastAsia="Calibri"/>
              </w:rPr>
            </w:pPr>
            <w:r w:rsidRPr="000F23E0">
              <w:drawing>
                <wp:inline distT="0" distB="0" distL="0" distR="0" wp14:anchorId="3CD1154C" wp14:editId="399CA4CA">
                  <wp:extent cx="432000" cy="432000"/>
                  <wp:effectExtent l="0" t="0" r="6350" b="6350"/>
                  <wp:docPr id="1704074151" name="Picture 1704074151" descr="11 Sustainable Cities and Communitie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0201816" name="Picture 740201816" descr="11 Sustainable Cities and Communities"/>
                          <pic:cNvPicPr preferRelativeResize="0"/>
                        </pic:nvPicPr>
                        <pic:blipFill>
                          <a:blip r:embed="rId35" cstate="print">
                            <a:extLst>
                              <a:ext uri="{28A0092B-C50C-407E-A947-70E740481C1C}">
                                <a14:useLocalDpi xmlns:a14="http://schemas.microsoft.com/office/drawing/2010/main" val="0"/>
                              </a:ext>
                            </a:extLst>
                          </a:blip>
                          <a:stretch>
                            <a:fillRect/>
                          </a:stretch>
                        </pic:blipFill>
                        <pic:spPr>
                          <a:xfrm>
                            <a:off x="0" y="0"/>
                            <a:ext cx="432000" cy="432000"/>
                          </a:xfrm>
                          <a:prstGeom prst="rect">
                            <a:avLst/>
                          </a:prstGeom>
                        </pic:spPr>
                      </pic:pic>
                    </a:graphicData>
                  </a:graphic>
                </wp:inline>
              </w:drawing>
            </w:r>
          </w:p>
        </w:tc>
        <w:tc>
          <w:tcPr>
            <w:tcW w:w="386" w:type="pct"/>
            <w:tcBorders>
              <w:top w:val="single" w:sz="4" w:space="0" w:color="DFA795"/>
              <w:left w:val="nil"/>
              <w:bottom w:val="single" w:sz="4" w:space="0" w:color="DFA795"/>
              <w:right w:val="nil"/>
            </w:tcBorders>
            <w:shd w:val="clear" w:color="auto" w:fill="FEFAF8"/>
          </w:tcPr>
          <w:p w14:paraId="6C946853" w14:textId="0EFF0CA9" w:rsidR="004E1334" w:rsidRPr="000F23E0" w:rsidRDefault="004E1334" w:rsidP="00745CFC">
            <w:pPr>
              <w:pStyle w:val="TableTextRight"/>
              <w:keepNext/>
              <w:keepLines/>
              <w:cnfStyle w:val="000000000000" w:firstRow="0" w:lastRow="0" w:firstColumn="0" w:lastColumn="0" w:oddVBand="0" w:evenVBand="0" w:oddHBand="0" w:evenHBand="0" w:firstRowFirstColumn="0" w:firstRowLastColumn="0" w:lastRowFirstColumn="0" w:lastRowLastColumn="0"/>
              <w:rPr>
                <w:rFonts w:eastAsia="Calibri"/>
              </w:rPr>
            </w:pPr>
            <w:r w:rsidRPr="000F23E0">
              <w:rPr>
                <w:rFonts w:eastAsia="Calibri"/>
              </w:rPr>
              <w:t>37.3</w:t>
            </w:r>
          </w:p>
        </w:tc>
        <w:tc>
          <w:tcPr>
            <w:tcW w:w="386" w:type="pct"/>
            <w:tcBorders>
              <w:top w:val="single" w:sz="4" w:space="0" w:color="DFA795"/>
              <w:left w:val="nil"/>
              <w:bottom w:val="single" w:sz="4" w:space="0" w:color="DFA795"/>
              <w:right w:val="nil"/>
            </w:tcBorders>
            <w:shd w:val="clear" w:color="auto" w:fill="FEFAF8"/>
          </w:tcPr>
          <w:p w14:paraId="5B8A23AE" w14:textId="0AA16460" w:rsidR="00C74D6F" w:rsidRPr="000F23E0" w:rsidRDefault="00C74D6F" w:rsidP="00745CFC">
            <w:pPr>
              <w:pStyle w:val="TableTextRight"/>
              <w:keepNext/>
              <w:keepLines/>
              <w:cnfStyle w:val="000000000000" w:firstRow="0" w:lastRow="0" w:firstColumn="0" w:lastColumn="0" w:oddVBand="0" w:evenVBand="0" w:oddHBand="0" w:evenHBand="0" w:firstRowFirstColumn="0" w:firstRowLastColumn="0" w:lastRowFirstColumn="0" w:lastRowLastColumn="0"/>
              <w:rPr>
                <w:rFonts w:eastAsia="Calibri"/>
              </w:rPr>
            </w:pPr>
            <w:r w:rsidRPr="000F23E0">
              <w:rPr>
                <w:rFonts w:eastAsia="Calibri"/>
              </w:rPr>
              <w:t>37.3</w:t>
            </w:r>
          </w:p>
        </w:tc>
        <w:tc>
          <w:tcPr>
            <w:tcW w:w="386" w:type="pct"/>
            <w:tcBorders>
              <w:top w:val="single" w:sz="4" w:space="0" w:color="DFA795"/>
              <w:left w:val="nil"/>
              <w:bottom w:val="single" w:sz="4" w:space="0" w:color="DFA795"/>
              <w:right w:val="nil"/>
            </w:tcBorders>
            <w:shd w:val="clear" w:color="auto" w:fill="FEFAF8"/>
          </w:tcPr>
          <w:p w14:paraId="4E93FF77" w14:textId="4A37915F" w:rsidR="00C74D6F" w:rsidRPr="000F23E0" w:rsidRDefault="00C74D6F" w:rsidP="00745CFC">
            <w:pPr>
              <w:pStyle w:val="TableTextRight"/>
              <w:keepNext/>
              <w:keepLines/>
              <w:cnfStyle w:val="000000000000" w:firstRow="0" w:lastRow="0" w:firstColumn="0" w:lastColumn="0" w:oddVBand="0" w:evenVBand="0" w:oddHBand="0" w:evenHBand="0" w:firstRowFirstColumn="0" w:firstRowLastColumn="0" w:lastRowFirstColumn="0" w:lastRowLastColumn="0"/>
              <w:rPr>
                <w:rFonts w:eastAsia="Calibri"/>
              </w:rPr>
            </w:pPr>
            <w:r w:rsidRPr="000F23E0">
              <w:rPr>
                <w:rFonts w:eastAsia="Calibri"/>
              </w:rPr>
              <w:t>37.5</w:t>
            </w:r>
          </w:p>
        </w:tc>
        <w:tc>
          <w:tcPr>
            <w:tcW w:w="386" w:type="pct"/>
            <w:tcBorders>
              <w:top w:val="single" w:sz="4" w:space="0" w:color="DFA795"/>
              <w:left w:val="nil"/>
              <w:bottom w:val="single" w:sz="4" w:space="0" w:color="DFA795"/>
              <w:right w:val="nil"/>
            </w:tcBorders>
            <w:shd w:val="clear" w:color="auto" w:fill="FEFAF8"/>
          </w:tcPr>
          <w:p w14:paraId="6577823D" w14:textId="40ED884B" w:rsidR="00C74D6F" w:rsidRPr="000F23E0" w:rsidRDefault="00C74D6F" w:rsidP="00745CFC">
            <w:pPr>
              <w:pStyle w:val="TableTextRight"/>
              <w:keepNext/>
              <w:keepLines/>
              <w:cnfStyle w:val="000000000000" w:firstRow="0" w:lastRow="0" w:firstColumn="0" w:lastColumn="0" w:oddVBand="0" w:evenVBand="0" w:oddHBand="0" w:evenHBand="0" w:firstRowFirstColumn="0" w:firstRowLastColumn="0" w:lastRowFirstColumn="0" w:lastRowLastColumn="0"/>
              <w:rPr>
                <w:rFonts w:eastAsia="Calibri"/>
              </w:rPr>
            </w:pPr>
            <w:r w:rsidRPr="000F23E0">
              <w:t>20.3</w:t>
            </w:r>
          </w:p>
        </w:tc>
        <w:tc>
          <w:tcPr>
            <w:tcW w:w="386" w:type="pct"/>
            <w:tcBorders>
              <w:top w:val="single" w:sz="4" w:space="0" w:color="DFA795"/>
              <w:left w:val="nil"/>
              <w:bottom w:val="single" w:sz="4" w:space="0" w:color="DFA795"/>
              <w:right w:val="nil"/>
            </w:tcBorders>
            <w:shd w:val="clear" w:color="auto" w:fill="FEFAF8"/>
          </w:tcPr>
          <w:p w14:paraId="7A717294" w14:textId="442B8223" w:rsidR="00C74D6F" w:rsidRPr="000F23E0" w:rsidRDefault="00B2582A" w:rsidP="00745CFC">
            <w:pPr>
              <w:pStyle w:val="TableTextRight"/>
              <w:keepNext/>
              <w:keepLines/>
              <w:cnfStyle w:val="000000000000" w:firstRow="0" w:lastRow="0" w:firstColumn="0" w:lastColumn="0" w:oddVBand="0" w:evenVBand="0" w:oddHBand="0" w:evenHBand="0" w:firstRowFirstColumn="0" w:firstRowLastColumn="0" w:lastRowFirstColumn="0" w:lastRowLastColumn="0"/>
            </w:pPr>
            <w:r w:rsidRPr="000F23E0">
              <w:t>57.6</w:t>
            </w:r>
          </w:p>
        </w:tc>
      </w:tr>
      <w:tr w:rsidR="006E5EF6" w:rsidRPr="000F23E0" w14:paraId="48FA6785" w14:textId="3C39CF9F" w:rsidTr="00740BA0">
        <w:trPr>
          <w:trHeight w:val="726"/>
        </w:trPr>
        <w:tc>
          <w:tcPr>
            <w:cnfStyle w:val="001000000000" w:firstRow="0" w:lastRow="0" w:firstColumn="1" w:lastColumn="0" w:oddVBand="0" w:evenVBand="0" w:oddHBand="0" w:evenHBand="0" w:firstRowFirstColumn="0" w:firstRowLastColumn="0" w:lastRowFirstColumn="0" w:lastRowLastColumn="0"/>
            <w:tcW w:w="840" w:type="pct"/>
            <w:vMerge/>
            <w:tcBorders>
              <w:left w:val="nil"/>
              <w:right w:val="nil"/>
            </w:tcBorders>
            <w:shd w:val="clear" w:color="auto" w:fill="FAE5D4"/>
          </w:tcPr>
          <w:p w14:paraId="566926E6" w14:textId="77777777" w:rsidR="00C74D6F" w:rsidRPr="000F23E0" w:rsidRDefault="00C74D6F" w:rsidP="001A0ABB">
            <w:pPr>
              <w:pStyle w:val="TableColumnHeadingLeft"/>
              <w:rPr>
                <w:rFonts w:eastAsia="Calibri"/>
                <w:bCs w:val="0"/>
                <w:color w:val="FFFFFF" w:themeColor="background1"/>
                <w:sz w:val="20"/>
              </w:rPr>
            </w:pPr>
          </w:p>
        </w:tc>
        <w:tc>
          <w:tcPr>
            <w:tcW w:w="526" w:type="pct"/>
            <w:vMerge/>
            <w:tcBorders>
              <w:left w:val="nil"/>
              <w:bottom w:val="single" w:sz="4" w:space="0" w:color="DFA795"/>
              <w:right w:val="nil"/>
            </w:tcBorders>
            <w:shd w:val="clear" w:color="auto" w:fill="FDF0E7"/>
          </w:tcPr>
          <w:p w14:paraId="3E0FC375" w14:textId="77777777" w:rsidR="00C74D6F" w:rsidRPr="000F23E0" w:rsidRDefault="00C74D6F" w:rsidP="001A0ABB">
            <w:pPr>
              <w:pStyle w:val="TableColumnHeadingLeft"/>
              <w:cnfStyle w:val="000000000000" w:firstRow="0" w:lastRow="0" w:firstColumn="0" w:lastColumn="0" w:oddVBand="0" w:evenVBand="0" w:oddHBand="0" w:evenHBand="0" w:firstRowFirstColumn="0" w:firstRowLastColumn="0" w:lastRowFirstColumn="0" w:lastRowLastColumn="0"/>
            </w:pPr>
          </w:p>
        </w:tc>
        <w:tc>
          <w:tcPr>
            <w:tcW w:w="735" w:type="pct"/>
            <w:tcBorders>
              <w:left w:val="nil"/>
              <w:right w:val="nil"/>
            </w:tcBorders>
            <w:shd w:val="clear" w:color="auto" w:fill="FEFAF8"/>
          </w:tcPr>
          <w:p w14:paraId="1B0633C7" w14:textId="6DC99603" w:rsidR="00C74D6F" w:rsidRPr="000F23E0" w:rsidRDefault="00B6225D" w:rsidP="00745CFC">
            <w:pPr>
              <w:pStyle w:val="TableTextLeft"/>
              <w:keepNext/>
              <w:keepLines/>
              <w:ind w:left="-27"/>
              <w:cnfStyle w:val="000000000000" w:firstRow="0" w:lastRow="0" w:firstColumn="0" w:lastColumn="0" w:oddVBand="0" w:evenVBand="0" w:oddHBand="0" w:evenHBand="0" w:firstRowFirstColumn="0" w:firstRowLastColumn="0" w:lastRowFirstColumn="0" w:lastRowLastColumn="0"/>
              <w:rPr>
                <w:rFonts w:eastAsia="Calibri"/>
              </w:rPr>
            </w:pPr>
            <w:r w:rsidRPr="000F23E0">
              <w:t>Electric bus charging infrastructure</w:t>
            </w:r>
          </w:p>
        </w:tc>
        <w:tc>
          <w:tcPr>
            <w:tcW w:w="968" w:type="pct"/>
            <w:tcBorders>
              <w:left w:val="nil"/>
              <w:right w:val="nil"/>
            </w:tcBorders>
            <w:shd w:val="clear" w:color="auto" w:fill="FEFAF8"/>
          </w:tcPr>
          <w:p w14:paraId="3A05F4EB" w14:textId="4CB13750" w:rsidR="000C3111" w:rsidRPr="000F23E0" w:rsidRDefault="00745CFC" w:rsidP="00745CFC">
            <w:pPr>
              <w:pStyle w:val="TableColumnHeadingLeft"/>
              <w:cnfStyle w:val="000000000000" w:firstRow="0" w:lastRow="0" w:firstColumn="0" w:lastColumn="0" w:oddVBand="0" w:evenVBand="0" w:oddHBand="0" w:evenHBand="0" w:firstRowFirstColumn="0" w:firstRowLastColumn="0" w:lastRowFirstColumn="0" w:lastRowLastColumn="0"/>
              <w:rPr>
                <w:rFonts w:eastAsia="Calibri"/>
              </w:rPr>
            </w:pPr>
            <w:r w:rsidRPr="000F23E0">
              <w:drawing>
                <wp:inline distT="0" distB="0" distL="0" distR="0" wp14:anchorId="45A3D81F" wp14:editId="752578EA">
                  <wp:extent cx="432000" cy="432000"/>
                  <wp:effectExtent l="0" t="0" r="6350" b="6350"/>
                  <wp:docPr id="1634499016" name="Picture 1634499016" descr="11 Sustainable Cities and Communitie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0201816" name="Picture 740201816" descr="11 Sustainable Cities and Communities"/>
                          <pic:cNvPicPr preferRelativeResize="0"/>
                        </pic:nvPicPr>
                        <pic:blipFill>
                          <a:blip r:embed="rId35" cstate="print">
                            <a:extLst>
                              <a:ext uri="{28A0092B-C50C-407E-A947-70E740481C1C}">
                                <a14:useLocalDpi xmlns:a14="http://schemas.microsoft.com/office/drawing/2010/main" val="0"/>
                              </a:ext>
                            </a:extLst>
                          </a:blip>
                          <a:stretch>
                            <a:fillRect/>
                          </a:stretch>
                        </pic:blipFill>
                        <pic:spPr>
                          <a:xfrm>
                            <a:off x="0" y="0"/>
                            <a:ext cx="432000" cy="432000"/>
                          </a:xfrm>
                          <a:prstGeom prst="rect">
                            <a:avLst/>
                          </a:prstGeom>
                        </pic:spPr>
                      </pic:pic>
                    </a:graphicData>
                  </a:graphic>
                </wp:inline>
              </w:drawing>
            </w:r>
          </w:p>
        </w:tc>
        <w:tc>
          <w:tcPr>
            <w:tcW w:w="386" w:type="pct"/>
            <w:tcBorders>
              <w:left w:val="nil"/>
              <w:right w:val="nil"/>
            </w:tcBorders>
            <w:shd w:val="clear" w:color="auto" w:fill="FEFAF8"/>
          </w:tcPr>
          <w:p w14:paraId="1FD90B1B" w14:textId="699558FA" w:rsidR="004E1334" w:rsidRPr="000F23E0" w:rsidRDefault="004E1334" w:rsidP="00745CFC">
            <w:pPr>
              <w:pStyle w:val="TableTextRight"/>
              <w:keepNext/>
              <w:keepLines/>
              <w:cnfStyle w:val="000000000000" w:firstRow="0" w:lastRow="0" w:firstColumn="0" w:lastColumn="0" w:oddVBand="0" w:evenVBand="0" w:oddHBand="0" w:evenHBand="0" w:firstRowFirstColumn="0" w:firstRowLastColumn="0" w:lastRowFirstColumn="0" w:lastRowLastColumn="0"/>
              <w:rPr>
                <w:rFonts w:eastAsia="Calibri"/>
              </w:rPr>
            </w:pPr>
            <w:r w:rsidRPr="000F23E0">
              <w:rPr>
                <w:rFonts w:eastAsia="Calibri"/>
              </w:rPr>
              <w:t>-</w:t>
            </w:r>
          </w:p>
        </w:tc>
        <w:tc>
          <w:tcPr>
            <w:tcW w:w="386" w:type="pct"/>
            <w:tcBorders>
              <w:left w:val="nil"/>
              <w:right w:val="nil"/>
            </w:tcBorders>
            <w:shd w:val="clear" w:color="auto" w:fill="FEFAF8"/>
          </w:tcPr>
          <w:p w14:paraId="30B6ED6B" w14:textId="6F4E09C0" w:rsidR="00C74D6F" w:rsidRPr="000F23E0" w:rsidRDefault="00C74D6F" w:rsidP="00745CFC">
            <w:pPr>
              <w:pStyle w:val="TableTextRight"/>
              <w:keepNext/>
              <w:keepLines/>
              <w:cnfStyle w:val="000000000000" w:firstRow="0" w:lastRow="0" w:firstColumn="0" w:lastColumn="0" w:oddVBand="0" w:evenVBand="0" w:oddHBand="0" w:evenHBand="0" w:firstRowFirstColumn="0" w:firstRowLastColumn="0" w:lastRowFirstColumn="0" w:lastRowLastColumn="0"/>
              <w:rPr>
                <w:rFonts w:eastAsia="Calibri"/>
              </w:rPr>
            </w:pPr>
            <w:r w:rsidRPr="000F23E0">
              <w:rPr>
                <w:rFonts w:eastAsia="Calibri"/>
              </w:rPr>
              <w:t>-</w:t>
            </w:r>
          </w:p>
        </w:tc>
        <w:tc>
          <w:tcPr>
            <w:tcW w:w="386" w:type="pct"/>
            <w:tcBorders>
              <w:left w:val="nil"/>
              <w:right w:val="nil"/>
            </w:tcBorders>
            <w:shd w:val="clear" w:color="auto" w:fill="FEFAF8"/>
          </w:tcPr>
          <w:p w14:paraId="7DD74A7C" w14:textId="7489DDDD" w:rsidR="00C74D6F" w:rsidRPr="000F23E0" w:rsidRDefault="00C74D6F" w:rsidP="00745CFC">
            <w:pPr>
              <w:pStyle w:val="TableTextRight"/>
              <w:keepNext/>
              <w:keepLines/>
              <w:cnfStyle w:val="000000000000" w:firstRow="0" w:lastRow="0" w:firstColumn="0" w:lastColumn="0" w:oddVBand="0" w:evenVBand="0" w:oddHBand="0" w:evenHBand="0" w:firstRowFirstColumn="0" w:firstRowLastColumn="0" w:lastRowFirstColumn="0" w:lastRowLastColumn="0"/>
              <w:rPr>
                <w:rFonts w:eastAsia="Calibri"/>
              </w:rPr>
            </w:pPr>
            <w:r w:rsidRPr="000F23E0">
              <w:rPr>
                <w:rFonts w:eastAsia="Calibri"/>
              </w:rPr>
              <w:t>35.0</w:t>
            </w:r>
          </w:p>
        </w:tc>
        <w:tc>
          <w:tcPr>
            <w:tcW w:w="386" w:type="pct"/>
            <w:tcBorders>
              <w:left w:val="nil"/>
              <w:right w:val="nil"/>
            </w:tcBorders>
            <w:shd w:val="clear" w:color="auto" w:fill="FEFAF8"/>
          </w:tcPr>
          <w:p w14:paraId="22FC4670" w14:textId="3749D4B5" w:rsidR="00C74D6F" w:rsidRPr="000F23E0" w:rsidRDefault="00C74D6F" w:rsidP="00745CFC">
            <w:pPr>
              <w:pStyle w:val="TableTextRight"/>
              <w:keepNext/>
              <w:keepLines/>
              <w:cnfStyle w:val="000000000000" w:firstRow="0" w:lastRow="0" w:firstColumn="0" w:lastColumn="0" w:oddVBand="0" w:evenVBand="0" w:oddHBand="0" w:evenHBand="0" w:firstRowFirstColumn="0" w:firstRowLastColumn="0" w:lastRowFirstColumn="0" w:lastRowLastColumn="0"/>
              <w:rPr>
                <w:rFonts w:eastAsia="Calibri"/>
              </w:rPr>
            </w:pPr>
            <w:r w:rsidRPr="000F23E0">
              <w:t>18.9</w:t>
            </w:r>
          </w:p>
        </w:tc>
        <w:tc>
          <w:tcPr>
            <w:tcW w:w="386" w:type="pct"/>
            <w:tcBorders>
              <w:left w:val="nil"/>
              <w:right w:val="nil"/>
            </w:tcBorders>
            <w:shd w:val="clear" w:color="auto" w:fill="FEFAF8"/>
          </w:tcPr>
          <w:p w14:paraId="68A2CF52" w14:textId="69081E2D" w:rsidR="00C74D6F" w:rsidRPr="000F23E0" w:rsidRDefault="00F26CC8" w:rsidP="00745CFC">
            <w:pPr>
              <w:pStyle w:val="TableTextRight"/>
              <w:keepNext/>
              <w:keepLines/>
              <w:cnfStyle w:val="000000000000" w:firstRow="0" w:lastRow="0" w:firstColumn="0" w:lastColumn="0" w:oddVBand="0" w:evenVBand="0" w:oddHBand="0" w:evenHBand="0" w:firstRowFirstColumn="0" w:firstRowLastColumn="0" w:lastRowFirstColumn="0" w:lastRowLastColumn="0"/>
            </w:pPr>
            <w:r w:rsidRPr="000F23E0">
              <w:t>18.9</w:t>
            </w:r>
          </w:p>
        </w:tc>
      </w:tr>
      <w:tr w:rsidR="006E5EF6" w:rsidRPr="000F23E0" w14:paraId="00062BA1" w14:textId="05C3C587" w:rsidTr="00740BA0">
        <w:trPr>
          <w:trHeight w:val="351"/>
        </w:trPr>
        <w:tc>
          <w:tcPr>
            <w:cnfStyle w:val="001000000000" w:firstRow="0" w:lastRow="0" w:firstColumn="1" w:lastColumn="0" w:oddVBand="0" w:evenVBand="0" w:oddHBand="0" w:evenHBand="0" w:firstRowFirstColumn="0" w:firstRowLastColumn="0" w:lastRowFirstColumn="0" w:lastRowLastColumn="0"/>
            <w:tcW w:w="840" w:type="pct"/>
            <w:tcBorders>
              <w:left w:val="nil"/>
              <w:right w:val="nil"/>
            </w:tcBorders>
            <w:shd w:val="clear" w:color="auto" w:fill="FAE5D4"/>
          </w:tcPr>
          <w:p w14:paraId="21B94AEA" w14:textId="77777777" w:rsidR="00C74D6F" w:rsidRPr="000F23E0" w:rsidRDefault="00C74D6F" w:rsidP="001A0ABB">
            <w:pPr>
              <w:pStyle w:val="TableColumnHeadingLeft"/>
              <w:rPr>
                <w:rFonts w:eastAsia="Calibri"/>
              </w:rPr>
            </w:pPr>
            <w:r w:rsidRPr="000F23E0">
              <w:rPr>
                <w:rFonts w:eastAsia="Calibri"/>
              </w:rPr>
              <w:t>Climate change adaptation</w:t>
            </w:r>
          </w:p>
        </w:tc>
        <w:tc>
          <w:tcPr>
            <w:tcW w:w="526" w:type="pct"/>
            <w:tcBorders>
              <w:left w:val="nil"/>
              <w:right w:val="nil"/>
            </w:tcBorders>
            <w:shd w:val="clear" w:color="auto" w:fill="FDF0E7"/>
          </w:tcPr>
          <w:p w14:paraId="104A0800" w14:textId="4B5FC1A1" w:rsidR="00C74D6F" w:rsidRPr="000F23E0" w:rsidRDefault="00C74D6F" w:rsidP="001A0ABB">
            <w:pPr>
              <w:pStyle w:val="TableColumnHeadingLeft"/>
              <w:cnfStyle w:val="000000000000" w:firstRow="0" w:lastRow="0" w:firstColumn="0" w:lastColumn="0" w:oddVBand="0" w:evenVBand="0" w:oddHBand="0" w:evenHBand="0" w:firstRowFirstColumn="0" w:firstRowLastColumn="0" w:lastRowFirstColumn="0" w:lastRowLastColumn="0"/>
              <w:rPr>
                <w:rFonts w:eastAsia="Calibri"/>
              </w:rPr>
            </w:pPr>
            <w:r w:rsidRPr="000F23E0">
              <w:rPr>
                <w:rFonts w:eastAsia="Calibri"/>
              </w:rPr>
              <w:t>Climate change adaptation</w:t>
            </w:r>
          </w:p>
        </w:tc>
        <w:tc>
          <w:tcPr>
            <w:tcW w:w="735" w:type="pct"/>
            <w:tcBorders>
              <w:left w:val="nil"/>
              <w:right w:val="nil"/>
            </w:tcBorders>
            <w:shd w:val="clear" w:color="auto" w:fill="FEFAF8"/>
          </w:tcPr>
          <w:p w14:paraId="5C7BC341" w14:textId="2CB4A59E" w:rsidR="00C74D6F" w:rsidRPr="000F23E0" w:rsidRDefault="00C74D6F" w:rsidP="00745CFC">
            <w:pPr>
              <w:pStyle w:val="TableTextLeft"/>
              <w:cnfStyle w:val="000000000000" w:firstRow="0" w:lastRow="0" w:firstColumn="0" w:lastColumn="0" w:oddVBand="0" w:evenVBand="0" w:oddHBand="0" w:evenHBand="0" w:firstRowFirstColumn="0" w:firstRowLastColumn="0" w:lastRowFirstColumn="0" w:lastRowLastColumn="0"/>
              <w:rPr>
                <w:rFonts w:eastAsia="Calibri"/>
                <w:bCs/>
              </w:rPr>
            </w:pPr>
            <w:r w:rsidRPr="000F23E0">
              <w:rPr>
                <w:rFonts w:eastAsia="Calibri"/>
                <w:bCs/>
              </w:rPr>
              <w:t>International Climate</w:t>
            </w:r>
            <w:r w:rsidR="00745CFC" w:rsidRPr="000F23E0">
              <w:rPr>
                <w:rFonts w:eastAsia="Calibri"/>
                <w:bCs/>
              </w:rPr>
              <w:t> </w:t>
            </w:r>
            <w:r w:rsidRPr="000F23E0">
              <w:rPr>
                <w:rFonts w:eastAsia="Calibri"/>
                <w:bCs/>
              </w:rPr>
              <w:t xml:space="preserve">Finance </w:t>
            </w:r>
          </w:p>
        </w:tc>
        <w:tc>
          <w:tcPr>
            <w:tcW w:w="968" w:type="pct"/>
            <w:tcBorders>
              <w:left w:val="nil"/>
              <w:right w:val="nil"/>
            </w:tcBorders>
            <w:shd w:val="clear" w:color="auto" w:fill="FEFAF8"/>
          </w:tcPr>
          <w:p w14:paraId="309F835A" w14:textId="212F56B9" w:rsidR="000C3111" w:rsidRPr="000F23E0" w:rsidRDefault="00745CFC" w:rsidP="00745CFC">
            <w:pPr>
              <w:pStyle w:val="TableColumnHeadingLeft"/>
              <w:cnfStyle w:val="000000000000" w:firstRow="0" w:lastRow="0" w:firstColumn="0" w:lastColumn="0" w:oddVBand="0" w:evenVBand="0" w:oddHBand="0" w:evenHBand="0" w:firstRowFirstColumn="0" w:firstRowLastColumn="0" w:lastRowFirstColumn="0" w:lastRowLastColumn="0"/>
              <w:rPr>
                <w:rFonts w:eastAsia="Calibri"/>
              </w:rPr>
            </w:pPr>
            <w:r w:rsidRPr="000F23E0">
              <w:drawing>
                <wp:inline distT="0" distB="0" distL="0" distR="0" wp14:anchorId="301EB373" wp14:editId="25A990D1">
                  <wp:extent cx="432000" cy="432000"/>
                  <wp:effectExtent l="0" t="0" r="6350" b="6350"/>
                  <wp:docPr id="848726624" name="Picture 848726624" descr="7 Affordable and Clean Energ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2572195" name="Picture 722572195" descr="7 Affordable and Clean Energy"/>
                          <pic:cNvPicPr preferRelativeResize="0"/>
                        </pic:nvPicPr>
                        <pic:blipFill>
                          <a:blip r:embed="rId31" cstate="print">
                            <a:extLst>
                              <a:ext uri="{28A0092B-C50C-407E-A947-70E740481C1C}">
                                <a14:useLocalDpi xmlns:a14="http://schemas.microsoft.com/office/drawing/2010/main" val="0"/>
                              </a:ext>
                            </a:extLst>
                          </a:blip>
                          <a:stretch>
                            <a:fillRect/>
                          </a:stretch>
                        </pic:blipFill>
                        <pic:spPr>
                          <a:xfrm>
                            <a:off x="0" y="0"/>
                            <a:ext cx="432000" cy="432000"/>
                          </a:xfrm>
                          <a:prstGeom prst="rect">
                            <a:avLst/>
                          </a:prstGeom>
                        </pic:spPr>
                      </pic:pic>
                    </a:graphicData>
                  </a:graphic>
                </wp:inline>
              </w:drawing>
            </w:r>
            <w:r w:rsidRPr="000F23E0">
              <w:drawing>
                <wp:inline distT="0" distB="0" distL="0" distR="0" wp14:anchorId="6BAB287B" wp14:editId="6F22D09A">
                  <wp:extent cx="432000" cy="432000"/>
                  <wp:effectExtent l="0" t="0" r="6350" b="6350"/>
                  <wp:docPr id="204851451" name="Picture 204851451" descr="9 Industry, Innovation and Infra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845014" name="Picture 1542845014" descr="9 Industry, Innovation and Infrastructur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32000" cy="432000"/>
                          </a:xfrm>
                          <a:prstGeom prst="rect">
                            <a:avLst/>
                          </a:prstGeom>
                        </pic:spPr>
                      </pic:pic>
                    </a:graphicData>
                  </a:graphic>
                </wp:inline>
              </w:drawing>
            </w:r>
            <w:r w:rsidRPr="000F23E0">
              <w:drawing>
                <wp:inline distT="0" distB="0" distL="0" distR="0" wp14:anchorId="5CEC7ED1" wp14:editId="65E7227C">
                  <wp:extent cx="432000" cy="432000"/>
                  <wp:effectExtent l="0" t="0" r="6350" b="6350"/>
                  <wp:docPr id="206974815" name="Picture 206974815" descr="13 Climate Ac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7290090" name="Picture 887290090" descr="13 Climate Action"/>
                          <pic:cNvPicPr preferRelativeResize="0"/>
                        </pic:nvPicPr>
                        <pic:blipFill>
                          <a:blip r:embed="rId33" cstate="print">
                            <a:extLst>
                              <a:ext uri="{28A0092B-C50C-407E-A947-70E740481C1C}">
                                <a14:useLocalDpi xmlns:a14="http://schemas.microsoft.com/office/drawing/2010/main" val="0"/>
                              </a:ext>
                            </a:extLst>
                          </a:blip>
                          <a:stretch>
                            <a:fillRect/>
                          </a:stretch>
                        </pic:blipFill>
                        <pic:spPr>
                          <a:xfrm>
                            <a:off x="0" y="0"/>
                            <a:ext cx="432000" cy="432000"/>
                          </a:xfrm>
                          <a:prstGeom prst="rect">
                            <a:avLst/>
                          </a:prstGeom>
                        </pic:spPr>
                      </pic:pic>
                    </a:graphicData>
                  </a:graphic>
                </wp:inline>
              </w:drawing>
            </w:r>
          </w:p>
        </w:tc>
        <w:tc>
          <w:tcPr>
            <w:tcW w:w="386" w:type="pct"/>
            <w:tcBorders>
              <w:left w:val="nil"/>
              <w:right w:val="nil"/>
            </w:tcBorders>
            <w:shd w:val="clear" w:color="auto" w:fill="FEFAF8"/>
          </w:tcPr>
          <w:p w14:paraId="3CFC6AD8" w14:textId="218367C2" w:rsidR="004E1334" w:rsidRPr="000F23E0" w:rsidRDefault="004E1334" w:rsidP="00745CFC">
            <w:pPr>
              <w:pStyle w:val="TableTextRight"/>
              <w:cnfStyle w:val="000000000000" w:firstRow="0" w:lastRow="0" w:firstColumn="0" w:lastColumn="0" w:oddVBand="0" w:evenVBand="0" w:oddHBand="0" w:evenHBand="0" w:firstRowFirstColumn="0" w:firstRowLastColumn="0" w:lastRowFirstColumn="0" w:lastRowLastColumn="0"/>
              <w:rPr>
                <w:rFonts w:eastAsia="Calibri"/>
                <w:bCs/>
              </w:rPr>
            </w:pPr>
            <w:r w:rsidRPr="000F23E0">
              <w:rPr>
                <w:rFonts w:eastAsia="Calibri"/>
                <w:bCs/>
              </w:rPr>
              <w:t>232.9</w:t>
            </w:r>
          </w:p>
        </w:tc>
        <w:tc>
          <w:tcPr>
            <w:tcW w:w="386" w:type="pct"/>
            <w:tcBorders>
              <w:left w:val="nil"/>
              <w:right w:val="nil"/>
            </w:tcBorders>
            <w:shd w:val="clear" w:color="auto" w:fill="FEFAF8"/>
          </w:tcPr>
          <w:p w14:paraId="6FFCD403" w14:textId="71F41CA9" w:rsidR="00C74D6F" w:rsidRPr="000F23E0" w:rsidRDefault="00C74D6F" w:rsidP="00745CFC">
            <w:pPr>
              <w:pStyle w:val="TableTextRight"/>
              <w:cnfStyle w:val="000000000000" w:firstRow="0" w:lastRow="0" w:firstColumn="0" w:lastColumn="0" w:oddVBand="0" w:evenVBand="0" w:oddHBand="0" w:evenHBand="0" w:firstRowFirstColumn="0" w:firstRowLastColumn="0" w:lastRowFirstColumn="0" w:lastRowLastColumn="0"/>
              <w:rPr>
                <w:rFonts w:eastAsia="Calibri"/>
                <w:bCs/>
              </w:rPr>
            </w:pPr>
            <w:r w:rsidRPr="000F23E0">
              <w:rPr>
                <w:rFonts w:eastAsia="Calibri"/>
                <w:bCs/>
              </w:rPr>
              <w:t>232.9</w:t>
            </w:r>
          </w:p>
        </w:tc>
        <w:tc>
          <w:tcPr>
            <w:tcW w:w="386" w:type="pct"/>
            <w:tcBorders>
              <w:left w:val="nil"/>
              <w:right w:val="nil"/>
            </w:tcBorders>
            <w:shd w:val="clear" w:color="auto" w:fill="FEFAF8"/>
          </w:tcPr>
          <w:p w14:paraId="326E8277" w14:textId="68115E32" w:rsidR="00C74D6F" w:rsidRPr="000F23E0" w:rsidRDefault="00C74D6F" w:rsidP="00745CFC">
            <w:pPr>
              <w:pStyle w:val="TableTextRight"/>
              <w:cnfStyle w:val="000000000000" w:firstRow="0" w:lastRow="0" w:firstColumn="0" w:lastColumn="0" w:oddVBand="0" w:evenVBand="0" w:oddHBand="0" w:evenHBand="0" w:firstRowFirstColumn="0" w:firstRowLastColumn="0" w:lastRowFirstColumn="0" w:lastRowLastColumn="0"/>
              <w:rPr>
                <w:rFonts w:eastAsia="Calibri"/>
                <w:bCs/>
              </w:rPr>
            </w:pPr>
            <w:r w:rsidRPr="000F23E0">
              <w:rPr>
                <w:rFonts w:eastAsia="Calibri"/>
                <w:bCs/>
              </w:rPr>
              <w:t>200.1</w:t>
            </w:r>
          </w:p>
        </w:tc>
        <w:tc>
          <w:tcPr>
            <w:tcW w:w="386" w:type="pct"/>
            <w:tcBorders>
              <w:left w:val="nil"/>
              <w:right w:val="nil"/>
            </w:tcBorders>
            <w:shd w:val="clear" w:color="auto" w:fill="FEFAF8"/>
          </w:tcPr>
          <w:p w14:paraId="48F6A63F" w14:textId="7D92F2E2" w:rsidR="00C74D6F" w:rsidRPr="000F23E0" w:rsidRDefault="00C74D6F" w:rsidP="00745CFC">
            <w:pPr>
              <w:pStyle w:val="TableTextRight"/>
              <w:cnfStyle w:val="000000000000" w:firstRow="0" w:lastRow="0" w:firstColumn="0" w:lastColumn="0" w:oddVBand="0" w:evenVBand="0" w:oddHBand="0" w:evenHBand="0" w:firstRowFirstColumn="0" w:firstRowLastColumn="0" w:lastRowFirstColumn="0" w:lastRowLastColumn="0"/>
              <w:rPr>
                <w:rFonts w:eastAsia="Calibri"/>
                <w:bCs/>
              </w:rPr>
            </w:pPr>
            <w:r w:rsidRPr="000F23E0">
              <w:t>108.3</w:t>
            </w:r>
          </w:p>
        </w:tc>
        <w:tc>
          <w:tcPr>
            <w:tcW w:w="386" w:type="pct"/>
            <w:tcBorders>
              <w:left w:val="nil"/>
              <w:right w:val="nil"/>
            </w:tcBorders>
            <w:shd w:val="clear" w:color="auto" w:fill="FEFAF8"/>
          </w:tcPr>
          <w:p w14:paraId="38710BA9" w14:textId="7BAAF3A9" w:rsidR="00C74D6F" w:rsidRPr="000F23E0" w:rsidRDefault="00EE4547" w:rsidP="00745CFC">
            <w:pPr>
              <w:pStyle w:val="TableTextRight"/>
              <w:cnfStyle w:val="000000000000" w:firstRow="0" w:lastRow="0" w:firstColumn="0" w:lastColumn="0" w:oddVBand="0" w:evenVBand="0" w:oddHBand="0" w:evenHBand="0" w:firstRowFirstColumn="0" w:firstRowLastColumn="0" w:lastRowFirstColumn="0" w:lastRowLastColumn="0"/>
            </w:pPr>
            <w:r w:rsidRPr="000F23E0">
              <w:t>341.2</w:t>
            </w:r>
          </w:p>
        </w:tc>
      </w:tr>
      <w:tr w:rsidR="006E5EF6" w:rsidRPr="000F23E0" w14:paraId="6E1B2B0A" w14:textId="5D08F01F" w:rsidTr="00740BA0">
        <w:trPr>
          <w:trHeight w:val="663"/>
        </w:trPr>
        <w:tc>
          <w:tcPr>
            <w:cnfStyle w:val="001000000000" w:firstRow="0" w:lastRow="0" w:firstColumn="1" w:lastColumn="0" w:oddVBand="0" w:evenVBand="0" w:oddHBand="0" w:evenHBand="0" w:firstRowFirstColumn="0" w:firstRowLastColumn="0" w:lastRowFirstColumn="0" w:lastRowLastColumn="0"/>
            <w:tcW w:w="840" w:type="pct"/>
            <w:tcBorders>
              <w:left w:val="nil"/>
              <w:right w:val="nil"/>
            </w:tcBorders>
            <w:shd w:val="clear" w:color="auto" w:fill="FAE5D4"/>
          </w:tcPr>
          <w:p w14:paraId="07C481E1" w14:textId="5B2C1DDC" w:rsidR="00C74D6F" w:rsidRPr="000F23E0" w:rsidRDefault="00C74D6F" w:rsidP="001A0ABB">
            <w:pPr>
              <w:pStyle w:val="TableColumnHeadingLeft"/>
              <w:rPr>
                <w:rFonts w:eastAsia="Calibri"/>
              </w:rPr>
            </w:pPr>
            <w:r w:rsidRPr="000F23E0">
              <w:rPr>
                <w:rFonts w:eastAsia="Calibri"/>
              </w:rPr>
              <w:t>Environmentally sustainable management of</w:t>
            </w:r>
            <w:r w:rsidR="00745CFC" w:rsidRPr="000F23E0">
              <w:rPr>
                <w:rFonts w:eastAsia="Calibri"/>
              </w:rPr>
              <w:t> </w:t>
            </w:r>
            <w:r w:rsidRPr="000F23E0">
              <w:rPr>
                <w:rFonts w:eastAsia="Calibri"/>
              </w:rPr>
              <w:t>living natural resources and land</w:t>
            </w:r>
            <w:r w:rsidR="00745CFC" w:rsidRPr="000F23E0">
              <w:rPr>
                <w:rFonts w:eastAsia="Calibri"/>
              </w:rPr>
              <w:t> </w:t>
            </w:r>
            <w:r w:rsidRPr="000F23E0">
              <w:rPr>
                <w:rFonts w:eastAsia="Calibri"/>
              </w:rPr>
              <w:t>use</w:t>
            </w:r>
          </w:p>
        </w:tc>
        <w:tc>
          <w:tcPr>
            <w:tcW w:w="526" w:type="pct"/>
            <w:tcBorders>
              <w:left w:val="nil"/>
              <w:right w:val="nil"/>
            </w:tcBorders>
            <w:shd w:val="clear" w:color="auto" w:fill="FDF0E7"/>
          </w:tcPr>
          <w:p w14:paraId="399FAF3B" w14:textId="651F5C10" w:rsidR="00C74D6F" w:rsidRPr="000F23E0" w:rsidRDefault="00C74D6F" w:rsidP="001A0ABB">
            <w:pPr>
              <w:pStyle w:val="TableColumnHeadingLeft"/>
              <w:cnfStyle w:val="000000000000" w:firstRow="0" w:lastRow="0" w:firstColumn="0" w:lastColumn="0" w:oddVBand="0" w:evenVBand="0" w:oddHBand="0" w:evenHBand="0" w:firstRowFirstColumn="0" w:firstRowLastColumn="0" w:lastRowFirstColumn="0" w:lastRowLastColumn="0"/>
            </w:pPr>
            <w:r w:rsidRPr="000F23E0">
              <w:t>Improved Environmental Outcomes</w:t>
            </w:r>
          </w:p>
        </w:tc>
        <w:tc>
          <w:tcPr>
            <w:tcW w:w="735" w:type="pct"/>
            <w:tcBorders>
              <w:left w:val="nil"/>
              <w:right w:val="nil"/>
            </w:tcBorders>
            <w:shd w:val="clear" w:color="auto" w:fill="FEFAF8"/>
          </w:tcPr>
          <w:p w14:paraId="18B745AC" w14:textId="77777777" w:rsidR="00C74D6F" w:rsidRPr="000F23E0" w:rsidRDefault="00C74D6F" w:rsidP="00745CFC">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0F23E0">
              <w:t>Urban Rivers and Catchments Program</w:t>
            </w:r>
          </w:p>
        </w:tc>
        <w:tc>
          <w:tcPr>
            <w:tcW w:w="968" w:type="pct"/>
            <w:tcBorders>
              <w:left w:val="nil"/>
              <w:right w:val="nil"/>
            </w:tcBorders>
            <w:shd w:val="clear" w:color="auto" w:fill="FEFAF8"/>
          </w:tcPr>
          <w:p w14:paraId="21CCB2DB" w14:textId="1F361262" w:rsidR="000C3111" w:rsidRPr="000F23E0" w:rsidRDefault="00745CFC" w:rsidP="00745CFC">
            <w:pPr>
              <w:pStyle w:val="TableColumnHeadingLeft"/>
              <w:cnfStyle w:val="000000000000" w:firstRow="0" w:lastRow="0" w:firstColumn="0" w:lastColumn="0" w:oddVBand="0" w:evenVBand="0" w:oddHBand="0" w:evenHBand="0" w:firstRowFirstColumn="0" w:firstRowLastColumn="0" w:lastRowFirstColumn="0" w:lastRowLastColumn="0"/>
              <w:rPr>
                <w:rFonts w:eastAsia="Calibri"/>
              </w:rPr>
            </w:pPr>
            <w:r w:rsidRPr="000F23E0">
              <w:drawing>
                <wp:inline distT="0" distB="0" distL="0" distR="0" wp14:anchorId="786C0AAC" wp14:editId="0A5E7CD1">
                  <wp:extent cx="432000" cy="432000"/>
                  <wp:effectExtent l="0" t="0" r="6350" b="6350"/>
                  <wp:docPr id="157849894" name="Picture 7" descr="15 Life on 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49894" name="Picture 7" descr="15 Life on Land"/>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32000" cy="432000"/>
                          </a:xfrm>
                          <a:prstGeom prst="rect">
                            <a:avLst/>
                          </a:prstGeom>
                        </pic:spPr>
                      </pic:pic>
                    </a:graphicData>
                  </a:graphic>
                </wp:inline>
              </w:drawing>
            </w:r>
          </w:p>
        </w:tc>
        <w:tc>
          <w:tcPr>
            <w:tcW w:w="386" w:type="pct"/>
            <w:tcBorders>
              <w:left w:val="nil"/>
              <w:right w:val="nil"/>
            </w:tcBorders>
            <w:shd w:val="clear" w:color="auto" w:fill="FEFAF8"/>
          </w:tcPr>
          <w:p w14:paraId="73FEA0CD" w14:textId="49303765" w:rsidR="004E1334" w:rsidRPr="000F23E0" w:rsidRDefault="004E1334" w:rsidP="00745CFC">
            <w:pPr>
              <w:pStyle w:val="TableTextRight"/>
              <w:cnfStyle w:val="000000000000" w:firstRow="0" w:lastRow="0" w:firstColumn="0" w:lastColumn="0" w:oddVBand="0" w:evenVBand="0" w:oddHBand="0" w:evenHBand="0" w:firstRowFirstColumn="0" w:firstRowLastColumn="0" w:lastRowFirstColumn="0" w:lastRowLastColumn="0"/>
              <w:rPr>
                <w:rFonts w:eastAsia="Calibri"/>
              </w:rPr>
            </w:pPr>
            <w:r w:rsidRPr="000F23E0">
              <w:rPr>
                <w:rFonts w:eastAsia="Calibri"/>
              </w:rPr>
              <w:t>1.6</w:t>
            </w:r>
          </w:p>
        </w:tc>
        <w:tc>
          <w:tcPr>
            <w:tcW w:w="386" w:type="pct"/>
            <w:tcBorders>
              <w:left w:val="nil"/>
              <w:right w:val="nil"/>
            </w:tcBorders>
            <w:shd w:val="clear" w:color="auto" w:fill="FEFAF8"/>
          </w:tcPr>
          <w:p w14:paraId="52BA1042" w14:textId="6CE04D33" w:rsidR="00C74D6F" w:rsidRPr="000F23E0" w:rsidRDefault="00C74D6F" w:rsidP="00745CFC">
            <w:pPr>
              <w:pStyle w:val="TableTextRight"/>
              <w:cnfStyle w:val="000000000000" w:firstRow="0" w:lastRow="0" w:firstColumn="0" w:lastColumn="0" w:oddVBand="0" w:evenVBand="0" w:oddHBand="0" w:evenHBand="0" w:firstRowFirstColumn="0" w:firstRowLastColumn="0" w:lastRowFirstColumn="0" w:lastRowLastColumn="0"/>
              <w:rPr>
                <w:rFonts w:eastAsia="Calibri"/>
              </w:rPr>
            </w:pPr>
            <w:r w:rsidRPr="000F23E0">
              <w:rPr>
                <w:rFonts w:eastAsia="Calibri"/>
              </w:rPr>
              <w:t>1.6</w:t>
            </w:r>
          </w:p>
        </w:tc>
        <w:tc>
          <w:tcPr>
            <w:tcW w:w="386" w:type="pct"/>
            <w:tcBorders>
              <w:left w:val="nil"/>
              <w:right w:val="nil"/>
            </w:tcBorders>
            <w:shd w:val="clear" w:color="auto" w:fill="FEFAF8"/>
          </w:tcPr>
          <w:p w14:paraId="3E99CF38" w14:textId="22135FC4" w:rsidR="00C74D6F" w:rsidRPr="000F23E0" w:rsidRDefault="00C74D6F" w:rsidP="00745CFC">
            <w:pPr>
              <w:pStyle w:val="TableTextRight"/>
              <w:cnfStyle w:val="000000000000" w:firstRow="0" w:lastRow="0" w:firstColumn="0" w:lastColumn="0" w:oddVBand="0" w:evenVBand="0" w:oddHBand="0" w:evenHBand="0" w:firstRowFirstColumn="0" w:firstRowLastColumn="0" w:lastRowFirstColumn="0" w:lastRowLastColumn="0"/>
              <w:rPr>
                <w:rFonts w:eastAsia="Calibri"/>
              </w:rPr>
            </w:pPr>
            <w:r w:rsidRPr="000F23E0">
              <w:rPr>
                <w:rFonts w:eastAsia="Calibri"/>
              </w:rPr>
              <w:t>45.3</w:t>
            </w:r>
          </w:p>
        </w:tc>
        <w:tc>
          <w:tcPr>
            <w:tcW w:w="386" w:type="pct"/>
            <w:tcBorders>
              <w:left w:val="nil"/>
              <w:right w:val="nil"/>
            </w:tcBorders>
            <w:shd w:val="clear" w:color="auto" w:fill="FEFAF8"/>
          </w:tcPr>
          <w:p w14:paraId="5EC7AB34" w14:textId="0A278904" w:rsidR="00C74D6F" w:rsidRPr="000F23E0" w:rsidRDefault="00C74D6F" w:rsidP="00745CFC">
            <w:pPr>
              <w:pStyle w:val="TableTextRight"/>
              <w:cnfStyle w:val="000000000000" w:firstRow="0" w:lastRow="0" w:firstColumn="0" w:lastColumn="0" w:oddVBand="0" w:evenVBand="0" w:oddHBand="0" w:evenHBand="0" w:firstRowFirstColumn="0" w:firstRowLastColumn="0" w:lastRowFirstColumn="0" w:lastRowLastColumn="0"/>
              <w:rPr>
                <w:rFonts w:eastAsia="Calibri"/>
              </w:rPr>
            </w:pPr>
            <w:r w:rsidRPr="000F23E0">
              <w:t>24.5</w:t>
            </w:r>
          </w:p>
        </w:tc>
        <w:tc>
          <w:tcPr>
            <w:tcW w:w="386" w:type="pct"/>
            <w:tcBorders>
              <w:left w:val="nil"/>
              <w:right w:val="nil"/>
            </w:tcBorders>
            <w:shd w:val="clear" w:color="auto" w:fill="FEFAF8"/>
          </w:tcPr>
          <w:p w14:paraId="742B6483" w14:textId="42897D17" w:rsidR="00C74D6F" w:rsidRPr="000F23E0" w:rsidRDefault="000F0A1A" w:rsidP="00745CFC">
            <w:pPr>
              <w:pStyle w:val="TableTextRight"/>
              <w:cnfStyle w:val="000000000000" w:firstRow="0" w:lastRow="0" w:firstColumn="0" w:lastColumn="0" w:oddVBand="0" w:evenVBand="0" w:oddHBand="0" w:evenHBand="0" w:firstRowFirstColumn="0" w:firstRowLastColumn="0" w:lastRowFirstColumn="0" w:lastRowLastColumn="0"/>
            </w:pPr>
            <w:r w:rsidRPr="000F23E0">
              <w:t>26.1</w:t>
            </w:r>
          </w:p>
        </w:tc>
      </w:tr>
      <w:tr w:rsidR="006E5EF6" w:rsidRPr="000F23E0" w14:paraId="5708A24A" w14:textId="458FA124" w:rsidTr="00740BA0">
        <w:trPr>
          <w:trHeight w:val="682"/>
        </w:trPr>
        <w:tc>
          <w:tcPr>
            <w:cnfStyle w:val="001000000000" w:firstRow="0" w:lastRow="0" w:firstColumn="1" w:lastColumn="0" w:oddVBand="0" w:evenVBand="0" w:oddHBand="0" w:evenHBand="0" w:firstRowFirstColumn="0" w:firstRowLastColumn="0" w:lastRowFirstColumn="0" w:lastRowLastColumn="0"/>
            <w:tcW w:w="840" w:type="pct"/>
            <w:vMerge w:val="restart"/>
            <w:tcBorders>
              <w:left w:val="nil"/>
              <w:right w:val="nil"/>
            </w:tcBorders>
            <w:shd w:val="clear" w:color="auto" w:fill="FAE5D4"/>
          </w:tcPr>
          <w:p w14:paraId="466238AD" w14:textId="77777777" w:rsidR="00C74D6F" w:rsidRPr="000F23E0" w:rsidRDefault="00C74D6F" w:rsidP="001A0ABB">
            <w:pPr>
              <w:pStyle w:val="TableColumnHeadingLeft"/>
              <w:rPr>
                <w:rFonts w:eastAsia="Calibri"/>
              </w:rPr>
            </w:pPr>
            <w:r w:rsidRPr="000F23E0">
              <w:rPr>
                <w:rFonts w:eastAsia="Calibri"/>
              </w:rPr>
              <w:t>Biodiversity conservation (terrestrial and aquatic)</w:t>
            </w:r>
          </w:p>
        </w:tc>
        <w:tc>
          <w:tcPr>
            <w:tcW w:w="526" w:type="pct"/>
            <w:vMerge w:val="restart"/>
            <w:tcBorders>
              <w:left w:val="nil"/>
              <w:right w:val="nil"/>
            </w:tcBorders>
            <w:shd w:val="clear" w:color="auto" w:fill="FDF0E7"/>
          </w:tcPr>
          <w:p w14:paraId="6589A977" w14:textId="03DFACB8" w:rsidR="00C74D6F" w:rsidRPr="000F23E0" w:rsidRDefault="00C74D6F" w:rsidP="001A0ABB">
            <w:pPr>
              <w:pStyle w:val="TableColumnHeadingLeft"/>
              <w:cnfStyle w:val="000000000000" w:firstRow="0" w:lastRow="0" w:firstColumn="0" w:lastColumn="0" w:oddVBand="0" w:evenVBand="0" w:oddHBand="0" w:evenHBand="0" w:firstRowFirstColumn="0" w:firstRowLastColumn="0" w:lastRowFirstColumn="0" w:lastRowLastColumn="0"/>
            </w:pPr>
            <w:r w:rsidRPr="000F23E0">
              <w:t>Improved Environmental Outcomes</w:t>
            </w:r>
          </w:p>
        </w:tc>
        <w:tc>
          <w:tcPr>
            <w:tcW w:w="735" w:type="pct"/>
            <w:tcBorders>
              <w:left w:val="nil"/>
              <w:right w:val="nil"/>
            </w:tcBorders>
            <w:shd w:val="clear" w:color="auto" w:fill="FEFAF8"/>
          </w:tcPr>
          <w:p w14:paraId="41251FE3" w14:textId="77777777" w:rsidR="00C74D6F" w:rsidRPr="000F23E0" w:rsidRDefault="00C74D6F" w:rsidP="00745CFC">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0F23E0">
              <w:t>Saving Koalas Fund</w:t>
            </w:r>
          </w:p>
        </w:tc>
        <w:tc>
          <w:tcPr>
            <w:tcW w:w="968" w:type="pct"/>
            <w:tcBorders>
              <w:left w:val="nil"/>
              <w:right w:val="nil"/>
            </w:tcBorders>
            <w:shd w:val="clear" w:color="auto" w:fill="FEFAF8"/>
          </w:tcPr>
          <w:p w14:paraId="6B974A50" w14:textId="2892CB45" w:rsidR="000C3111" w:rsidRPr="000F23E0" w:rsidRDefault="00745CFC" w:rsidP="00745CFC">
            <w:pPr>
              <w:pStyle w:val="TableColumnHeadingLeft"/>
              <w:cnfStyle w:val="000000000000" w:firstRow="0" w:lastRow="0" w:firstColumn="0" w:lastColumn="0" w:oddVBand="0" w:evenVBand="0" w:oddHBand="0" w:evenHBand="0" w:firstRowFirstColumn="0" w:firstRowLastColumn="0" w:lastRowFirstColumn="0" w:lastRowLastColumn="0"/>
              <w:rPr>
                <w:rFonts w:eastAsia="Calibri"/>
              </w:rPr>
            </w:pPr>
            <w:r w:rsidRPr="000F23E0">
              <w:drawing>
                <wp:inline distT="0" distB="0" distL="0" distR="0" wp14:anchorId="228CD502" wp14:editId="44E117E5">
                  <wp:extent cx="432000" cy="432000"/>
                  <wp:effectExtent l="0" t="0" r="6350" b="6350"/>
                  <wp:docPr id="1464624539" name="Picture 7" descr="15 Life on 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49894" name="Picture 7" descr="15 Life on Land"/>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32000" cy="432000"/>
                          </a:xfrm>
                          <a:prstGeom prst="rect">
                            <a:avLst/>
                          </a:prstGeom>
                        </pic:spPr>
                      </pic:pic>
                    </a:graphicData>
                  </a:graphic>
                </wp:inline>
              </w:drawing>
            </w:r>
          </w:p>
        </w:tc>
        <w:tc>
          <w:tcPr>
            <w:tcW w:w="386" w:type="pct"/>
            <w:tcBorders>
              <w:left w:val="nil"/>
              <w:right w:val="nil"/>
            </w:tcBorders>
            <w:shd w:val="clear" w:color="auto" w:fill="FEFAF8"/>
          </w:tcPr>
          <w:p w14:paraId="58CE6051" w14:textId="59CA0730" w:rsidR="004E1334" w:rsidRPr="000F23E0" w:rsidRDefault="004E1334" w:rsidP="00745CFC">
            <w:pPr>
              <w:pStyle w:val="TableTextRight"/>
              <w:cnfStyle w:val="000000000000" w:firstRow="0" w:lastRow="0" w:firstColumn="0" w:lastColumn="0" w:oddVBand="0" w:evenVBand="0" w:oddHBand="0" w:evenHBand="0" w:firstRowFirstColumn="0" w:firstRowLastColumn="0" w:lastRowFirstColumn="0" w:lastRowLastColumn="0"/>
              <w:rPr>
                <w:rFonts w:eastAsia="Calibri"/>
              </w:rPr>
            </w:pPr>
            <w:r w:rsidRPr="000F23E0">
              <w:rPr>
                <w:rFonts w:eastAsia="Calibri"/>
              </w:rPr>
              <w:t>24.8</w:t>
            </w:r>
          </w:p>
        </w:tc>
        <w:tc>
          <w:tcPr>
            <w:tcW w:w="386" w:type="pct"/>
            <w:tcBorders>
              <w:left w:val="nil"/>
              <w:right w:val="nil"/>
            </w:tcBorders>
            <w:shd w:val="clear" w:color="auto" w:fill="FEFAF8"/>
          </w:tcPr>
          <w:p w14:paraId="3C95C74F" w14:textId="068C8B73" w:rsidR="00C74D6F" w:rsidRPr="000F23E0" w:rsidRDefault="00C74D6F" w:rsidP="00745CFC">
            <w:pPr>
              <w:pStyle w:val="TableTextRight"/>
              <w:cnfStyle w:val="000000000000" w:firstRow="0" w:lastRow="0" w:firstColumn="0" w:lastColumn="0" w:oddVBand="0" w:evenVBand="0" w:oddHBand="0" w:evenHBand="0" w:firstRowFirstColumn="0" w:firstRowLastColumn="0" w:lastRowFirstColumn="0" w:lastRowLastColumn="0"/>
              <w:rPr>
                <w:rFonts w:eastAsia="Calibri"/>
              </w:rPr>
            </w:pPr>
            <w:r w:rsidRPr="000F23E0">
              <w:rPr>
                <w:rFonts w:eastAsia="Calibri"/>
              </w:rPr>
              <w:t>24.8</w:t>
            </w:r>
          </w:p>
        </w:tc>
        <w:tc>
          <w:tcPr>
            <w:tcW w:w="386" w:type="pct"/>
            <w:tcBorders>
              <w:left w:val="nil"/>
              <w:right w:val="nil"/>
            </w:tcBorders>
            <w:shd w:val="clear" w:color="auto" w:fill="FEFAF8"/>
          </w:tcPr>
          <w:p w14:paraId="5627167D" w14:textId="2210AC73" w:rsidR="00C74D6F" w:rsidRPr="000F23E0" w:rsidRDefault="00C74D6F" w:rsidP="00745CFC">
            <w:pPr>
              <w:pStyle w:val="TableTextRight"/>
              <w:cnfStyle w:val="000000000000" w:firstRow="0" w:lastRow="0" w:firstColumn="0" w:lastColumn="0" w:oddVBand="0" w:evenVBand="0" w:oddHBand="0" w:evenHBand="0" w:firstRowFirstColumn="0" w:firstRowLastColumn="0" w:lastRowFirstColumn="0" w:lastRowLastColumn="0"/>
              <w:rPr>
                <w:rFonts w:eastAsia="Calibri"/>
              </w:rPr>
            </w:pPr>
            <w:r w:rsidRPr="000F23E0">
              <w:rPr>
                <w:rFonts w:eastAsia="Calibri"/>
              </w:rPr>
              <w:t>14.1</w:t>
            </w:r>
          </w:p>
        </w:tc>
        <w:tc>
          <w:tcPr>
            <w:tcW w:w="386" w:type="pct"/>
            <w:tcBorders>
              <w:left w:val="nil"/>
              <w:right w:val="nil"/>
            </w:tcBorders>
            <w:shd w:val="clear" w:color="auto" w:fill="FEFAF8"/>
          </w:tcPr>
          <w:p w14:paraId="1D583350" w14:textId="2DD33D32" w:rsidR="00C74D6F" w:rsidRPr="000F23E0" w:rsidRDefault="00C74D6F" w:rsidP="00745CFC">
            <w:pPr>
              <w:pStyle w:val="TableTextRight"/>
              <w:cnfStyle w:val="000000000000" w:firstRow="0" w:lastRow="0" w:firstColumn="0" w:lastColumn="0" w:oddVBand="0" w:evenVBand="0" w:oddHBand="0" w:evenHBand="0" w:firstRowFirstColumn="0" w:firstRowLastColumn="0" w:lastRowFirstColumn="0" w:lastRowLastColumn="0"/>
              <w:rPr>
                <w:rFonts w:eastAsia="Calibri"/>
              </w:rPr>
            </w:pPr>
            <w:r w:rsidRPr="000F23E0">
              <w:t>7.6</w:t>
            </w:r>
          </w:p>
        </w:tc>
        <w:tc>
          <w:tcPr>
            <w:tcW w:w="386" w:type="pct"/>
            <w:tcBorders>
              <w:left w:val="nil"/>
              <w:right w:val="nil"/>
            </w:tcBorders>
            <w:shd w:val="clear" w:color="auto" w:fill="FEFAF8"/>
          </w:tcPr>
          <w:p w14:paraId="7DAAF6B8" w14:textId="5360D1EE" w:rsidR="00C74D6F" w:rsidRPr="000F23E0" w:rsidRDefault="006814A3" w:rsidP="00745CFC">
            <w:pPr>
              <w:pStyle w:val="TableTextRight"/>
              <w:cnfStyle w:val="000000000000" w:firstRow="0" w:lastRow="0" w:firstColumn="0" w:lastColumn="0" w:oddVBand="0" w:evenVBand="0" w:oddHBand="0" w:evenHBand="0" w:firstRowFirstColumn="0" w:firstRowLastColumn="0" w:lastRowFirstColumn="0" w:lastRowLastColumn="0"/>
            </w:pPr>
            <w:r w:rsidRPr="000F23E0">
              <w:t>32.4</w:t>
            </w:r>
          </w:p>
        </w:tc>
      </w:tr>
      <w:tr w:rsidR="006E5EF6" w:rsidRPr="000F23E0" w14:paraId="0FB0E555" w14:textId="23E2F394" w:rsidTr="00740BA0">
        <w:trPr>
          <w:trHeight w:val="692"/>
        </w:trPr>
        <w:tc>
          <w:tcPr>
            <w:cnfStyle w:val="001000000000" w:firstRow="0" w:lastRow="0" w:firstColumn="1" w:lastColumn="0" w:oddVBand="0" w:evenVBand="0" w:oddHBand="0" w:evenHBand="0" w:firstRowFirstColumn="0" w:firstRowLastColumn="0" w:lastRowFirstColumn="0" w:lastRowLastColumn="0"/>
            <w:tcW w:w="840" w:type="pct"/>
            <w:vMerge/>
            <w:tcBorders>
              <w:left w:val="nil"/>
              <w:right w:val="nil"/>
            </w:tcBorders>
            <w:shd w:val="clear" w:color="auto" w:fill="FAE5D4"/>
          </w:tcPr>
          <w:p w14:paraId="2E54D6AC" w14:textId="77777777" w:rsidR="00C74D6F" w:rsidRPr="000F23E0" w:rsidRDefault="00C74D6F" w:rsidP="001A0ABB">
            <w:pPr>
              <w:pStyle w:val="TableColumnHeadingLeft"/>
              <w:rPr>
                <w:rFonts w:eastAsia="Calibri"/>
              </w:rPr>
            </w:pPr>
          </w:p>
        </w:tc>
        <w:tc>
          <w:tcPr>
            <w:tcW w:w="526" w:type="pct"/>
            <w:vMerge/>
            <w:tcBorders>
              <w:left w:val="nil"/>
              <w:right w:val="nil"/>
            </w:tcBorders>
            <w:shd w:val="clear" w:color="auto" w:fill="FDF0E7"/>
          </w:tcPr>
          <w:p w14:paraId="178F7304" w14:textId="77777777" w:rsidR="00C74D6F" w:rsidRPr="000F23E0" w:rsidRDefault="00C74D6F" w:rsidP="001A0ABB">
            <w:pPr>
              <w:pStyle w:val="TableColumnHeadingLeft"/>
              <w:cnfStyle w:val="000000000000" w:firstRow="0" w:lastRow="0" w:firstColumn="0" w:lastColumn="0" w:oddVBand="0" w:evenVBand="0" w:oddHBand="0" w:evenHBand="0" w:firstRowFirstColumn="0" w:firstRowLastColumn="0" w:lastRowFirstColumn="0" w:lastRowLastColumn="0"/>
            </w:pPr>
          </w:p>
        </w:tc>
        <w:tc>
          <w:tcPr>
            <w:tcW w:w="735" w:type="pct"/>
            <w:tcBorders>
              <w:left w:val="nil"/>
              <w:right w:val="nil"/>
            </w:tcBorders>
            <w:shd w:val="clear" w:color="auto" w:fill="FEFAF8"/>
          </w:tcPr>
          <w:p w14:paraId="07BC4D3E" w14:textId="77777777" w:rsidR="00C74D6F" w:rsidRPr="000F23E0" w:rsidRDefault="00C74D6F" w:rsidP="00745CFC">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0F23E0">
              <w:t>Reef 2050</w:t>
            </w:r>
          </w:p>
        </w:tc>
        <w:tc>
          <w:tcPr>
            <w:tcW w:w="968" w:type="pct"/>
            <w:tcBorders>
              <w:left w:val="nil"/>
              <w:right w:val="nil"/>
            </w:tcBorders>
            <w:shd w:val="clear" w:color="auto" w:fill="FEFAF8"/>
          </w:tcPr>
          <w:p w14:paraId="6B135DB9" w14:textId="11D5830D" w:rsidR="000C3111" w:rsidRPr="000F23E0" w:rsidRDefault="00745CFC" w:rsidP="00745CFC">
            <w:pPr>
              <w:pStyle w:val="TableColumnHeadingLeft"/>
              <w:cnfStyle w:val="000000000000" w:firstRow="0" w:lastRow="0" w:firstColumn="0" w:lastColumn="0" w:oddVBand="0" w:evenVBand="0" w:oddHBand="0" w:evenHBand="0" w:firstRowFirstColumn="0" w:firstRowLastColumn="0" w:lastRowFirstColumn="0" w:lastRowLastColumn="0"/>
              <w:rPr>
                <w:rFonts w:eastAsia="Calibri"/>
              </w:rPr>
            </w:pPr>
            <w:r w:rsidRPr="000F23E0">
              <w:drawing>
                <wp:inline distT="0" distB="0" distL="0" distR="0" wp14:anchorId="47115447" wp14:editId="69B44C54">
                  <wp:extent cx="432000" cy="432000"/>
                  <wp:effectExtent l="0" t="0" r="6350" b="6350"/>
                  <wp:docPr id="1842396819" name="Picture 7" descr="14 Life Below 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2396819" name="Picture 7" descr="14 Life Below Water"/>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32000" cy="432000"/>
                          </a:xfrm>
                          <a:prstGeom prst="rect">
                            <a:avLst/>
                          </a:prstGeom>
                        </pic:spPr>
                      </pic:pic>
                    </a:graphicData>
                  </a:graphic>
                </wp:inline>
              </w:drawing>
            </w:r>
          </w:p>
        </w:tc>
        <w:tc>
          <w:tcPr>
            <w:tcW w:w="386" w:type="pct"/>
            <w:tcBorders>
              <w:left w:val="nil"/>
              <w:right w:val="nil"/>
            </w:tcBorders>
            <w:shd w:val="clear" w:color="auto" w:fill="FEFAF8"/>
          </w:tcPr>
          <w:p w14:paraId="5EFC0C84" w14:textId="3682B30D" w:rsidR="004E1334" w:rsidRPr="000F23E0" w:rsidRDefault="004E1334" w:rsidP="00745CFC">
            <w:pPr>
              <w:pStyle w:val="TableTextRight"/>
              <w:cnfStyle w:val="000000000000" w:firstRow="0" w:lastRow="0" w:firstColumn="0" w:lastColumn="0" w:oddVBand="0" w:evenVBand="0" w:oddHBand="0" w:evenHBand="0" w:firstRowFirstColumn="0" w:firstRowLastColumn="0" w:lastRowFirstColumn="0" w:lastRowLastColumn="0"/>
              <w:rPr>
                <w:rFonts w:eastAsia="Calibri"/>
              </w:rPr>
            </w:pPr>
            <w:r w:rsidRPr="000F23E0">
              <w:rPr>
                <w:rFonts w:eastAsia="Calibri"/>
              </w:rPr>
              <w:t>88.2</w:t>
            </w:r>
          </w:p>
        </w:tc>
        <w:tc>
          <w:tcPr>
            <w:tcW w:w="386" w:type="pct"/>
            <w:tcBorders>
              <w:left w:val="nil"/>
              <w:right w:val="nil"/>
            </w:tcBorders>
            <w:shd w:val="clear" w:color="auto" w:fill="FEFAF8"/>
          </w:tcPr>
          <w:p w14:paraId="73453BB7" w14:textId="5E78E528" w:rsidR="00C74D6F" w:rsidRPr="000F23E0" w:rsidRDefault="00C74D6F" w:rsidP="00745CFC">
            <w:pPr>
              <w:pStyle w:val="TableTextRight"/>
              <w:cnfStyle w:val="000000000000" w:firstRow="0" w:lastRow="0" w:firstColumn="0" w:lastColumn="0" w:oddVBand="0" w:evenVBand="0" w:oddHBand="0" w:evenHBand="0" w:firstRowFirstColumn="0" w:firstRowLastColumn="0" w:lastRowFirstColumn="0" w:lastRowLastColumn="0"/>
              <w:rPr>
                <w:rFonts w:eastAsia="Calibri"/>
              </w:rPr>
            </w:pPr>
            <w:r w:rsidRPr="000F23E0">
              <w:rPr>
                <w:rFonts w:eastAsia="Calibri"/>
              </w:rPr>
              <w:t>88.2</w:t>
            </w:r>
          </w:p>
        </w:tc>
        <w:tc>
          <w:tcPr>
            <w:tcW w:w="386" w:type="pct"/>
            <w:tcBorders>
              <w:left w:val="nil"/>
              <w:right w:val="nil"/>
            </w:tcBorders>
            <w:shd w:val="clear" w:color="auto" w:fill="FEFAF8"/>
          </w:tcPr>
          <w:p w14:paraId="128E5A10" w14:textId="12C53E91" w:rsidR="00C74D6F" w:rsidRPr="000F23E0" w:rsidRDefault="00C74D6F" w:rsidP="00745CFC">
            <w:pPr>
              <w:pStyle w:val="TableTextRight"/>
              <w:cnfStyle w:val="000000000000" w:firstRow="0" w:lastRow="0" w:firstColumn="0" w:lastColumn="0" w:oddVBand="0" w:evenVBand="0" w:oddHBand="0" w:evenHBand="0" w:firstRowFirstColumn="0" w:firstRowLastColumn="0" w:lastRowFirstColumn="0" w:lastRowLastColumn="0"/>
              <w:rPr>
                <w:rFonts w:eastAsia="Calibri"/>
              </w:rPr>
            </w:pPr>
            <w:r w:rsidRPr="000F23E0">
              <w:rPr>
                <w:rFonts w:eastAsia="Calibri"/>
              </w:rPr>
              <w:t>128.7</w:t>
            </w:r>
          </w:p>
        </w:tc>
        <w:tc>
          <w:tcPr>
            <w:tcW w:w="386" w:type="pct"/>
            <w:tcBorders>
              <w:left w:val="nil"/>
              <w:right w:val="nil"/>
            </w:tcBorders>
            <w:shd w:val="clear" w:color="auto" w:fill="FEFAF8"/>
          </w:tcPr>
          <w:p w14:paraId="429493F9" w14:textId="644A29C7" w:rsidR="00C74D6F" w:rsidRPr="000F23E0" w:rsidDel="00D03E23" w:rsidRDefault="00C74D6F" w:rsidP="00745CFC">
            <w:pPr>
              <w:pStyle w:val="TableTextRight"/>
              <w:cnfStyle w:val="000000000000" w:firstRow="0" w:lastRow="0" w:firstColumn="0" w:lastColumn="0" w:oddVBand="0" w:evenVBand="0" w:oddHBand="0" w:evenHBand="0" w:firstRowFirstColumn="0" w:firstRowLastColumn="0" w:lastRowFirstColumn="0" w:lastRowLastColumn="0"/>
              <w:rPr>
                <w:rFonts w:eastAsia="Calibri"/>
              </w:rPr>
            </w:pPr>
            <w:r w:rsidRPr="000F23E0">
              <w:t>69.7</w:t>
            </w:r>
          </w:p>
        </w:tc>
        <w:tc>
          <w:tcPr>
            <w:tcW w:w="386" w:type="pct"/>
            <w:tcBorders>
              <w:left w:val="nil"/>
              <w:right w:val="nil"/>
            </w:tcBorders>
            <w:shd w:val="clear" w:color="auto" w:fill="FEFAF8"/>
          </w:tcPr>
          <w:p w14:paraId="7B1780D1" w14:textId="08CB1111" w:rsidR="00C74D6F" w:rsidRPr="000F23E0" w:rsidRDefault="002E02CA" w:rsidP="00745CFC">
            <w:pPr>
              <w:pStyle w:val="TableTextRight"/>
              <w:cnfStyle w:val="000000000000" w:firstRow="0" w:lastRow="0" w:firstColumn="0" w:lastColumn="0" w:oddVBand="0" w:evenVBand="0" w:oddHBand="0" w:evenHBand="0" w:firstRowFirstColumn="0" w:firstRowLastColumn="0" w:lastRowFirstColumn="0" w:lastRowLastColumn="0"/>
            </w:pPr>
            <w:r w:rsidRPr="000F23E0">
              <w:t>157.9</w:t>
            </w:r>
          </w:p>
        </w:tc>
      </w:tr>
      <w:tr w:rsidR="006E5EF6" w:rsidRPr="000F23E0" w14:paraId="61619A52" w14:textId="6F0DA771" w:rsidTr="00740BA0">
        <w:trPr>
          <w:trHeight w:val="772"/>
        </w:trPr>
        <w:tc>
          <w:tcPr>
            <w:cnfStyle w:val="001000000000" w:firstRow="0" w:lastRow="0" w:firstColumn="1" w:lastColumn="0" w:oddVBand="0" w:evenVBand="0" w:oddHBand="0" w:evenHBand="0" w:firstRowFirstColumn="0" w:firstRowLastColumn="0" w:lastRowFirstColumn="0" w:lastRowLastColumn="0"/>
            <w:tcW w:w="840" w:type="pct"/>
            <w:tcBorders>
              <w:left w:val="nil"/>
              <w:right w:val="nil"/>
            </w:tcBorders>
            <w:shd w:val="clear" w:color="auto" w:fill="FAE5D4"/>
          </w:tcPr>
          <w:p w14:paraId="511BEC4B" w14:textId="77777777" w:rsidR="00C74D6F" w:rsidRPr="000F23E0" w:rsidRDefault="00C74D6F" w:rsidP="001A0ABB">
            <w:pPr>
              <w:pStyle w:val="TableColumnHeadingLeft"/>
              <w:rPr>
                <w:rFonts w:eastAsia="Calibri"/>
              </w:rPr>
            </w:pPr>
            <w:r w:rsidRPr="000F23E0">
              <w:rPr>
                <w:rFonts w:eastAsia="Calibri"/>
              </w:rPr>
              <w:t>Sustainable water and wastewater management</w:t>
            </w:r>
          </w:p>
        </w:tc>
        <w:tc>
          <w:tcPr>
            <w:tcW w:w="526" w:type="pct"/>
            <w:tcBorders>
              <w:left w:val="nil"/>
              <w:right w:val="nil"/>
            </w:tcBorders>
            <w:shd w:val="clear" w:color="auto" w:fill="FDF0E7"/>
          </w:tcPr>
          <w:p w14:paraId="05609CC8" w14:textId="6C3C6975" w:rsidR="00C74D6F" w:rsidRPr="000F23E0" w:rsidRDefault="00C74D6F" w:rsidP="001A0ABB">
            <w:pPr>
              <w:pStyle w:val="TableColumnHeadingLeft"/>
              <w:cnfStyle w:val="000000000000" w:firstRow="0" w:lastRow="0" w:firstColumn="0" w:lastColumn="0" w:oddVBand="0" w:evenVBand="0" w:oddHBand="0" w:evenHBand="0" w:firstRowFirstColumn="0" w:firstRowLastColumn="0" w:lastRowFirstColumn="0" w:lastRowLastColumn="0"/>
            </w:pPr>
            <w:r w:rsidRPr="000F23E0">
              <w:t>Improved Environmental Outcomes</w:t>
            </w:r>
          </w:p>
        </w:tc>
        <w:tc>
          <w:tcPr>
            <w:tcW w:w="735" w:type="pct"/>
            <w:tcBorders>
              <w:left w:val="nil"/>
              <w:right w:val="nil"/>
            </w:tcBorders>
            <w:shd w:val="clear" w:color="auto" w:fill="FEFAF8"/>
          </w:tcPr>
          <w:p w14:paraId="3744D748" w14:textId="41BC7BC1" w:rsidR="00C74D6F" w:rsidRPr="000F23E0" w:rsidRDefault="00C74D6F" w:rsidP="00745CFC">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0F23E0">
              <w:t>Murray</w:t>
            </w:r>
            <w:r w:rsidR="00965AE7" w:rsidRPr="000F23E0">
              <w:t>–</w:t>
            </w:r>
            <w:r w:rsidRPr="000F23E0">
              <w:t>Darling Basin</w:t>
            </w:r>
            <w:r w:rsidR="00745CFC" w:rsidRPr="000F23E0">
              <w:t> </w:t>
            </w:r>
            <w:r w:rsidRPr="000F23E0">
              <w:t>Plan</w:t>
            </w:r>
          </w:p>
        </w:tc>
        <w:tc>
          <w:tcPr>
            <w:tcW w:w="968" w:type="pct"/>
            <w:tcBorders>
              <w:left w:val="nil"/>
              <w:right w:val="nil"/>
            </w:tcBorders>
            <w:shd w:val="clear" w:color="auto" w:fill="FEFAF8"/>
          </w:tcPr>
          <w:p w14:paraId="157BB7EC" w14:textId="16B3DE40" w:rsidR="000C3111" w:rsidRPr="000F23E0" w:rsidRDefault="00745CFC" w:rsidP="00745CFC">
            <w:pPr>
              <w:pStyle w:val="TableColumnHeadingLeft"/>
              <w:cnfStyle w:val="000000000000" w:firstRow="0" w:lastRow="0" w:firstColumn="0" w:lastColumn="0" w:oddVBand="0" w:evenVBand="0" w:oddHBand="0" w:evenHBand="0" w:firstRowFirstColumn="0" w:firstRowLastColumn="0" w:lastRowFirstColumn="0" w:lastRowLastColumn="0"/>
              <w:rPr>
                <w:rFonts w:eastAsia="Calibri"/>
              </w:rPr>
            </w:pPr>
            <w:r w:rsidRPr="000F23E0">
              <w:drawing>
                <wp:inline distT="0" distB="0" distL="0" distR="0" wp14:anchorId="0D620393" wp14:editId="1B0A0025">
                  <wp:extent cx="432000" cy="432000"/>
                  <wp:effectExtent l="0" t="0" r="6350" b="6350"/>
                  <wp:docPr id="592413485" name="Picture 7" descr="6 Clean Water and Sani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413485" name="Picture 7" descr="6 Clean Water and Sanitation"/>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32000" cy="432000"/>
                          </a:xfrm>
                          <a:prstGeom prst="rect">
                            <a:avLst/>
                          </a:prstGeom>
                        </pic:spPr>
                      </pic:pic>
                    </a:graphicData>
                  </a:graphic>
                </wp:inline>
              </w:drawing>
            </w:r>
          </w:p>
        </w:tc>
        <w:tc>
          <w:tcPr>
            <w:tcW w:w="386" w:type="pct"/>
            <w:tcBorders>
              <w:left w:val="nil"/>
              <w:right w:val="nil"/>
            </w:tcBorders>
            <w:shd w:val="clear" w:color="auto" w:fill="FEFAF8"/>
          </w:tcPr>
          <w:p w14:paraId="6DA083E7" w14:textId="4F1BC1CE" w:rsidR="004E1334" w:rsidRPr="000F23E0" w:rsidRDefault="004E1334" w:rsidP="00745CFC">
            <w:pPr>
              <w:pStyle w:val="TableTextRight"/>
              <w:cnfStyle w:val="000000000000" w:firstRow="0" w:lastRow="0" w:firstColumn="0" w:lastColumn="0" w:oddVBand="0" w:evenVBand="0" w:oddHBand="0" w:evenHBand="0" w:firstRowFirstColumn="0" w:firstRowLastColumn="0" w:lastRowFirstColumn="0" w:lastRowLastColumn="0"/>
              <w:rPr>
                <w:rFonts w:eastAsia="Calibri"/>
              </w:rPr>
            </w:pPr>
            <w:r w:rsidRPr="000F23E0">
              <w:rPr>
                <w:rFonts w:eastAsia="Calibri"/>
              </w:rPr>
              <w:t>871.6</w:t>
            </w:r>
          </w:p>
        </w:tc>
        <w:tc>
          <w:tcPr>
            <w:tcW w:w="386" w:type="pct"/>
            <w:tcBorders>
              <w:left w:val="nil"/>
              <w:right w:val="nil"/>
            </w:tcBorders>
            <w:shd w:val="clear" w:color="auto" w:fill="FEFAF8"/>
          </w:tcPr>
          <w:p w14:paraId="53AE370D" w14:textId="503DCAF9" w:rsidR="00C74D6F" w:rsidRPr="000F23E0" w:rsidRDefault="00C74D6F" w:rsidP="00745CFC">
            <w:pPr>
              <w:pStyle w:val="TableTextRight"/>
              <w:cnfStyle w:val="000000000000" w:firstRow="0" w:lastRow="0" w:firstColumn="0" w:lastColumn="0" w:oddVBand="0" w:evenVBand="0" w:oddHBand="0" w:evenHBand="0" w:firstRowFirstColumn="0" w:firstRowLastColumn="0" w:lastRowFirstColumn="0" w:lastRowLastColumn="0"/>
              <w:rPr>
                <w:rFonts w:eastAsia="Calibri"/>
              </w:rPr>
            </w:pPr>
            <w:r w:rsidRPr="000F23E0">
              <w:rPr>
                <w:rFonts w:eastAsia="Calibri"/>
              </w:rPr>
              <w:t>871.6</w:t>
            </w:r>
          </w:p>
        </w:tc>
        <w:tc>
          <w:tcPr>
            <w:tcW w:w="386" w:type="pct"/>
            <w:tcBorders>
              <w:left w:val="nil"/>
              <w:right w:val="nil"/>
            </w:tcBorders>
            <w:shd w:val="clear" w:color="auto" w:fill="FEFAF8"/>
          </w:tcPr>
          <w:p w14:paraId="0EFCE58E" w14:textId="4AB6D4F0" w:rsidR="00C74D6F" w:rsidRPr="000F23E0" w:rsidRDefault="00C74D6F" w:rsidP="00745CFC">
            <w:pPr>
              <w:pStyle w:val="TableTextRight"/>
              <w:cnfStyle w:val="000000000000" w:firstRow="0" w:lastRow="0" w:firstColumn="0" w:lastColumn="0" w:oddVBand="0" w:evenVBand="0" w:oddHBand="0" w:evenHBand="0" w:firstRowFirstColumn="0" w:firstRowLastColumn="0" w:lastRowFirstColumn="0" w:lastRowLastColumn="0"/>
              <w:rPr>
                <w:rFonts w:eastAsia="Calibri"/>
              </w:rPr>
            </w:pPr>
            <w:r w:rsidRPr="000F23E0">
              <w:rPr>
                <w:rFonts w:eastAsia="Calibri"/>
              </w:rPr>
              <w:t>698.6</w:t>
            </w:r>
          </w:p>
        </w:tc>
        <w:tc>
          <w:tcPr>
            <w:tcW w:w="386" w:type="pct"/>
            <w:tcBorders>
              <w:left w:val="nil"/>
              <w:right w:val="nil"/>
            </w:tcBorders>
            <w:shd w:val="clear" w:color="auto" w:fill="FEFAF8"/>
          </w:tcPr>
          <w:p w14:paraId="1586B107" w14:textId="0DBC5875" w:rsidR="00C74D6F" w:rsidRPr="000F23E0" w:rsidRDefault="00C74D6F" w:rsidP="00745CFC">
            <w:pPr>
              <w:pStyle w:val="TableTextRight"/>
              <w:cnfStyle w:val="000000000000" w:firstRow="0" w:lastRow="0" w:firstColumn="0" w:lastColumn="0" w:oddVBand="0" w:evenVBand="0" w:oddHBand="0" w:evenHBand="0" w:firstRowFirstColumn="0" w:firstRowLastColumn="0" w:lastRowFirstColumn="0" w:lastRowLastColumn="0"/>
              <w:rPr>
                <w:rFonts w:eastAsia="Calibri"/>
              </w:rPr>
            </w:pPr>
            <w:r w:rsidRPr="000F23E0">
              <w:t>378.1</w:t>
            </w:r>
          </w:p>
        </w:tc>
        <w:tc>
          <w:tcPr>
            <w:tcW w:w="386" w:type="pct"/>
            <w:tcBorders>
              <w:left w:val="nil"/>
              <w:right w:val="nil"/>
            </w:tcBorders>
            <w:shd w:val="clear" w:color="auto" w:fill="FEFAF8"/>
          </w:tcPr>
          <w:p w14:paraId="612B1D26" w14:textId="1E47BC54" w:rsidR="00C74D6F" w:rsidRPr="000F23E0" w:rsidRDefault="00664F8C" w:rsidP="00745CFC">
            <w:pPr>
              <w:pStyle w:val="TableTextRight"/>
              <w:cnfStyle w:val="000000000000" w:firstRow="0" w:lastRow="0" w:firstColumn="0" w:lastColumn="0" w:oddVBand="0" w:evenVBand="0" w:oddHBand="0" w:evenHBand="0" w:firstRowFirstColumn="0" w:firstRowLastColumn="0" w:lastRowFirstColumn="0" w:lastRowLastColumn="0"/>
            </w:pPr>
            <w:r w:rsidRPr="000F23E0">
              <w:t>1,249.7</w:t>
            </w:r>
          </w:p>
        </w:tc>
      </w:tr>
      <w:tr w:rsidR="006E5EF6" w:rsidRPr="000F23E0" w14:paraId="17DA1CD9" w14:textId="3706FC13" w:rsidTr="00740BA0">
        <w:trPr>
          <w:trHeight w:val="728"/>
        </w:trPr>
        <w:tc>
          <w:tcPr>
            <w:cnfStyle w:val="001000000000" w:firstRow="0" w:lastRow="0" w:firstColumn="1" w:lastColumn="0" w:oddVBand="0" w:evenVBand="0" w:oddHBand="0" w:evenHBand="0" w:firstRowFirstColumn="0" w:firstRowLastColumn="0" w:lastRowFirstColumn="0" w:lastRowLastColumn="0"/>
            <w:tcW w:w="840" w:type="pct"/>
            <w:tcBorders>
              <w:left w:val="nil"/>
              <w:bottom w:val="single" w:sz="4" w:space="0" w:color="DFA795"/>
              <w:right w:val="nil"/>
            </w:tcBorders>
            <w:shd w:val="clear" w:color="auto" w:fill="FAE5D4"/>
          </w:tcPr>
          <w:p w14:paraId="492B1603" w14:textId="2CC4D165" w:rsidR="00C74D6F" w:rsidRPr="000F23E0" w:rsidRDefault="00C74D6F" w:rsidP="001A0ABB">
            <w:pPr>
              <w:pStyle w:val="TableColumnHeadingLeft"/>
              <w:rPr>
                <w:rFonts w:eastAsia="Calibri"/>
              </w:rPr>
            </w:pPr>
            <w:r w:rsidRPr="000F23E0">
              <w:rPr>
                <w:rFonts w:eastAsiaTheme="majorEastAsia"/>
              </w:rPr>
              <w:t>Circular Economy (waste</w:t>
            </w:r>
            <w:r w:rsidR="006E5EF6" w:rsidRPr="000F23E0">
              <w:rPr>
                <w:rFonts w:eastAsiaTheme="majorEastAsia"/>
              </w:rPr>
              <w:t> </w:t>
            </w:r>
            <w:r w:rsidRPr="000F23E0">
              <w:rPr>
                <w:rFonts w:eastAsiaTheme="majorEastAsia"/>
              </w:rPr>
              <w:t>management)</w:t>
            </w:r>
          </w:p>
        </w:tc>
        <w:tc>
          <w:tcPr>
            <w:tcW w:w="526" w:type="pct"/>
            <w:tcBorders>
              <w:left w:val="nil"/>
              <w:bottom w:val="single" w:sz="4" w:space="0" w:color="DFA795"/>
              <w:right w:val="nil"/>
            </w:tcBorders>
            <w:shd w:val="clear" w:color="auto" w:fill="FDF0E7"/>
          </w:tcPr>
          <w:p w14:paraId="17FAB684" w14:textId="6003BAF4" w:rsidR="00C74D6F" w:rsidRPr="000F23E0" w:rsidRDefault="00C74D6F" w:rsidP="001A0ABB">
            <w:pPr>
              <w:pStyle w:val="TableColumnHeadingLeft"/>
              <w:cnfStyle w:val="000000000000" w:firstRow="0" w:lastRow="0" w:firstColumn="0" w:lastColumn="0" w:oddVBand="0" w:evenVBand="0" w:oddHBand="0" w:evenHBand="0" w:firstRowFirstColumn="0" w:firstRowLastColumn="0" w:lastRowFirstColumn="0" w:lastRowLastColumn="0"/>
            </w:pPr>
            <w:r w:rsidRPr="000F23E0">
              <w:t>Improved Environmental Outcomes</w:t>
            </w:r>
          </w:p>
        </w:tc>
        <w:tc>
          <w:tcPr>
            <w:tcW w:w="735" w:type="pct"/>
            <w:tcBorders>
              <w:left w:val="nil"/>
              <w:bottom w:val="single" w:sz="4" w:space="0" w:color="DFA795"/>
              <w:right w:val="nil"/>
            </w:tcBorders>
            <w:shd w:val="clear" w:color="auto" w:fill="FEFAF8"/>
          </w:tcPr>
          <w:p w14:paraId="14F8519A" w14:textId="0300935C" w:rsidR="00C74D6F" w:rsidRPr="000F23E0" w:rsidRDefault="00C74D6F" w:rsidP="00745CFC">
            <w:pPr>
              <w:pStyle w:val="TableTextLeft"/>
              <w:cnfStyle w:val="000000000000" w:firstRow="0" w:lastRow="0" w:firstColumn="0" w:lastColumn="0" w:oddVBand="0" w:evenVBand="0" w:oddHBand="0" w:evenHBand="0" w:firstRowFirstColumn="0" w:firstRowLastColumn="0" w:lastRowFirstColumn="0" w:lastRowLastColumn="0"/>
            </w:pPr>
            <w:r w:rsidRPr="000F23E0">
              <w:t>Recycling Modernisation</w:t>
            </w:r>
            <w:r w:rsidR="00745CFC" w:rsidRPr="000F23E0">
              <w:t> </w:t>
            </w:r>
            <w:r w:rsidRPr="000F23E0">
              <w:t>Fund</w:t>
            </w:r>
          </w:p>
        </w:tc>
        <w:tc>
          <w:tcPr>
            <w:tcW w:w="968" w:type="pct"/>
            <w:tcBorders>
              <w:left w:val="nil"/>
              <w:bottom w:val="single" w:sz="4" w:space="0" w:color="DFA795"/>
              <w:right w:val="nil"/>
            </w:tcBorders>
            <w:shd w:val="clear" w:color="auto" w:fill="FEFAF8"/>
          </w:tcPr>
          <w:p w14:paraId="503B9FCA" w14:textId="7B8E5E7E" w:rsidR="000C3111" w:rsidRPr="000F23E0" w:rsidRDefault="00745CFC" w:rsidP="00745CFC">
            <w:pPr>
              <w:pStyle w:val="TableColumnHeadingLeft"/>
              <w:cnfStyle w:val="000000000000" w:firstRow="0" w:lastRow="0" w:firstColumn="0" w:lastColumn="0" w:oddVBand="0" w:evenVBand="0" w:oddHBand="0" w:evenHBand="0" w:firstRowFirstColumn="0" w:firstRowLastColumn="0" w:lastRowFirstColumn="0" w:lastRowLastColumn="0"/>
              <w:rPr>
                <w:rFonts w:eastAsia="Calibri"/>
              </w:rPr>
            </w:pPr>
            <w:r w:rsidRPr="000F23E0">
              <w:drawing>
                <wp:inline distT="0" distB="0" distL="0" distR="0" wp14:anchorId="1FCC0967" wp14:editId="37322D8B">
                  <wp:extent cx="432000" cy="432000"/>
                  <wp:effectExtent l="0" t="0" r="6350" b="6350"/>
                  <wp:docPr id="705256778" name="Picture 7" descr="12 Responsible Consumption and Produ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239066" name="Picture 7" descr="12 Responsible Consumption and Production"/>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32000" cy="432000"/>
                          </a:xfrm>
                          <a:prstGeom prst="rect">
                            <a:avLst/>
                          </a:prstGeom>
                        </pic:spPr>
                      </pic:pic>
                    </a:graphicData>
                  </a:graphic>
                </wp:inline>
              </w:drawing>
            </w:r>
          </w:p>
        </w:tc>
        <w:tc>
          <w:tcPr>
            <w:tcW w:w="386" w:type="pct"/>
            <w:tcBorders>
              <w:left w:val="nil"/>
              <w:right w:val="nil"/>
            </w:tcBorders>
            <w:shd w:val="clear" w:color="auto" w:fill="FEFAF8"/>
          </w:tcPr>
          <w:p w14:paraId="7E880732" w14:textId="76E6CBA2" w:rsidR="004E1334" w:rsidRPr="000F23E0" w:rsidRDefault="004E1334" w:rsidP="00745CFC">
            <w:pPr>
              <w:pStyle w:val="TableTextRight"/>
              <w:cnfStyle w:val="000000000000" w:firstRow="0" w:lastRow="0" w:firstColumn="0" w:lastColumn="0" w:oddVBand="0" w:evenVBand="0" w:oddHBand="0" w:evenHBand="0" w:firstRowFirstColumn="0" w:firstRowLastColumn="0" w:lastRowFirstColumn="0" w:lastRowLastColumn="0"/>
              <w:rPr>
                <w:rFonts w:eastAsia="Calibri"/>
              </w:rPr>
            </w:pPr>
            <w:r w:rsidRPr="000F23E0">
              <w:rPr>
                <w:rFonts w:eastAsia="Calibri"/>
              </w:rPr>
              <w:t>-</w:t>
            </w:r>
          </w:p>
        </w:tc>
        <w:tc>
          <w:tcPr>
            <w:tcW w:w="386" w:type="pct"/>
            <w:tcBorders>
              <w:left w:val="nil"/>
              <w:right w:val="nil"/>
            </w:tcBorders>
            <w:shd w:val="clear" w:color="auto" w:fill="FEFAF8"/>
          </w:tcPr>
          <w:p w14:paraId="43853708" w14:textId="077560FF" w:rsidR="00C74D6F" w:rsidRPr="000F23E0" w:rsidRDefault="004E1334" w:rsidP="00745CFC">
            <w:pPr>
              <w:pStyle w:val="TableTextRight"/>
              <w:cnfStyle w:val="000000000000" w:firstRow="0" w:lastRow="0" w:firstColumn="0" w:lastColumn="0" w:oddVBand="0" w:evenVBand="0" w:oddHBand="0" w:evenHBand="0" w:firstRowFirstColumn="0" w:firstRowLastColumn="0" w:lastRowFirstColumn="0" w:lastRowLastColumn="0"/>
              <w:rPr>
                <w:rFonts w:eastAsia="Calibri"/>
              </w:rPr>
            </w:pPr>
            <w:r w:rsidRPr="000F23E0">
              <w:rPr>
                <w:rFonts w:eastAsia="Calibri"/>
              </w:rPr>
              <w:t>-</w:t>
            </w:r>
          </w:p>
        </w:tc>
        <w:tc>
          <w:tcPr>
            <w:tcW w:w="386" w:type="pct"/>
            <w:tcBorders>
              <w:left w:val="nil"/>
              <w:right w:val="nil"/>
            </w:tcBorders>
            <w:shd w:val="clear" w:color="auto" w:fill="FEFAF8"/>
          </w:tcPr>
          <w:p w14:paraId="4C7A3104" w14:textId="6313D2A1" w:rsidR="00C74D6F" w:rsidRPr="000F23E0" w:rsidRDefault="00C74D6F" w:rsidP="00745CFC">
            <w:pPr>
              <w:pStyle w:val="TableTextRight"/>
              <w:cnfStyle w:val="000000000000" w:firstRow="0" w:lastRow="0" w:firstColumn="0" w:lastColumn="0" w:oddVBand="0" w:evenVBand="0" w:oddHBand="0" w:evenHBand="0" w:firstRowFirstColumn="0" w:firstRowLastColumn="0" w:lastRowFirstColumn="0" w:lastRowLastColumn="0"/>
              <w:rPr>
                <w:rFonts w:eastAsia="Calibri"/>
              </w:rPr>
            </w:pPr>
            <w:r w:rsidRPr="000F23E0">
              <w:rPr>
                <w:rFonts w:eastAsia="Calibri"/>
              </w:rPr>
              <w:t>32.8</w:t>
            </w:r>
          </w:p>
        </w:tc>
        <w:tc>
          <w:tcPr>
            <w:tcW w:w="386" w:type="pct"/>
            <w:tcBorders>
              <w:left w:val="nil"/>
              <w:right w:val="nil"/>
            </w:tcBorders>
            <w:shd w:val="clear" w:color="auto" w:fill="FEFAF8"/>
          </w:tcPr>
          <w:p w14:paraId="0025E804" w14:textId="3D1F0834" w:rsidR="00C74D6F" w:rsidRPr="000F23E0" w:rsidRDefault="00C74D6F" w:rsidP="00745CFC">
            <w:pPr>
              <w:pStyle w:val="TableTextRight"/>
              <w:cnfStyle w:val="000000000000" w:firstRow="0" w:lastRow="0" w:firstColumn="0" w:lastColumn="0" w:oddVBand="0" w:evenVBand="0" w:oddHBand="0" w:evenHBand="0" w:firstRowFirstColumn="0" w:firstRowLastColumn="0" w:lastRowFirstColumn="0" w:lastRowLastColumn="0"/>
              <w:rPr>
                <w:rFonts w:eastAsia="Calibri"/>
              </w:rPr>
            </w:pPr>
            <w:r w:rsidRPr="000F23E0">
              <w:t>17.8</w:t>
            </w:r>
          </w:p>
        </w:tc>
        <w:tc>
          <w:tcPr>
            <w:tcW w:w="386" w:type="pct"/>
            <w:tcBorders>
              <w:left w:val="nil"/>
              <w:right w:val="nil"/>
            </w:tcBorders>
            <w:shd w:val="clear" w:color="auto" w:fill="FEFAF8"/>
          </w:tcPr>
          <w:p w14:paraId="2B4C25B9" w14:textId="408B49FF" w:rsidR="00C74D6F" w:rsidRPr="000F23E0" w:rsidRDefault="00664F8C" w:rsidP="00745CFC">
            <w:pPr>
              <w:pStyle w:val="TableTextRight"/>
              <w:cnfStyle w:val="000000000000" w:firstRow="0" w:lastRow="0" w:firstColumn="0" w:lastColumn="0" w:oddVBand="0" w:evenVBand="0" w:oddHBand="0" w:evenHBand="0" w:firstRowFirstColumn="0" w:firstRowLastColumn="0" w:lastRowFirstColumn="0" w:lastRowLastColumn="0"/>
            </w:pPr>
            <w:r w:rsidRPr="000F23E0">
              <w:t>17.8</w:t>
            </w:r>
          </w:p>
        </w:tc>
      </w:tr>
      <w:tr w:rsidR="001A0ABB" w:rsidRPr="000F23E0" w14:paraId="3A03E72C" w14:textId="1FE54263" w:rsidTr="00DD7159">
        <w:trPr>
          <w:trHeight w:val="75"/>
        </w:trPr>
        <w:tc>
          <w:tcPr>
            <w:cnfStyle w:val="001000000000" w:firstRow="0" w:lastRow="0" w:firstColumn="1" w:lastColumn="0" w:oddVBand="0" w:evenVBand="0" w:oddHBand="0" w:evenHBand="0" w:firstRowFirstColumn="0" w:firstRowLastColumn="0" w:lastRowFirstColumn="0" w:lastRowLastColumn="0"/>
            <w:tcW w:w="840" w:type="pct"/>
            <w:tcBorders>
              <w:left w:val="nil"/>
              <w:right w:val="nil"/>
            </w:tcBorders>
            <w:shd w:val="clear" w:color="auto" w:fill="FAE5D4"/>
          </w:tcPr>
          <w:p w14:paraId="56FCB3E8" w14:textId="264E3CCE" w:rsidR="009E4FE8" w:rsidRPr="000F23E0" w:rsidRDefault="009F034E" w:rsidP="00745CFC">
            <w:pPr>
              <w:pStyle w:val="TableColumnHeadingLeft"/>
              <w:rPr>
                <w:rFonts w:eastAsiaTheme="majorEastAsia"/>
              </w:rPr>
            </w:pPr>
            <w:r w:rsidRPr="000F23E0">
              <w:t>Total (a)</w:t>
            </w:r>
          </w:p>
        </w:tc>
        <w:tc>
          <w:tcPr>
            <w:tcW w:w="526" w:type="pct"/>
            <w:tcBorders>
              <w:left w:val="nil"/>
              <w:right w:val="nil"/>
            </w:tcBorders>
            <w:shd w:val="clear" w:color="auto" w:fill="FDF0E7"/>
          </w:tcPr>
          <w:p w14:paraId="378EBBAD" w14:textId="6C54DF3A" w:rsidR="009E4FE8" w:rsidRPr="000F23E0" w:rsidRDefault="009E4FE8" w:rsidP="00745CFC">
            <w:pPr>
              <w:pStyle w:val="TableTextLeft"/>
              <w:cnfStyle w:val="000000000000" w:firstRow="0" w:lastRow="0" w:firstColumn="0" w:lastColumn="0" w:oddVBand="0" w:evenVBand="0" w:oddHBand="0" w:evenHBand="0" w:firstRowFirstColumn="0" w:firstRowLastColumn="0" w:lastRowFirstColumn="0" w:lastRowLastColumn="0"/>
              <w:rPr>
                <w:b/>
                <w:bCs/>
              </w:rPr>
            </w:pPr>
          </w:p>
        </w:tc>
        <w:tc>
          <w:tcPr>
            <w:tcW w:w="735" w:type="pct"/>
            <w:tcBorders>
              <w:left w:val="nil"/>
              <w:right w:val="nil"/>
            </w:tcBorders>
            <w:shd w:val="clear" w:color="auto" w:fill="FEFAF8"/>
          </w:tcPr>
          <w:p w14:paraId="79C2A101" w14:textId="61BB5FBE" w:rsidR="009E4FE8" w:rsidRPr="000F23E0" w:rsidRDefault="009E4FE8" w:rsidP="00745CFC">
            <w:pPr>
              <w:pStyle w:val="TableTextLeft"/>
              <w:cnfStyle w:val="000000000000" w:firstRow="0" w:lastRow="0" w:firstColumn="0" w:lastColumn="0" w:oddVBand="0" w:evenVBand="0" w:oddHBand="0" w:evenHBand="0" w:firstRowFirstColumn="0" w:firstRowLastColumn="0" w:lastRowFirstColumn="0" w:lastRowLastColumn="0"/>
              <w:rPr>
                <w:b/>
                <w:bCs/>
              </w:rPr>
            </w:pPr>
          </w:p>
        </w:tc>
        <w:tc>
          <w:tcPr>
            <w:tcW w:w="968" w:type="pct"/>
            <w:tcBorders>
              <w:left w:val="nil"/>
              <w:right w:val="nil"/>
            </w:tcBorders>
            <w:shd w:val="clear" w:color="auto" w:fill="FEFAF8"/>
          </w:tcPr>
          <w:p w14:paraId="4638B5FF" w14:textId="3ADB1ED7" w:rsidR="000C3111" w:rsidRPr="000F23E0" w:rsidRDefault="000C3111" w:rsidP="00745CFC">
            <w:pPr>
              <w:pStyle w:val="TableColumnHeadingLeft"/>
              <w:cnfStyle w:val="000000000000" w:firstRow="0" w:lastRow="0" w:firstColumn="0" w:lastColumn="0" w:oddVBand="0" w:evenVBand="0" w:oddHBand="0" w:evenHBand="0" w:firstRowFirstColumn="0" w:firstRowLastColumn="0" w:lastRowFirstColumn="0" w:lastRowLastColumn="0"/>
              <w:rPr>
                <w:rFonts w:eastAsia="Calibri"/>
              </w:rPr>
            </w:pPr>
          </w:p>
        </w:tc>
        <w:tc>
          <w:tcPr>
            <w:tcW w:w="386" w:type="pct"/>
            <w:tcBorders>
              <w:left w:val="nil"/>
              <w:right w:val="nil"/>
            </w:tcBorders>
            <w:shd w:val="clear" w:color="auto" w:fill="FEFAF8"/>
          </w:tcPr>
          <w:p w14:paraId="1E541753" w14:textId="2FEED881" w:rsidR="004E1334" w:rsidRPr="000F23E0" w:rsidRDefault="004E1334" w:rsidP="00745CFC">
            <w:pPr>
              <w:pStyle w:val="TableTextRight"/>
              <w:cnfStyle w:val="000000000000" w:firstRow="0" w:lastRow="0" w:firstColumn="0" w:lastColumn="0" w:oddVBand="0" w:evenVBand="0" w:oddHBand="0" w:evenHBand="0" w:firstRowFirstColumn="0" w:firstRowLastColumn="0" w:lastRowFirstColumn="0" w:lastRowLastColumn="0"/>
              <w:rPr>
                <w:rFonts w:eastAsia="Calibri"/>
                <w:b/>
              </w:rPr>
            </w:pPr>
            <w:r w:rsidRPr="000F23E0">
              <w:rPr>
                <w:rFonts w:eastAsia="Calibri"/>
                <w:b/>
              </w:rPr>
              <w:t>5,409.</w:t>
            </w:r>
            <w:r w:rsidRPr="000F23E0">
              <w:rPr>
                <w:b/>
                <w:bCs/>
              </w:rPr>
              <w:t>2</w:t>
            </w:r>
          </w:p>
        </w:tc>
        <w:tc>
          <w:tcPr>
            <w:tcW w:w="386" w:type="pct"/>
            <w:tcBorders>
              <w:left w:val="nil"/>
              <w:right w:val="nil"/>
            </w:tcBorders>
            <w:shd w:val="clear" w:color="auto" w:fill="FEFAF8"/>
          </w:tcPr>
          <w:p w14:paraId="3AA7964E" w14:textId="5731A81E" w:rsidR="009E4FE8" w:rsidRPr="000F23E0" w:rsidRDefault="009E4FE8" w:rsidP="00745CFC">
            <w:pPr>
              <w:pStyle w:val="TableTextRight"/>
              <w:cnfStyle w:val="000000000000" w:firstRow="0" w:lastRow="0" w:firstColumn="0" w:lastColumn="0" w:oddVBand="0" w:evenVBand="0" w:oddHBand="0" w:evenHBand="0" w:firstRowFirstColumn="0" w:firstRowLastColumn="0" w:lastRowFirstColumn="0" w:lastRowLastColumn="0"/>
              <w:rPr>
                <w:rFonts w:eastAsia="Calibri"/>
                <w:b/>
              </w:rPr>
            </w:pPr>
            <w:r w:rsidRPr="000F23E0">
              <w:rPr>
                <w:rFonts w:eastAsia="Calibri"/>
                <w:b/>
              </w:rPr>
              <w:t>5</w:t>
            </w:r>
            <w:r w:rsidR="007A6655" w:rsidRPr="000F23E0">
              <w:rPr>
                <w:rFonts w:eastAsia="Calibri"/>
                <w:b/>
              </w:rPr>
              <w:t>,</w:t>
            </w:r>
            <w:r w:rsidRPr="000F23E0">
              <w:rPr>
                <w:rFonts w:eastAsia="Calibri"/>
                <w:b/>
              </w:rPr>
              <w:t>409.</w:t>
            </w:r>
            <w:r w:rsidRPr="000F23E0">
              <w:rPr>
                <w:b/>
                <w:bCs/>
              </w:rPr>
              <w:t>2</w:t>
            </w:r>
          </w:p>
        </w:tc>
        <w:tc>
          <w:tcPr>
            <w:tcW w:w="386" w:type="pct"/>
            <w:tcBorders>
              <w:left w:val="nil"/>
              <w:right w:val="nil"/>
            </w:tcBorders>
            <w:shd w:val="clear" w:color="auto" w:fill="FEFAF8"/>
          </w:tcPr>
          <w:p w14:paraId="4A3DFA63" w14:textId="16FCCA07" w:rsidR="009E4FE8" w:rsidRPr="000F23E0" w:rsidRDefault="0041325E" w:rsidP="00745CFC">
            <w:pPr>
              <w:pStyle w:val="TableTextRight"/>
              <w:cnfStyle w:val="000000000000" w:firstRow="0" w:lastRow="0" w:firstColumn="0" w:lastColumn="0" w:oddVBand="0" w:evenVBand="0" w:oddHBand="0" w:evenHBand="0" w:firstRowFirstColumn="0" w:firstRowLastColumn="0" w:lastRowFirstColumn="0" w:lastRowLastColumn="0"/>
              <w:rPr>
                <w:rFonts w:eastAsia="Calibri"/>
                <w:b/>
              </w:rPr>
            </w:pPr>
            <w:r w:rsidRPr="000F23E0">
              <w:rPr>
                <w:rFonts w:eastAsia="Calibri"/>
                <w:b/>
              </w:rPr>
              <w:t>6,607.</w:t>
            </w:r>
            <w:r w:rsidRPr="000F23E0">
              <w:rPr>
                <w:b/>
                <w:bCs/>
              </w:rPr>
              <w:t>6</w:t>
            </w:r>
          </w:p>
        </w:tc>
        <w:tc>
          <w:tcPr>
            <w:tcW w:w="386" w:type="pct"/>
            <w:tcBorders>
              <w:left w:val="nil"/>
              <w:right w:val="nil"/>
            </w:tcBorders>
            <w:shd w:val="clear" w:color="auto" w:fill="FEFAF8"/>
          </w:tcPr>
          <w:p w14:paraId="46BB8FD1" w14:textId="0A515DE9" w:rsidR="009E4FE8" w:rsidRPr="000F23E0" w:rsidRDefault="00886D04" w:rsidP="00745CFC">
            <w:pPr>
              <w:pStyle w:val="TableTextRight"/>
              <w:cnfStyle w:val="000000000000" w:firstRow="0" w:lastRow="0" w:firstColumn="0" w:lastColumn="0" w:oddVBand="0" w:evenVBand="0" w:oddHBand="0" w:evenHBand="0" w:firstRowFirstColumn="0" w:firstRowLastColumn="0" w:lastRowFirstColumn="0" w:lastRowLastColumn="0"/>
              <w:rPr>
                <w:b/>
                <w:bCs/>
              </w:rPr>
            </w:pPr>
            <w:r w:rsidRPr="000F23E0">
              <w:rPr>
                <w:b/>
                <w:bCs/>
              </w:rPr>
              <w:t>3,576.2</w:t>
            </w:r>
          </w:p>
        </w:tc>
        <w:tc>
          <w:tcPr>
            <w:tcW w:w="386" w:type="pct"/>
            <w:tcBorders>
              <w:left w:val="nil"/>
              <w:right w:val="nil"/>
            </w:tcBorders>
            <w:shd w:val="clear" w:color="auto" w:fill="FEFAF8"/>
          </w:tcPr>
          <w:p w14:paraId="24891553" w14:textId="1FDD235D" w:rsidR="009E4FE8" w:rsidRPr="000F23E0" w:rsidRDefault="00886D04" w:rsidP="00745CFC">
            <w:pPr>
              <w:pStyle w:val="TableTextRight"/>
              <w:cnfStyle w:val="000000000000" w:firstRow="0" w:lastRow="0" w:firstColumn="0" w:lastColumn="0" w:oddVBand="0" w:evenVBand="0" w:oddHBand="0" w:evenHBand="0" w:firstRowFirstColumn="0" w:firstRowLastColumn="0" w:lastRowFirstColumn="0" w:lastRowLastColumn="0"/>
              <w:rPr>
                <w:b/>
                <w:bCs/>
              </w:rPr>
            </w:pPr>
            <w:r w:rsidRPr="000F23E0">
              <w:rPr>
                <w:rFonts w:eastAsia="Calibri"/>
                <w:b/>
              </w:rPr>
              <w:t>8,985.</w:t>
            </w:r>
            <w:r w:rsidRPr="000F23E0">
              <w:rPr>
                <w:b/>
                <w:bCs/>
              </w:rPr>
              <w:t>4</w:t>
            </w:r>
          </w:p>
        </w:tc>
      </w:tr>
    </w:tbl>
    <w:p w14:paraId="3BEE5B6A" w14:textId="6051D63A" w:rsidR="00383386" w:rsidRPr="000F23E0" w:rsidRDefault="00236B2A" w:rsidP="00A72FA0">
      <w:pPr>
        <w:pStyle w:val="ChartandTableFootnoteAlpha"/>
      </w:pPr>
      <w:bookmarkStart w:id="39" w:name="_Ref214980970"/>
      <w:bookmarkEnd w:id="38"/>
      <w:r w:rsidRPr="000F23E0">
        <w:t>Due to rounding</w:t>
      </w:r>
      <w:r w:rsidR="00F3728C" w:rsidRPr="000F23E0">
        <w:t>, discrepancies may occur between sums of the component items and totals.</w:t>
      </w:r>
    </w:p>
    <w:p w14:paraId="52A3A211" w14:textId="6D9D05A4" w:rsidR="006B0C4C" w:rsidRPr="000F23E0" w:rsidRDefault="006B0C4C" w:rsidP="00383386">
      <w:r w:rsidRPr="000F23E0">
        <w:br w:type="page"/>
      </w:r>
    </w:p>
    <w:p w14:paraId="7851B39B" w14:textId="5F1962B2" w:rsidR="00DE7498" w:rsidRPr="000F23E0" w:rsidRDefault="00DE7498" w:rsidP="00551F72">
      <w:pPr>
        <w:pStyle w:val="TableMainHeading"/>
      </w:pPr>
      <w:bookmarkStart w:id="40" w:name="_Ref220669159"/>
      <w:bookmarkStart w:id="41" w:name="_Ref220669208"/>
      <w:bookmarkStart w:id="42" w:name="_Toc224637780"/>
      <w:bookmarkStart w:id="43" w:name="_Toc224642444"/>
      <w:bookmarkStart w:id="44" w:name="_Toc225153420"/>
      <w:bookmarkStart w:id="45" w:name="_Toc225154466"/>
      <w:bookmarkStart w:id="46" w:name="_Toc225155731"/>
      <w:r w:rsidRPr="000F23E0">
        <w:lastRenderedPageBreak/>
        <w:t>Table</w:t>
      </w:r>
      <w:bookmarkEnd w:id="40"/>
      <w:r w:rsidRPr="000F23E0">
        <w:t xml:space="preserve"> </w:t>
      </w:r>
      <w:bookmarkEnd w:id="39"/>
      <w:bookmarkEnd w:id="41"/>
      <w:r w:rsidR="00510EF9" w:rsidRPr="000F23E0">
        <w:t>2</w:t>
      </w:r>
      <w:r w:rsidR="00445AD4" w:rsidRPr="000F23E0">
        <w:t>:</w:t>
      </w:r>
      <w:r w:rsidRPr="000F23E0">
        <w:t xml:space="preserve"> Impacts</w:t>
      </w:r>
      <w:r w:rsidR="003B4286" w:rsidRPr="000F23E0">
        <w:t xml:space="preserve"> of Eligible Green Expenditure</w:t>
      </w:r>
      <w:r w:rsidR="007B21CF" w:rsidRPr="000F23E0">
        <w:t>s</w:t>
      </w:r>
      <w:bookmarkEnd w:id="42"/>
      <w:bookmarkEnd w:id="43"/>
      <w:bookmarkEnd w:id="44"/>
      <w:bookmarkEnd w:id="45"/>
      <w:bookmarkEnd w:id="46"/>
    </w:p>
    <w:tbl>
      <w:tblPr>
        <w:tblStyle w:val="GridTable4-Accent2"/>
        <w:tblW w:w="5000" w:type="pct"/>
        <w:tblInd w:w="0" w:type="dxa"/>
        <w:tblBorders>
          <w:top w:val="single" w:sz="4" w:space="0" w:color="D77A5B"/>
          <w:bottom w:val="single" w:sz="4" w:space="0" w:color="D77A5B"/>
          <w:insideH w:val="single" w:sz="4" w:space="0" w:color="D77A5B"/>
        </w:tblBorders>
        <w:tblLayout w:type="fixed"/>
        <w:tblCellMar>
          <w:top w:w="28" w:type="dxa"/>
          <w:left w:w="85" w:type="dxa"/>
          <w:bottom w:w="28" w:type="dxa"/>
        </w:tblCellMar>
        <w:tblLook w:val="04A0" w:firstRow="1" w:lastRow="0" w:firstColumn="1" w:lastColumn="0" w:noHBand="0" w:noVBand="1"/>
        <w:tblCaption w:val="Table 2: Impacts of Eligible Green Expenditures"/>
        <w:tblDescription w:val="The UN Sustainable Development Goals – SDGs for short – are listed out in picture form in column 4 next to each eligible green expenditure which they are associated with. Electric rail infrastructure in the Infrastructure Investment Program is associated with UN SDG 9 (Industry, Innovation and Infrastructure).&#10;The Driving the Nation Fund is associated with UN SDG 11 (Sustainable Cities and Communities).&#10;Electric bus charging infrastructure is associated with UN SDG 11 (Sustainable Cities and Communities).&#10;International Climate Finance is associated with UN SDG 7 (Affordable and Clean Energy), UN SDG 9 (Industry, Innovation and Infrastructure), and UN SDG 13 (Climate Action).&#10;The Urban Rivers and Catchments Program is associated with UN SDG 15 (Life on Land).&#10;The Saving Koalas Fund is associated with UN SDG 15 (Life on Land).&#10;Reef 2050 is associated with UN SDG 14 (Life Below Water).&#10;The Murray–Darling Basin Plan is associated with UN SDG 6 (Clean Water and Sanitation).&#10;The Recycling Modernisation Fund is associated with UN SDG 12 (Responsible Consumption and Production)."/>
      </w:tblPr>
      <w:tblGrid>
        <w:gridCol w:w="2000"/>
        <w:gridCol w:w="1543"/>
        <w:gridCol w:w="2271"/>
        <w:gridCol w:w="3685"/>
        <w:gridCol w:w="1420"/>
        <w:gridCol w:w="991"/>
        <w:gridCol w:w="2092"/>
      </w:tblGrid>
      <w:tr w:rsidR="00320E4E" w:rsidRPr="000F23E0" w14:paraId="33BF0534" w14:textId="18B92840" w:rsidTr="00320E4E">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000" w:firstRow="0" w:lastRow="0" w:firstColumn="1" w:lastColumn="0" w:oddVBand="0" w:evenVBand="0" w:oddHBand="0" w:evenHBand="0" w:firstRowFirstColumn="0" w:firstRowLastColumn="0" w:lastRowFirstColumn="0" w:lastRowLastColumn="0"/>
            <w:tcW w:w="714" w:type="pct"/>
            <w:shd w:val="clear" w:color="auto" w:fill="F1D0C6"/>
          </w:tcPr>
          <w:p w14:paraId="58B35FC6" w14:textId="2939EB0E" w:rsidR="005901F0" w:rsidRPr="000F23E0" w:rsidRDefault="005901F0" w:rsidP="00A72FA0">
            <w:pPr>
              <w:pStyle w:val="TableColumnHeadingLeft"/>
              <w:rPr>
                <w:rFonts w:eastAsia="Calibri"/>
                <w:b/>
              </w:rPr>
            </w:pPr>
            <w:r w:rsidRPr="000F23E0">
              <w:rPr>
                <w:rFonts w:eastAsia="Calibri"/>
                <w:b/>
              </w:rPr>
              <w:t xml:space="preserve">ICMA Green </w:t>
            </w:r>
            <w:r w:rsidR="0013394A" w:rsidRPr="000F23E0">
              <w:rPr>
                <w:rFonts w:eastAsia="Calibri"/>
                <w:b/>
              </w:rPr>
              <w:t xml:space="preserve">Bond Principles </w:t>
            </w:r>
            <w:r w:rsidRPr="000F23E0">
              <w:rPr>
                <w:rFonts w:eastAsia="Calibri"/>
                <w:b/>
              </w:rPr>
              <w:t>Category</w:t>
            </w:r>
          </w:p>
        </w:tc>
        <w:tc>
          <w:tcPr>
            <w:tcW w:w="551" w:type="pct"/>
            <w:shd w:val="clear" w:color="auto" w:fill="F1D0C6"/>
          </w:tcPr>
          <w:p w14:paraId="0DFA48F2" w14:textId="191A528D" w:rsidR="002E73D4" w:rsidRPr="000F23E0" w:rsidRDefault="002E73D4" w:rsidP="00A72FA0">
            <w:pPr>
              <w:pStyle w:val="TableColumnHeadingLeft"/>
              <w:cnfStyle w:val="100000000000" w:firstRow="1" w:lastRow="0" w:firstColumn="0" w:lastColumn="0" w:oddVBand="0" w:evenVBand="0" w:oddHBand="0" w:evenHBand="0" w:firstRowFirstColumn="0" w:firstRowLastColumn="0" w:lastRowFirstColumn="0" w:lastRowLastColumn="0"/>
              <w:rPr>
                <w:b/>
              </w:rPr>
            </w:pPr>
            <w:r w:rsidRPr="000F23E0">
              <w:rPr>
                <w:b/>
              </w:rPr>
              <w:t>Program goal</w:t>
            </w:r>
          </w:p>
        </w:tc>
        <w:tc>
          <w:tcPr>
            <w:tcW w:w="811" w:type="pct"/>
            <w:shd w:val="clear" w:color="auto" w:fill="F1D0C6"/>
          </w:tcPr>
          <w:p w14:paraId="746E1CD9" w14:textId="16E33918" w:rsidR="005901F0" w:rsidRPr="000F23E0" w:rsidRDefault="004206C4" w:rsidP="00A72FA0">
            <w:pPr>
              <w:pStyle w:val="TableColumnHeadingLeft"/>
              <w:cnfStyle w:val="100000000000" w:firstRow="1" w:lastRow="0" w:firstColumn="0" w:lastColumn="0" w:oddVBand="0" w:evenVBand="0" w:oddHBand="0" w:evenHBand="0" w:firstRowFirstColumn="0" w:firstRowLastColumn="0" w:lastRowFirstColumn="0" w:lastRowLastColumn="0"/>
              <w:rPr>
                <w:rFonts w:eastAsia="Calibri"/>
                <w:b/>
              </w:rPr>
            </w:pPr>
            <w:r w:rsidRPr="000F23E0">
              <w:rPr>
                <w:b/>
              </w:rPr>
              <w:t>Eligible Green Expenditure</w:t>
            </w:r>
          </w:p>
        </w:tc>
        <w:tc>
          <w:tcPr>
            <w:tcW w:w="1316" w:type="pct"/>
            <w:shd w:val="clear" w:color="auto" w:fill="F1D0C6"/>
          </w:tcPr>
          <w:p w14:paraId="04AA7B87" w14:textId="1D14B94F" w:rsidR="007E40F6" w:rsidRPr="000F23E0" w:rsidRDefault="007E40F6" w:rsidP="00A72FA0">
            <w:pPr>
              <w:pStyle w:val="TableColumnHeadingLeft"/>
              <w:cnfStyle w:val="100000000000" w:firstRow="1" w:lastRow="0" w:firstColumn="0" w:lastColumn="0" w:oddVBand="0" w:evenVBand="0" w:oddHBand="0" w:evenHBand="0" w:firstRowFirstColumn="0" w:firstRowLastColumn="0" w:lastRowFirstColumn="0" w:lastRowLastColumn="0"/>
              <w:rPr>
                <w:rFonts w:eastAsia="Calibri"/>
              </w:rPr>
            </w:pPr>
            <w:r w:rsidRPr="000F23E0">
              <w:rPr>
                <w:rFonts w:eastAsia="Calibri"/>
                <w:b/>
              </w:rPr>
              <w:t>Impact metrics</w:t>
            </w:r>
          </w:p>
        </w:tc>
        <w:tc>
          <w:tcPr>
            <w:tcW w:w="507" w:type="pct"/>
            <w:shd w:val="clear" w:color="auto" w:fill="F1D0C6"/>
          </w:tcPr>
          <w:p w14:paraId="2A681D59" w14:textId="69A09FF7" w:rsidR="00CC72E7" w:rsidRPr="000F23E0" w:rsidRDefault="00CC72E7" w:rsidP="00A72FA0">
            <w:pPr>
              <w:pStyle w:val="TableColumnHeadingLeft"/>
              <w:cnfStyle w:val="100000000000" w:firstRow="1" w:lastRow="0" w:firstColumn="0" w:lastColumn="0" w:oddVBand="0" w:evenVBand="0" w:oddHBand="0" w:evenHBand="0" w:firstRowFirstColumn="0" w:firstRowLastColumn="0" w:lastRowFirstColumn="0" w:lastRowLastColumn="0"/>
              <w:rPr>
                <w:rFonts w:eastAsia="Calibri"/>
                <w:b/>
                <w:bCs w:val="0"/>
              </w:rPr>
            </w:pPr>
            <w:r w:rsidRPr="000F23E0">
              <w:rPr>
                <w:rFonts w:eastAsia="Calibri"/>
                <w:b/>
                <w:bCs w:val="0"/>
              </w:rPr>
              <w:t>Data</w:t>
            </w:r>
          </w:p>
        </w:tc>
        <w:tc>
          <w:tcPr>
            <w:tcW w:w="354" w:type="pct"/>
            <w:shd w:val="clear" w:color="auto" w:fill="F1D0C6"/>
          </w:tcPr>
          <w:p w14:paraId="67350328" w14:textId="285E04A6" w:rsidR="005901F0" w:rsidRPr="000F23E0" w:rsidRDefault="0040689F" w:rsidP="00A72FA0">
            <w:pPr>
              <w:pStyle w:val="TableColumnHeadingLeft"/>
              <w:cnfStyle w:val="100000000000" w:firstRow="1" w:lastRow="0" w:firstColumn="0" w:lastColumn="0" w:oddVBand="0" w:evenVBand="0" w:oddHBand="0" w:evenHBand="0" w:firstRowFirstColumn="0" w:firstRowLastColumn="0" w:lastRowFirstColumn="0" w:lastRowLastColumn="0"/>
              <w:rPr>
                <w:rFonts w:eastAsia="Calibri"/>
                <w:b/>
                <w:bCs w:val="0"/>
              </w:rPr>
            </w:pPr>
            <w:r w:rsidRPr="000F23E0">
              <w:rPr>
                <w:rFonts w:eastAsia="Calibri"/>
                <w:b/>
                <w:bCs w:val="0"/>
              </w:rPr>
              <w:t>Projected</w:t>
            </w:r>
            <w:r w:rsidR="00D53AAC" w:rsidRPr="000F23E0">
              <w:rPr>
                <w:rFonts w:eastAsia="Calibri"/>
                <w:b/>
                <w:bCs w:val="0"/>
              </w:rPr>
              <w:t xml:space="preserve"> </w:t>
            </w:r>
            <w:r w:rsidR="00CC72E7" w:rsidRPr="000F23E0">
              <w:rPr>
                <w:rFonts w:eastAsia="Calibri"/>
                <w:b/>
                <w:bCs w:val="0"/>
              </w:rPr>
              <w:t>/</w:t>
            </w:r>
            <w:r w:rsidR="00D53AAC" w:rsidRPr="000F23E0">
              <w:rPr>
                <w:rFonts w:eastAsia="Calibri"/>
                <w:b/>
                <w:bCs w:val="0"/>
              </w:rPr>
              <w:t xml:space="preserve"> </w:t>
            </w:r>
            <w:r w:rsidRPr="000F23E0">
              <w:rPr>
                <w:rFonts w:eastAsia="Calibri"/>
                <w:b/>
                <w:bCs w:val="0"/>
              </w:rPr>
              <w:t>Recorded</w:t>
            </w:r>
          </w:p>
        </w:tc>
        <w:tc>
          <w:tcPr>
            <w:tcW w:w="747" w:type="pct"/>
            <w:shd w:val="clear" w:color="auto" w:fill="F1D0C6"/>
          </w:tcPr>
          <w:p w14:paraId="1249CE4F" w14:textId="00FF2C81" w:rsidR="005901F0" w:rsidRPr="000F23E0" w:rsidRDefault="0040689F" w:rsidP="00A72FA0">
            <w:pPr>
              <w:pStyle w:val="TableColumnHeadingLeft"/>
              <w:cnfStyle w:val="100000000000" w:firstRow="1" w:lastRow="0" w:firstColumn="0" w:lastColumn="0" w:oddVBand="0" w:evenVBand="0" w:oddHBand="0" w:evenHBand="0" w:firstRowFirstColumn="0" w:firstRowLastColumn="0" w:lastRowFirstColumn="0" w:lastRowLastColumn="0"/>
              <w:rPr>
                <w:rFonts w:eastAsia="Calibri"/>
                <w:b/>
              </w:rPr>
            </w:pPr>
            <w:r w:rsidRPr="000F23E0">
              <w:rPr>
                <w:rFonts w:eastAsia="Calibri"/>
                <w:b/>
              </w:rPr>
              <w:t>Time Period</w:t>
            </w:r>
          </w:p>
        </w:tc>
      </w:tr>
      <w:tr w:rsidR="00320E4E" w:rsidRPr="000F23E0" w14:paraId="1AF11ECA" w14:textId="02F72D46" w:rsidTr="00740BA0">
        <w:trPr>
          <w:trHeight w:val="510"/>
        </w:trPr>
        <w:tc>
          <w:tcPr>
            <w:cnfStyle w:val="001000000000" w:firstRow="0" w:lastRow="0" w:firstColumn="1" w:lastColumn="0" w:oddVBand="0" w:evenVBand="0" w:oddHBand="0" w:evenHBand="0" w:firstRowFirstColumn="0" w:firstRowLastColumn="0" w:lastRowFirstColumn="0" w:lastRowLastColumn="0"/>
            <w:tcW w:w="714" w:type="pct"/>
            <w:vMerge w:val="restart"/>
            <w:shd w:val="clear" w:color="auto" w:fill="FAE5D4"/>
          </w:tcPr>
          <w:p w14:paraId="42376ACA" w14:textId="62385692" w:rsidR="005901F0" w:rsidRPr="000F23E0" w:rsidRDefault="005901F0" w:rsidP="00A72FA0">
            <w:pPr>
              <w:pStyle w:val="TableColumnHeadingLeft"/>
              <w:rPr>
                <w:rFonts w:eastAsia="Calibri"/>
              </w:rPr>
            </w:pPr>
            <w:r w:rsidRPr="000F23E0">
              <w:rPr>
                <w:rFonts w:eastAsia="Calibri"/>
              </w:rPr>
              <w:t>Renewable energy</w:t>
            </w:r>
          </w:p>
        </w:tc>
        <w:tc>
          <w:tcPr>
            <w:tcW w:w="551" w:type="pct"/>
            <w:vMerge w:val="restart"/>
            <w:shd w:val="clear" w:color="auto" w:fill="FDF0E7"/>
          </w:tcPr>
          <w:p w14:paraId="545EB9D1" w14:textId="698CE7A0" w:rsidR="007E40F6" w:rsidRPr="000F23E0" w:rsidRDefault="00445AD4" w:rsidP="001A0ABB">
            <w:pPr>
              <w:pStyle w:val="TableColumnHeadingLeft"/>
              <w:cnfStyle w:val="000000000000" w:firstRow="0" w:lastRow="0" w:firstColumn="0" w:lastColumn="0" w:oddVBand="0" w:evenVBand="0" w:oddHBand="0" w:evenHBand="0" w:firstRowFirstColumn="0" w:firstRowLastColumn="0" w:lastRowFirstColumn="0" w:lastRowLastColumn="0"/>
            </w:pPr>
            <w:r w:rsidRPr="000F23E0">
              <w:t>Climate change mitigation</w:t>
            </w:r>
          </w:p>
          <w:p w14:paraId="28E11DD4" w14:textId="5EF83879" w:rsidR="002E73D4" w:rsidRPr="000F23E0" w:rsidRDefault="002E73D4" w:rsidP="001A0ABB">
            <w:pPr>
              <w:pStyle w:val="TableColumnHeadingLeft"/>
              <w:cnfStyle w:val="000000000000" w:firstRow="0" w:lastRow="0" w:firstColumn="0" w:lastColumn="0" w:oddVBand="0" w:evenVBand="0" w:oddHBand="0" w:evenHBand="0" w:firstRowFirstColumn="0" w:firstRowLastColumn="0" w:lastRowFirstColumn="0" w:lastRowLastColumn="0"/>
            </w:pPr>
          </w:p>
        </w:tc>
        <w:tc>
          <w:tcPr>
            <w:tcW w:w="811" w:type="pct"/>
            <w:vMerge w:val="restart"/>
            <w:shd w:val="clear" w:color="auto" w:fill="FEFAF8"/>
          </w:tcPr>
          <w:p w14:paraId="177BC49E" w14:textId="491820F0" w:rsidR="00FC294D" w:rsidRPr="000F23E0" w:rsidRDefault="009A5965" w:rsidP="00A72FA0">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0F23E0">
              <w:t>CEFC</w:t>
            </w:r>
            <w:r w:rsidR="00A559F3" w:rsidRPr="000F23E0">
              <w:t xml:space="preserve"> Renewable Energy Investments </w:t>
            </w:r>
          </w:p>
          <w:p w14:paraId="6308AB7C" w14:textId="43620C25" w:rsidR="005901F0" w:rsidRPr="000F23E0" w:rsidRDefault="005901F0" w:rsidP="00A72FA0">
            <w:pPr>
              <w:pStyle w:val="TableTextLeft"/>
              <w:cnfStyle w:val="000000000000" w:firstRow="0" w:lastRow="0" w:firstColumn="0" w:lastColumn="0" w:oddVBand="0" w:evenVBand="0" w:oddHBand="0" w:evenHBand="0" w:firstRowFirstColumn="0" w:firstRowLastColumn="0" w:lastRowFirstColumn="0" w:lastRowLastColumn="0"/>
              <w:rPr>
                <w:rFonts w:eastAsia="Calibri"/>
              </w:rPr>
            </w:pPr>
          </w:p>
        </w:tc>
        <w:tc>
          <w:tcPr>
            <w:tcW w:w="1316" w:type="pct"/>
            <w:shd w:val="clear" w:color="auto" w:fill="FEFAF8"/>
          </w:tcPr>
          <w:p w14:paraId="2EB0B337" w14:textId="5989FB74" w:rsidR="00905F10" w:rsidRPr="000F23E0" w:rsidRDefault="00905F10" w:rsidP="00A72FA0">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0F23E0">
              <w:t>Emissions avoided (</w:t>
            </w:r>
            <w:r w:rsidR="00F57A59" w:rsidRPr="000F23E0">
              <w:t>k</w:t>
            </w:r>
            <w:r w:rsidRPr="000F23E0">
              <w:t>t CO2-e p.a.)</w:t>
            </w:r>
          </w:p>
        </w:tc>
        <w:tc>
          <w:tcPr>
            <w:tcW w:w="507" w:type="pct"/>
            <w:shd w:val="clear" w:color="auto" w:fill="FEFAF8"/>
          </w:tcPr>
          <w:p w14:paraId="568258DA" w14:textId="435B0CA1" w:rsidR="00905F10" w:rsidRPr="000F23E0" w:rsidRDefault="000C6674" w:rsidP="00905F10">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0F23E0">
              <w:t>400</w:t>
            </w:r>
          </w:p>
        </w:tc>
        <w:tc>
          <w:tcPr>
            <w:tcW w:w="354" w:type="pct"/>
            <w:shd w:val="clear" w:color="auto" w:fill="FEFAF8"/>
          </w:tcPr>
          <w:p w14:paraId="27A19C38" w14:textId="16F2A087" w:rsidR="005901F0" w:rsidRPr="000F23E0" w:rsidRDefault="00905F10" w:rsidP="00844F4F">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0F23E0">
              <w:t>Projected</w:t>
            </w:r>
          </w:p>
        </w:tc>
        <w:tc>
          <w:tcPr>
            <w:tcW w:w="747" w:type="pct"/>
            <w:shd w:val="clear" w:color="auto" w:fill="FEFAF8"/>
          </w:tcPr>
          <w:p w14:paraId="5F908BC7" w14:textId="1CE17D7D" w:rsidR="005901F0" w:rsidRPr="000F23E0" w:rsidRDefault="00905F10" w:rsidP="00844F4F">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0F23E0">
              <w:t>25+ years from operation</w:t>
            </w:r>
          </w:p>
        </w:tc>
      </w:tr>
      <w:tr w:rsidR="00320E4E" w:rsidRPr="000F23E0" w14:paraId="1F892822" w14:textId="7FDB7A7E" w:rsidTr="00740BA0">
        <w:trPr>
          <w:trHeight w:val="175"/>
        </w:trPr>
        <w:tc>
          <w:tcPr>
            <w:cnfStyle w:val="001000000000" w:firstRow="0" w:lastRow="0" w:firstColumn="1" w:lastColumn="0" w:oddVBand="0" w:evenVBand="0" w:oddHBand="0" w:evenHBand="0" w:firstRowFirstColumn="0" w:firstRowLastColumn="0" w:lastRowFirstColumn="0" w:lastRowLastColumn="0"/>
            <w:tcW w:w="714" w:type="pct"/>
            <w:vMerge/>
            <w:shd w:val="clear" w:color="auto" w:fill="FAE5D4"/>
          </w:tcPr>
          <w:p w14:paraId="2F36E0F5" w14:textId="77777777" w:rsidR="005901F0" w:rsidRPr="000F23E0" w:rsidRDefault="005901F0" w:rsidP="00A72FA0">
            <w:pPr>
              <w:pStyle w:val="TableColumnHeadingLeft"/>
              <w:rPr>
                <w:rFonts w:eastAsia="Calibri"/>
              </w:rPr>
            </w:pPr>
          </w:p>
        </w:tc>
        <w:tc>
          <w:tcPr>
            <w:tcW w:w="551" w:type="pct"/>
            <w:vMerge/>
            <w:shd w:val="clear" w:color="auto" w:fill="FDF0E7"/>
          </w:tcPr>
          <w:p w14:paraId="060B2C9D" w14:textId="77777777" w:rsidR="002E73D4" w:rsidRPr="000F23E0" w:rsidRDefault="002E73D4" w:rsidP="001A0ABB">
            <w:pPr>
              <w:pStyle w:val="TableColumnHeadingLeft"/>
              <w:cnfStyle w:val="000000000000" w:firstRow="0" w:lastRow="0" w:firstColumn="0" w:lastColumn="0" w:oddVBand="0" w:evenVBand="0" w:oddHBand="0" w:evenHBand="0" w:firstRowFirstColumn="0" w:firstRowLastColumn="0" w:lastRowFirstColumn="0" w:lastRowLastColumn="0"/>
            </w:pPr>
          </w:p>
        </w:tc>
        <w:tc>
          <w:tcPr>
            <w:tcW w:w="811" w:type="pct"/>
            <w:vMerge/>
            <w:shd w:val="clear" w:color="auto" w:fill="FEFAF8"/>
          </w:tcPr>
          <w:p w14:paraId="6760EBF8" w14:textId="7DBD630E" w:rsidR="005901F0" w:rsidRPr="000F23E0" w:rsidRDefault="005901F0" w:rsidP="00A72FA0">
            <w:pPr>
              <w:pStyle w:val="TableTextLeft"/>
              <w:cnfStyle w:val="000000000000" w:firstRow="0" w:lastRow="0" w:firstColumn="0" w:lastColumn="0" w:oddVBand="0" w:evenVBand="0" w:oddHBand="0" w:evenHBand="0" w:firstRowFirstColumn="0" w:firstRowLastColumn="0" w:lastRowFirstColumn="0" w:lastRowLastColumn="0"/>
            </w:pPr>
          </w:p>
        </w:tc>
        <w:tc>
          <w:tcPr>
            <w:tcW w:w="1316" w:type="pct"/>
            <w:shd w:val="clear" w:color="auto" w:fill="FEFAF8"/>
          </w:tcPr>
          <w:p w14:paraId="632F7F51" w14:textId="079699D8" w:rsidR="00905F10" w:rsidRPr="000F23E0" w:rsidRDefault="00905F10" w:rsidP="00A72FA0">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0F23E0">
              <w:t>Renewable energy generation (GWh</w:t>
            </w:r>
            <w:r w:rsidR="001A0ABB" w:rsidRPr="000F23E0">
              <w:t> </w:t>
            </w:r>
            <w:r w:rsidRPr="000F23E0">
              <w:t>p.a.)</w:t>
            </w:r>
          </w:p>
        </w:tc>
        <w:tc>
          <w:tcPr>
            <w:tcW w:w="507" w:type="pct"/>
            <w:shd w:val="clear" w:color="auto" w:fill="FEFAF8"/>
          </w:tcPr>
          <w:p w14:paraId="5E664A0B" w14:textId="7F81382F" w:rsidR="00905F10" w:rsidRPr="000F23E0" w:rsidRDefault="00905F10" w:rsidP="00905F10">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0F23E0">
              <w:t>4,100</w:t>
            </w:r>
          </w:p>
        </w:tc>
        <w:tc>
          <w:tcPr>
            <w:tcW w:w="354" w:type="pct"/>
            <w:shd w:val="clear" w:color="auto" w:fill="FEFAF8"/>
          </w:tcPr>
          <w:p w14:paraId="528C9840" w14:textId="1B555C16" w:rsidR="005901F0" w:rsidRPr="000F23E0" w:rsidRDefault="00905F10" w:rsidP="00844F4F">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0F23E0">
              <w:t>Projected</w:t>
            </w:r>
          </w:p>
        </w:tc>
        <w:tc>
          <w:tcPr>
            <w:tcW w:w="747" w:type="pct"/>
            <w:shd w:val="clear" w:color="auto" w:fill="FEFAF8"/>
          </w:tcPr>
          <w:p w14:paraId="21F741C4" w14:textId="34BA78F5" w:rsidR="005901F0" w:rsidRPr="000F23E0" w:rsidRDefault="00905F10" w:rsidP="00844F4F">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0F23E0">
              <w:t>25+ years from operation</w:t>
            </w:r>
          </w:p>
        </w:tc>
      </w:tr>
      <w:tr w:rsidR="00320E4E" w:rsidRPr="000F23E0" w14:paraId="28FED277" w14:textId="7CCA9EAE" w:rsidTr="00740BA0">
        <w:trPr>
          <w:trHeight w:val="175"/>
        </w:trPr>
        <w:tc>
          <w:tcPr>
            <w:cnfStyle w:val="001000000000" w:firstRow="0" w:lastRow="0" w:firstColumn="1" w:lastColumn="0" w:oddVBand="0" w:evenVBand="0" w:oddHBand="0" w:evenHBand="0" w:firstRowFirstColumn="0" w:firstRowLastColumn="0" w:lastRowFirstColumn="0" w:lastRowLastColumn="0"/>
            <w:tcW w:w="714" w:type="pct"/>
            <w:vMerge/>
            <w:shd w:val="clear" w:color="auto" w:fill="FAE5D4"/>
          </w:tcPr>
          <w:p w14:paraId="3C5304D5" w14:textId="77777777" w:rsidR="005901F0" w:rsidRPr="000F23E0" w:rsidRDefault="005901F0" w:rsidP="00A72FA0">
            <w:pPr>
              <w:pStyle w:val="TableColumnHeadingLeft"/>
              <w:rPr>
                <w:rFonts w:eastAsia="Calibri"/>
              </w:rPr>
            </w:pPr>
          </w:p>
        </w:tc>
        <w:tc>
          <w:tcPr>
            <w:tcW w:w="551" w:type="pct"/>
            <w:vMerge/>
            <w:shd w:val="clear" w:color="auto" w:fill="FDF0E7"/>
          </w:tcPr>
          <w:p w14:paraId="67874B0D" w14:textId="77777777" w:rsidR="002E73D4" w:rsidRPr="000F23E0" w:rsidRDefault="002E73D4" w:rsidP="001A0ABB">
            <w:pPr>
              <w:pStyle w:val="TableColumnHeadingLeft"/>
              <w:cnfStyle w:val="000000000000" w:firstRow="0" w:lastRow="0" w:firstColumn="0" w:lastColumn="0" w:oddVBand="0" w:evenVBand="0" w:oddHBand="0" w:evenHBand="0" w:firstRowFirstColumn="0" w:firstRowLastColumn="0" w:lastRowFirstColumn="0" w:lastRowLastColumn="0"/>
            </w:pPr>
          </w:p>
        </w:tc>
        <w:tc>
          <w:tcPr>
            <w:tcW w:w="811" w:type="pct"/>
            <w:vMerge/>
            <w:shd w:val="clear" w:color="auto" w:fill="FEFAF8"/>
          </w:tcPr>
          <w:p w14:paraId="57ED389E" w14:textId="77777777" w:rsidR="005901F0" w:rsidRPr="000F23E0" w:rsidRDefault="005901F0" w:rsidP="00A72FA0">
            <w:pPr>
              <w:pStyle w:val="TableTextLeft"/>
              <w:cnfStyle w:val="000000000000" w:firstRow="0" w:lastRow="0" w:firstColumn="0" w:lastColumn="0" w:oddVBand="0" w:evenVBand="0" w:oddHBand="0" w:evenHBand="0" w:firstRowFirstColumn="0" w:firstRowLastColumn="0" w:lastRowFirstColumn="0" w:lastRowLastColumn="0"/>
            </w:pPr>
          </w:p>
        </w:tc>
        <w:tc>
          <w:tcPr>
            <w:tcW w:w="1316" w:type="pct"/>
            <w:shd w:val="clear" w:color="auto" w:fill="FEFAF8"/>
          </w:tcPr>
          <w:p w14:paraId="629DB27E" w14:textId="6D1C2751" w:rsidR="00905F10" w:rsidRPr="000F23E0" w:rsidRDefault="00905F10" w:rsidP="00A72FA0">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0F23E0">
              <w:rPr>
                <w:rFonts w:eastAsia="Calibri"/>
              </w:rPr>
              <w:t xml:space="preserve">Energy </w:t>
            </w:r>
            <w:r w:rsidR="000D5FFD" w:rsidRPr="000F23E0">
              <w:rPr>
                <w:rFonts w:eastAsia="Calibri"/>
              </w:rPr>
              <w:t>storage capacity</w:t>
            </w:r>
            <w:r w:rsidR="000D5FFD" w:rsidRPr="000F23E0">
              <w:t xml:space="preserve"> </w:t>
            </w:r>
            <w:r w:rsidRPr="000F23E0">
              <w:t>(MW/MWh)</w:t>
            </w:r>
          </w:p>
        </w:tc>
        <w:tc>
          <w:tcPr>
            <w:tcW w:w="507" w:type="pct"/>
            <w:shd w:val="clear" w:color="auto" w:fill="FEFAF8"/>
          </w:tcPr>
          <w:p w14:paraId="3EB3891C" w14:textId="3CEB3428" w:rsidR="00905F10" w:rsidRPr="000F23E0" w:rsidRDefault="00905F10" w:rsidP="00905F10">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0F23E0">
              <w:t>2,088 / 5,357</w:t>
            </w:r>
          </w:p>
        </w:tc>
        <w:tc>
          <w:tcPr>
            <w:tcW w:w="354" w:type="pct"/>
            <w:shd w:val="clear" w:color="auto" w:fill="FEFAF8"/>
          </w:tcPr>
          <w:p w14:paraId="1C9D8818" w14:textId="6D94FA69" w:rsidR="005901F0" w:rsidRPr="000F23E0" w:rsidRDefault="00905F10" w:rsidP="00844F4F">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0F23E0">
              <w:t>Projected</w:t>
            </w:r>
          </w:p>
        </w:tc>
        <w:tc>
          <w:tcPr>
            <w:tcW w:w="747" w:type="pct"/>
            <w:shd w:val="clear" w:color="auto" w:fill="FEFAF8"/>
          </w:tcPr>
          <w:p w14:paraId="04366FFA" w14:textId="07577985" w:rsidR="005901F0" w:rsidRPr="000F23E0" w:rsidRDefault="00905F10" w:rsidP="00844F4F">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0F23E0">
              <w:t>20 years</w:t>
            </w:r>
          </w:p>
        </w:tc>
      </w:tr>
      <w:tr w:rsidR="00320E4E" w:rsidRPr="000F23E0" w14:paraId="65576195" w14:textId="532D5B03" w:rsidTr="00740BA0">
        <w:trPr>
          <w:trHeight w:val="175"/>
        </w:trPr>
        <w:tc>
          <w:tcPr>
            <w:cnfStyle w:val="001000000000" w:firstRow="0" w:lastRow="0" w:firstColumn="1" w:lastColumn="0" w:oddVBand="0" w:evenVBand="0" w:oddHBand="0" w:evenHBand="0" w:firstRowFirstColumn="0" w:firstRowLastColumn="0" w:lastRowFirstColumn="0" w:lastRowLastColumn="0"/>
            <w:tcW w:w="714" w:type="pct"/>
            <w:vMerge/>
            <w:shd w:val="clear" w:color="auto" w:fill="FAE5D4"/>
          </w:tcPr>
          <w:p w14:paraId="52DCF699" w14:textId="77777777" w:rsidR="005901F0" w:rsidRPr="000F23E0" w:rsidRDefault="005901F0" w:rsidP="00A72FA0">
            <w:pPr>
              <w:pStyle w:val="TableColumnHeadingLeft"/>
              <w:rPr>
                <w:rFonts w:eastAsia="Calibri"/>
              </w:rPr>
            </w:pPr>
          </w:p>
        </w:tc>
        <w:tc>
          <w:tcPr>
            <w:tcW w:w="551" w:type="pct"/>
            <w:vMerge/>
            <w:shd w:val="clear" w:color="auto" w:fill="FDF0E7"/>
          </w:tcPr>
          <w:p w14:paraId="7CB30A89" w14:textId="77777777" w:rsidR="002E73D4" w:rsidRPr="000F23E0" w:rsidRDefault="002E73D4" w:rsidP="001A0ABB">
            <w:pPr>
              <w:pStyle w:val="TableColumnHeadingLeft"/>
              <w:cnfStyle w:val="000000000000" w:firstRow="0" w:lastRow="0" w:firstColumn="0" w:lastColumn="0" w:oddVBand="0" w:evenVBand="0" w:oddHBand="0" w:evenHBand="0" w:firstRowFirstColumn="0" w:firstRowLastColumn="0" w:lastRowFirstColumn="0" w:lastRowLastColumn="0"/>
            </w:pPr>
          </w:p>
        </w:tc>
        <w:tc>
          <w:tcPr>
            <w:tcW w:w="811" w:type="pct"/>
            <w:shd w:val="clear" w:color="auto" w:fill="FEFAF8"/>
          </w:tcPr>
          <w:p w14:paraId="01ED1D7C" w14:textId="13A5908B" w:rsidR="005901F0" w:rsidRPr="000F23E0" w:rsidRDefault="00905F10" w:rsidP="00A72FA0">
            <w:pPr>
              <w:pStyle w:val="TableTextLeft"/>
              <w:cnfStyle w:val="000000000000" w:firstRow="0" w:lastRow="0" w:firstColumn="0" w:lastColumn="0" w:oddVBand="0" w:evenVBand="0" w:oddHBand="0" w:evenHBand="0" w:firstRowFirstColumn="0" w:firstRowLastColumn="0" w:lastRowFirstColumn="0" w:lastRowLastColumn="0"/>
            </w:pPr>
            <w:r w:rsidRPr="000F23E0">
              <w:t>Rewiring the Nation</w:t>
            </w:r>
          </w:p>
        </w:tc>
        <w:tc>
          <w:tcPr>
            <w:tcW w:w="1316" w:type="pct"/>
            <w:shd w:val="clear" w:color="auto" w:fill="FEFAF8"/>
          </w:tcPr>
          <w:p w14:paraId="61D50D75" w14:textId="67CA71B3" w:rsidR="002954C9" w:rsidRPr="000F23E0" w:rsidRDefault="002954C9" w:rsidP="00A72FA0">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0F23E0">
              <w:rPr>
                <w:rFonts w:eastAsia="Calibri"/>
              </w:rPr>
              <w:t xml:space="preserve">Increase in network capacity </w:t>
            </w:r>
            <w:r w:rsidRPr="000F23E0">
              <w:t>(MW)</w:t>
            </w:r>
          </w:p>
        </w:tc>
        <w:tc>
          <w:tcPr>
            <w:tcW w:w="507" w:type="pct"/>
            <w:shd w:val="clear" w:color="auto" w:fill="FEFAF8"/>
          </w:tcPr>
          <w:p w14:paraId="2A968ECF" w14:textId="4A7F6B98" w:rsidR="008768D7" w:rsidRPr="000F23E0" w:rsidRDefault="008768D7" w:rsidP="00905F10">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0F23E0">
              <w:t>7,450</w:t>
            </w:r>
          </w:p>
        </w:tc>
        <w:tc>
          <w:tcPr>
            <w:tcW w:w="354" w:type="pct"/>
            <w:shd w:val="clear" w:color="auto" w:fill="FEFAF8"/>
          </w:tcPr>
          <w:p w14:paraId="3BD9FC56" w14:textId="7FE6596D" w:rsidR="005901F0" w:rsidRPr="000F23E0" w:rsidRDefault="00905F10" w:rsidP="00844F4F">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0F23E0">
              <w:t>Projected</w:t>
            </w:r>
          </w:p>
        </w:tc>
        <w:tc>
          <w:tcPr>
            <w:tcW w:w="747" w:type="pct"/>
            <w:shd w:val="clear" w:color="auto" w:fill="FEFAF8"/>
          </w:tcPr>
          <w:p w14:paraId="0E0963F3" w14:textId="4301A255" w:rsidR="005901F0" w:rsidRPr="000F23E0" w:rsidRDefault="00905F10" w:rsidP="00844F4F">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0F23E0">
              <w:t>From completion</w:t>
            </w:r>
          </w:p>
        </w:tc>
      </w:tr>
      <w:tr w:rsidR="00320E4E" w:rsidRPr="000F23E0" w14:paraId="28E0FC48" w14:textId="3A3D7CF2" w:rsidTr="00740BA0">
        <w:trPr>
          <w:trHeight w:val="300"/>
        </w:trPr>
        <w:tc>
          <w:tcPr>
            <w:cnfStyle w:val="001000000000" w:firstRow="0" w:lastRow="0" w:firstColumn="1" w:lastColumn="0" w:oddVBand="0" w:evenVBand="0" w:oddHBand="0" w:evenHBand="0" w:firstRowFirstColumn="0" w:firstRowLastColumn="0" w:lastRowFirstColumn="0" w:lastRowLastColumn="0"/>
            <w:tcW w:w="714" w:type="pct"/>
            <w:vMerge/>
            <w:shd w:val="clear" w:color="auto" w:fill="FAE5D4"/>
          </w:tcPr>
          <w:p w14:paraId="6BD56FEC" w14:textId="77777777" w:rsidR="005901F0" w:rsidRPr="000F23E0" w:rsidRDefault="005901F0" w:rsidP="00A72FA0">
            <w:pPr>
              <w:pStyle w:val="TableColumnHeadingLeft"/>
              <w:rPr>
                <w:rFonts w:eastAsia="Calibri"/>
              </w:rPr>
            </w:pPr>
          </w:p>
        </w:tc>
        <w:tc>
          <w:tcPr>
            <w:tcW w:w="551" w:type="pct"/>
            <w:vMerge/>
            <w:shd w:val="clear" w:color="auto" w:fill="FDF0E7"/>
          </w:tcPr>
          <w:p w14:paraId="11F9D3E9" w14:textId="77777777" w:rsidR="002E73D4" w:rsidRPr="000F23E0" w:rsidRDefault="002E73D4" w:rsidP="001A0ABB">
            <w:pPr>
              <w:pStyle w:val="TableColumnHeadingLeft"/>
              <w:cnfStyle w:val="000000000000" w:firstRow="0" w:lastRow="0" w:firstColumn="0" w:lastColumn="0" w:oddVBand="0" w:evenVBand="0" w:oddHBand="0" w:evenHBand="0" w:firstRowFirstColumn="0" w:firstRowLastColumn="0" w:lastRowFirstColumn="0" w:lastRowLastColumn="0"/>
            </w:pPr>
          </w:p>
        </w:tc>
        <w:tc>
          <w:tcPr>
            <w:tcW w:w="811" w:type="pct"/>
            <w:shd w:val="clear" w:color="auto" w:fill="FEFAF8"/>
          </w:tcPr>
          <w:p w14:paraId="7633AD30" w14:textId="03867792" w:rsidR="005901F0" w:rsidRPr="000F23E0" w:rsidRDefault="00905F10" w:rsidP="00A72FA0">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0F23E0">
              <w:t>Snowy Hydro Ltd</w:t>
            </w:r>
          </w:p>
        </w:tc>
        <w:tc>
          <w:tcPr>
            <w:tcW w:w="1316" w:type="pct"/>
            <w:shd w:val="clear" w:color="auto" w:fill="FEFAF8"/>
          </w:tcPr>
          <w:p w14:paraId="5C9F090A" w14:textId="07E693BD" w:rsidR="00905F10" w:rsidRPr="000F23E0" w:rsidRDefault="0076127B" w:rsidP="00A72FA0">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0F23E0">
              <w:rPr>
                <w:rFonts w:eastAsia="Calibri"/>
              </w:rPr>
              <w:t>Energy storage capacity</w:t>
            </w:r>
            <w:r w:rsidR="00905F10" w:rsidRPr="000F23E0">
              <w:rPr>
                <w:rFonts w:eastAsia="Calibri"/>
              </w:rPr>
              <w:t xml:space="preserve"> </w:t>
            </w:r>
            <w:r w:rsidR="00D53AAC" w:rsidRPr="000F23E0">
              <w:rPr>
                <w:rFonts w:eastAsia="Calibri"/>
              </w:rPr>
              <w:t>(</w:t>
            </w:r>
            <w:r w:rsidR="00905F10" w:rsidRPr="000F23E0">
              <w:rPr>
                <w:rFonts w:eastAsia="Calibri"/>
              </w:rPr>
              <w:t>MW/MWh</w:t>
            </w:r>
            <w:r w:rsidR="00D53AAC" w:rsidRPr="000F23E0">
              <w:rPr>
                <w:rFonts w:eastAsia="Calibri"/>
              </w:rPr>
              <w:t>)</w:t>
            </w:r>
          </w:p>
        </w:tc>
        <w:tc>
          <w:tcPr>
            <w:tcW w:w="507" w:type="pct"/>
            <w:shd w:val="clear" w:color="auto" w:fill="FEFAF8"/>
          </w:tcPr>
          <w:p w14:paraId="3EA1EEF9" w14:textId="2EAD8299" w:rsidR="00905F10" w:rsidRPr="000F23E0" w:rsidRDefault="00905F10" w:rsidP="00905F10">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0F23E0">
              <w:rPr>
                <w:bCs/>
              </w:rPr>
              <w:t>2,200 / 350,000</w:t>
            </w:r>
          </w:p>
        </w:tc>
        <w:tc>
          <w:tcPr>
            <w:tcW w:w="354" w:type="pct"/>
            <w:shd w:val="clear" w:color="auto" w:fill="FEFAF8"/>
          </w:tcPr>
          <w:p w14:paraId="6829910C" w14:textId="6F88DE79" w:rsidR="005901F0" w:rsidRPr="000F23E0" w:rsidRDefault="00905F10" w:rsidP="00844F4F">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0F23E0">
              <w:t>Projected</w:t>
            </w:r>
          </w:p>
        </w:tc>
        <w:tc>
          <w:tcPr>
            <w:tcW w:w="747" w:type="pct"/>
            <w:shd w:val="clear" w:color="auto" w:fill="FEFAF8"/>
          </w:tcPr>
          <w:p w14:paraId="63EF227C" w14:textId="70CBB161" w:rsidR="005901F0" w:rsidRPr="000F23E0" w:rsidRDefault="00905F10" w:rsidP="00844F4F">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0F23E0">
              <w:t>From completion</w:t>
            </w:r>
          </w:p>
        </w:tc>
      </w:tr>
      <w:tr w:rsidR="00320E4E" w:rsidRPr="000F23E0" w14:paraId="1B7C1452" w14:textId="58A070B3" w:rsidTr="00740BA0">
        <w:trPr>
          <w:trHeight w:val="150"/>
        </w:trPr>
        <w:tc>
          <w:tcPr>
            <w:cnfStyle w:val="001000000000" w:firstRow="0" w:lastRow="0" w:firstColumn="1" w:lastColumn="0" w:oddVBand="0" w:evenVBand="0" w:oddHBand="0" w:evenHBand="0" w:firstRowFirstColumn="0" w:firstRowLastColumn="0" w:lastRowFirstColumn="0" w:lastRowLastColumn="0"/>
            <w:tcW w:w="714" w:type="pct"/>
            <w:vMerge/>
            <w:shd w:val="clear" w:color="auto" w:fill="FAE5D4"/>
          </w:tcPr>
          <w:p w14:paraId="5A3B1971" w14:textId="77777777" w:rsidR="005901F0" w:rsidRPr="000F23E0" w:rsidRDefault="005901F0" w:rsidP="00A72FA0">
            <w:pPr>
              <w:pStyle w:val="TableColumnHeadingLeft"/>
              <w:rPr>
                <w:rFonts w:eastAsia="Calibri"/>
              </w:rPr>
            </w:pPr>
          </w:p>
        </w:tc>
        <w:tc>
          <w:tcPr>
            <w:tcW w:w="551" w:type="pct"/>
            <w:vMerge/>
            <w:shd w:val="clear" w:color="auto" w:fill="FDF0E7"/>
          </w:tcPr>
          <w:p w14:paraId="4C30C2B8" w14:textId="77777777" w:rsidR="002E73D4" w:rsidRPr="000F23E0" w:rsidRDefault="002E73D4" w:rsidP="001A0ABB">
            <w:pPr>
              <w:pStyle w:val="TableColumnHeadingLeft"/>
              <w:cnfStyle w:val="000000000000" w:firstRow="0" w:lastRow="0" w:firstColumn="0" w:lastColumn="0" w:oddVBand="0" w:evenVBand="0" w:oddHBand="0" w:evenHBand="0" w:firstRowFirstColumn="0" w:firstRowLastColumn="0" w:lastRowFirstColumn="0" w:lastRowLastColumn="0"/>
            </w:pPr>
          </w:p>
        </w:tc>
        <w:tc>
          <w:tcPr>
            <w:tcW w:w="811" w:type="pct"/>
            <w:shd w:val="clear" w:color="auto" w:fill="FEFAF8"/>
          </w:tcPr>
          <w:p w14:paraId="284BE23D" w14:textId="33BE633F" w:rsidR="005901F0" w:rsidRPr="000F23E0" w:rsidRDefault="00393957" w:rsidP="00A72FA0">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0F23E0">
              <w:t>Regional Hydrogen Hubs</w:t>
            </w:r>
          </w:p>
        </w:tc>
        <w:tc>
          <w:tcPr>
            <w:tcW w:w="1316" w:type="pct"/>
            <w:shd w:val="clear" w:color="auto" w:fill="FEFAF8"/>
          </w:tcPr>
          <w:p w14:paraId="04497C36" w14:textId="23033CDD" w:rsidR="00905F10" w:rsidRPr="000F23E0" w:rsidRDefault="00905F10" w:rsidP="00A72FA0">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0F23E0">
              <w:rPr>
                <w:rFonts w:eastAsia="Calibri"/>
              </w:rPr>
              <w:t>Hydrogen produced (ktH</w:t>
            </w:r>
            <w:r w:rsidRPr="000F23E0">
              <w:rPr>
                <w:rFonts w:eastAsia="Calibri"/>
                <w:vertAlign w:val="subscript"/>
              </w:rPr>
              <w:t>2</w:t>
            </w:r>
            <w:r w:rsidRPr="000F23E0">
              <w:rPr>
                <w:rFonts w:eastAsia="Calibri"/>
              </w:rPr>
              <w:t>/year)</w:t>
            </w:r>
          </w:p>
        </w:tc>
        <w:tc>
          <w:tcPr>
            <w:tcW w:w="507" w:type="pct"/>
            <w:shd w:val="clear" w:color="auto" w:fill="FEFAF8"/>
          </w:tcPr>
          <w:p w14:paraId="55049B96" w14:textId="768E30B1" w:rsidR="00AF75BC" w:rsidRPr="000F23E0" w:rsidRDefault="00AF75BC" w:rsidP="00905F10">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0F23E0">
              <w:rPr>
                <w:rFonts w:eastAsia="Calibri"/>
              </w:rPr>
              <w:t>115.2</w:t>
            </w:r>
          </w:p>
        </w:tc>
        <w:tc>
          <w:tcPr>
            <w:tcW w:w="354" w:type="pct"/>
            <w:shd w:val="clear" w:color="auto" w:fill="FEFAF8"/>
          </w:tcPr>
          <w:p w14:paraId="6C4A60FA" w14:textId="07C59E53" w:rsidR="005901F0" w:rsidRPr="000F23E0" w:rsidRDefault="00AF75BC" w:rsidP="00844F4F">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0F23E0">
              <w:rPr>
                <w:rFonts w:eastAsia="Calibri"/>
              </w:rPr>
              <w:t>Projected</w:t>
            </w:r>
          </w:p>
        </w:tc>
        <w:tc>
          <w:tcPr>
            <w:tcW w:w="747" w:type="pct"/>
            <w:shd w:val="clear" w:color="auto" w:fill="FEFAF8"/>
          </w:tcPr>
          <w:p w14:paraId="1E10717A" w14:textId="0E527D28" w:rsidR="005901F0" w:rsidRPr="000F23E0" w:rsidRDefault="00F57697" w:rsidP="00844F4F">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0F23E0">
              <w:rPr>
                <w:rFonts w:eastAsia="Calibri"/>
              </w:rPr>
              <w:t>Annually once all hubs complete</w:t>
            </w:r>
          </w:p>
        </w:tc>
      </w:tr>
      <w:tr w:rsidR="00320E4E" w:rsidRPr="000F23E0" w14:paraId="57CB1B37" w14:textId="4E4B5BF6" w:rsidTr="00740BA0">
        <w:trPr>
          <w:trHeight w:val="300"/>
        </w:trPr>
        <w:tc>
          <w:tcPr>
            <w:cnfStyle w:val="001000000000" w:firstRow="0" w:lastRow="0" w:firstColumn="1" w:lastColumn="0" w:oddVBand="0" w:evenVBand="0" w:oddHBand="0" w:evenHBand="0" w:firstRowFirstColumn="0" w:firstRowLastColumn="0" w:lastRowFirstColumn="0" w:lastRowLastColumn="0"/>
            <w:tcW w:w="714" w:type="pct"/>
            <w:vMerge/>
            <w:shd w:val="clear" w:color="auto" w:fill="FAE5D4"/>
          </w:tcPr>
          <w:p w14:paraId="022451D4" w14:textId="77777777" w:rsidR="00333FEB" w:rsidRPr="000F23E0" w:rsidRDefault="00333FEB" w:rsidP="00A72FA0">
            <w:pPr>
              <w:pStyle w:val="TableColumnHeadingLeft"/>
              <w:rPr>
                <w:rFonts w:eastAsia="Calibri"/>
              </w:rPr>
            </w:pPr>
          </w:p>
        </w:tc>
        <w:tc>
          <w:tcPr>
            <w:tcW w:w="551" w:type="pct"/>
            <w:vMerge/>
            <w:shd w:val="clear" w:color="auto" w:fill="FDF0E7"/>
          </w:tcPr>
          <w:p w14:paraId="70B21165" w14:textId="77777777" w:rsidR="00333FEB" w:rsidRPr="000F23E0" w:rsidRDefault="00333FEB" w:rsidP="001A0ABB">
            <w:pPr>
              <w:pStyle w:val="TableColumnHeadingLeft"/>
              <w:cnfStyle w:val="000000000000" w:firstRow="0" w:lastRow="0" w:firstColumn="0" w:lastColumn="0" w:oddVBand="0" w:evenVBand="0" w:oddHBand="0" w:evenHBand="0" w:firstRowFirstColumn="0" w:firstRowLastColumn="0" w:lastRowFirstColumn="0" w:lastRowLastColumn="0"/>
            </w:pPr>
          </w:p>
        </w:tc>
        <w:tc>
          <w:tcPr>
            <w:tcW w:w="811" w:type="pct"/>
            <w:vMerge w:val="restart"/>
            <w:shd w:val="clear" w:color="auto" w:fill="FEFAF8"/>
          </w:tcPr>
          <w:p w14:paraId="4663E2CB" w14:textId="29F23A76" w:rsidR="00333FEB" w:rsidRPr="000F23E0" w:rsidRDefault="00393957" w:rsidP="00A72FA0">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0F23E0">
              <w:t>Community Batteries</w:t>
            </w:r>
          </w:p>
        </w:tc>
        <w:tc>
          <w:tcPr>
            <w:tcW w:w="1316" w:type="pct"/>
            <w:shd w:val="clear" w:color="auto" w:fill="FEFAF8"/>
          </w:tcPr>
          <w:p w14:paraId="3247AEFE" w14:textId="02A85A86" w:rsidR="00333FEB" w:rsidRPr="000F23E0" w:rsidRDefault="0076127B" w:rsidP="00A72FA0">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0F23E0">
              <w:rPr>
                <w:rFonts w:eastAsia="Calibri"/>
              </w:rPr>
              <w:t>Energy storage capacity</w:t>
            </w:r>
            <w:r w:rsidR="00333FEB" w:rsidRPr="000F23E0">
              <w:rPr>
                <w:rFonts w:eastAsia="Calibri"/>
              </w:rPr>
              <w:t xml:space="preserve"> (MW/MWh)</w:t>
            </w:r>
          </w:p>
        </w:tc>
        <w:tc>
          <w:tcPr>
            <w:tcW w:w="507" w:type="pct"/>
            <w:shd w:val="clear" w:color="auto" w:fill="FEFAF8"/>
          </w:tcPr>
          <w:p w14:paraId="0CFA7515" w14:textId="071BB64A" w:rsidR="00333FEB" w:rsidRPr="000F23E0" w:rsidRDefault="00333FEB" w:rsidP="00905F10">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0F23E0">
              <w:t>5.1/12.0</w:t>
            </w:r>
          </w:p>
        </w:tc>
        <w:tc>
          <w:tcPr>
            <w:tcW w:w="354" w:type="pct"/>
            <w:shd w:val="clear" w:color="auto" w:fill="FEFAF8"/>
          </w:tcPr>
          <w:p w14:paraId="34B703BA" w14:textId="2D099D94" w:rsidR="00333FEB" w:rsidRPr="000F23E0" w:rsidRDefault="00333FEB" w:rsidP="00844F4F">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0F23E0">
              <w:t>Recorded</w:t>
            </w:r>
          </w:p>
        </w:tc>
        <w:tc>
          <w:tcPr>
            <w:tcW w:w="747" w:type="pct"/>
            <w:shd w:val="clear" w:color="auto" w:fill="FEFAF8"/>
          </w:tcPr>
          <w:p w14:paraId="3C13B8A5" w14:textId="64EF1014" w:rsidR="00333FEB" w:rsidRPr="000F23E0" w:rsidRDefault="00333FEB" w:rsidP="00844F4F">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0F23E0">
              <w:t>2024–25</w:t>
            </w:r>
          </w:p>
        </w:tc>
      </w:tr>
      <w:tr w:rsidR="00320E4E" w:rsidRPr="000F23E0" w14:paraId="0DABBA39" w14:textId="77777777" w:rsidTr="00740BA0">
        <w:trPr>
          <w:trHeight w:val="300"/>
        </w:trPr>
        <w:tc>
          <w:tcPr>
            <w:cnfStyle w:val="001000000000" w:firstRow="0" w:lastRow="0" w:firstColumn="1" w:lastColumn="0" w:oddVBand="0" w:evenVBand="0" w:oddHBand="0" w:evenHBand="0" w:firstRowFirstColumn="0" w:firstRowLastColumn="0" w:lastRowFirstColumn="0" w:lastRowLastColumn="0"/>
            <w:tcW w:w="714" w:type="pct"/>
            <w:vMerge/>
            <w:shd w:val="clear" w:color="auto" w:fill="FAE5D4"/>
          </w:tcPr>
          <w:p w14:paraId="1818F855" w14:textId="77777777" w:rsidR="00333FEB" w:rsidRPr="000F23E0" w:rsidRDefault="00333FEB" w:rsidP="00A72FA0">
            <w:pPr>
              <w:pStyle w:val="TableColumnHeadingLeft"/>
              <w:rPr>
                <w:rFonts w:eastAsia="Calibri"/>
              </w:rPr>
            </w:pPr>
          </w:p>
        </w:tc>
        <w:tc>
          <w:tcPr>
            <w:tcW w:w="551" w:type="pct"/>
            <w:vMerge/>
            <w:shd w:val="clear" w:color="auto" w:fill="FDF0E7"/>
          </w:tcPr>
          <w:p w14:paraId="10FB8BF4" w14:textId="77777777" w:rsidR="00333FEB" w:rsidRPr="000F23E0" w:rsidRDefault="00333FEB" w:rsidP="001A0ABB">
            <w:pPr>
              <w:pStyle w:val="TableColumnHeadingLeft"/>
              <w:cnfStyle w:val="000000000000" w:firstRow="0" w:lastRow="0" w:firstColumn="0" w:lastColumn="0" w:oddVBand="0" w:evenVBand="0" w:oddHBand="0" w:evenHBand="0" w:firstRowFirstColumn="0" w:firstRowLastColumn="0" w:lastRowFirstColumn="0" w:lastRowLastColumn="0"/>
            </w:pPr>
          </w:p>
        </w:tc>
        <w:tc>
          <w:tcPr>
            <w:tcW w:w="811" w:type="pct"/>
            <w:vMerge/>
            <w:shd w:val="clear" w:color="auto" w:fill="FEFAF8"/>
          </w:tcPr>
          <w:p w14:paraId="1D34D686" w14:textId="77777777" w:rsidR="00333FEB" w:rsidRPr="000F23E0" w:rsidRDefault="00333FEB" w:rsidP="00A72FA0">
            <w:pPr>
              <w:pStyle w:val="TableTextLeft"/>
              <w:cnfStyle w:val="000000000000" w:firstRow="0" w:lastRow="0" w:firstColumn="0" w:lastColumn="0" w:oddVBand="0" w:evenVBand="0" w:oddHBand="0" w:evenHBand="0" w:firstRowFirstColumn="0" w:firstRowLastColumn="0" w:lastRowFirstColumn="0" w:lastRowLastColumn="0"/>
            </w:pPr>
          </w:p>
        </w:tc>
        <w:tc>
          <w:tcPr>
            <w:tcW w:w="1316" w:type="pct"/>
            <w:shd w:val="clear" w:color="auto" w:fill="FEFAF8"/>
          </w:tcPr>
          <w:p w14:paraId="0F16A614" w14:textId="4F933D7B" w:rsidR="00333FEB" w:rsidRPr="000F23E0" w:rsidRDefault="00333FEB" w:rsidP="00A72FA0">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0F23E0">
              <w:rPr>
                <w:rFonts w:eastAsia="Calibri"/>
              </w:rPr>
              <w:t xml:space="preserve">Number of </w:t>
            </w:r>
            <w:r w:rsidR="00393957" w:rsidRPr="000F23E0">
              <w:rPr>
                <w:rFonts w:eastAsia="Calibri"/>
              </w:rPr>
              <w:t>Community Batteries</w:t>
            </w:r>
            <w:r w:rsidR="001A0ABB" w:rsidRPr="000F23E0">
              <w:rPr>
                <w:rFonts w:eastAsia="Calibri"/>
              </w:rPr>
              <w:t> </w:t>
            </w:r>
            <w:r w:rsidRPr="000F23E0">
              <w:rPr>
                <w:rFonts w:eastAsia="Calibri"/>
              </w:rPr>
              <w:t>deployed</w:t>
            </w:r>
          </w:p>
        </w:tc>
        <w:tc>
          <w:tcPr>
            <w:tcW w:w="507" w:type="pct"/>
            <w:shd w:val="clear" w:color="auto" w:fill="FEFAF8"/>
          </w:tcPr>
          <w:p w14:paraId="72EE071C" w14:textId="407147FB" w:rsidR="00333FEB" w:rsidRPr="000F23E0" w:rsidRDefault="00AF75BC" w:rsidP="00AF75BC">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0F23E0">
              <w:t>3</w:t>
            </w:r>
            <w:r w:rsidR="00285846" w:rsidRPr="000F23E0">
              <w:t>1</w:t>
            </w:r>
          </w:p>
        </w:tc>
        <w:tc>
          <w:tcPr>
            <w:tcW w:w="354" w:type="pct"/>
            <w:shd w:val="clear" w:color="auto" w:fill="FEFAF8"/>
          </w:tcPr>
          <w:p w14:paraId="30939FB4" w14:textId="707C7535" w:rsidR="00333FEB" w:rsidRPr="000F23E0" w:rsidRDefault="00333FEB" w:rsidP="00AF75BC">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0F23E0">
              <w:t>Recorded</w:t>
            </w:r>
          </w:p>
        </w:tc>
        <w:tc>
          <w:tcPr>
            <w:tcW w:w="747" w:type="pct"/>
            <w:shd w:val="clear" w:color="auto" w:fill="FEFAF8"/>
          </w:tcPr>
          <w:p w14:paraId="2A6290D6" w14:textId="6EAA238B" w:rsidR="00333FEB" w:rsidRPr="000F23E0" w:rsidRDefault="00333FEB" w:rsidP="00AF75BC">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0F23E0">
              <w:t>2024</w:t>
            </w:r>
            <w:r w:rsidR="00965251" w:rsidRPr="000F23E0">
              <w:t>–</w:t>
            </w:r>
            <w:r w:rsidRPr="000F23E0">
              <w:t>25</w:t>
            </w:r>
          </w:p>
        </w:tc>
      </w:tr>
      <w:tr w:rsidR="00320E4E" w:rsidRPr="000F23E0" w14:paraId="64D6350F" w14:textId="7A23CDEE" w:rsidTr="00740BA0">
        <w:trPr>
          <w:trHeight w:val="300"/>
        </w:trPr>
        <w:tc>
          <w:tcPr>
            <w:cnfStyle w:val="001000000000" w:firstRow="0" w:lastRow="0" w:firstColumn="1" w:lastColumn="0" w:oddVBand="0" w:evenVBand="0" w:oddHBand="0" w:evenHBand="0" w:firstRowFirstColumn="0" w:firstRowLastColumn="0" w:lastRowFirstColumn="0" w:lastRowLastColumn="0"/>
            <w:tcW w:w="714" w:type="pct"/>
            <w:vMerge/>
            <w:shd w:val="clear" w:color="auto" w:fill="FAE5D4"/>
          </w:tcPr>
          <w:p w14:paraId="12B5F3B8" w14:textId="77777777" w:rsidR="005901F0" w:rsidRPr="000F23E0" w:rsidRDefault="005901F0" w:rsidP="00A72FA0">
            <w:pPr>
              <w:pStyle w:val="TableColumnHeadingLeft"/>
              <w:rPr>
                <w:rFonts w:eastAsia="Calibri"/>
              </w:rPr>
            </w:pPr>
          </w:p>
        </w:tc>
        <w:tc>
          <w:tcPr>
            <w:tcW w:w="551" w:type="pct"/>
            <w:vMerge/>
            <w:shd w:val="clear" w:color="auto" w:fill="FDF0E7"/>
          </w:tcPr>
          <w:p w14:paraId="39532885" w14:textId="77777777" w:rsidR="002E73D4" w:rsidRPr="000F23E0" w:rsidRDefault="002E73D4" w:rsidP="001A0ABB">
            <w:pPr>
              <w:pStyle w:val="TableColumnHeadingLeft"/>
              <w:cnfStyle w:val="000000000000" w:firstRow="0" w:lastRow="0" w:firstColumn="0" w:lastColumn="0" w:oddVBand="0" w:evenVBand="0" w:oddHBand="0" w:evenHBand="0" w:firstRowFirstColumn="0" w:firstRowLastColumn="0" w:lastRowFirstColumn="0" w:lastRowLastColumn="0"/>
            </w:pPr>
          </w:p>
        </w:tc>
        <w:tc>
          <w:tcPr>
            <w:tcW w:w="811" w:type="pct"/>
            <w:shd w:val="clear" w:color="auto" w:fill="FEFAF8"/>
          </w:tcPr>
          <w:p w14:paraId="69538407" w14:textId="63D50151" w:rsidR="005901F0" w:rsidRPr="000F23E0" w:rsidRDefault="00393957" w:rsidP="00A72FA0">
            <w:pPr>
              <w:pStyle w:val="TableTextLeft"/>
              <w:cnfStyle w:val="000000000000" w:firstRow="0" w:lastRow="0" w:firstColumn="0" w:lastColumn="0" w:oddVBand="0" w:evenVBand="0" w:oddHBand="0" w:evenHBand="0" w:firstRowFirstColumn="0" w:firstRowLastColumn="0" w:lastRowFirstColumn="0" w:lastRowLastColumn="0"/>
            </w:pPr>
            <w:r w:rsidRPr="000F23E0">
              <w:t>Advancing Renewables</w:t>
            </w:r>
            <w:r w:rsidR="00320E4E" w:rsidRPr="000F23E0">
              <w:t> </w:t>
            </w:r>
            <w:r w:rsidRPr="000F23E0">
              <w:t>Program</w:t>
            </w:r>
          </w:p>
        </w:tc>
        <w:tc>
          <w:tcPr>
            <w:tcW w:w="1316" w:type="pct"/>
            <w:shd w:val="clear" w:color="auto" w:fill="FEFAF8"/>
          </w:tcPr>
          <w:p w14:paraId="14A4DDEE" w14:textId="5384372D" w:rsidR="00545ABE" w:rsidRPr="000F23E0" w:rsidRDefault="00545ABE" w:rsidP="00A72FA0">
            <w:pPr>
              <w:pStyle w:val="TableTextLeft"/>
              <w:cnfStyle w:val="000000000000" w:firstRow="0" w:lastRow="0" w:firstColumn="0" w:lastColumn="0" w:oddVBand="0" w:evenVBand="0" w:oddHBand="0" w:evenHBand="0" w:firstRowFirstColumn="0" w:firstRowLastColumn="0" w:lastRowFirstColumn="0" w:lastRowLastColumn="0"/>
            </w:pPr>
            <w:r w:rsidRPr="000F23E0">
              <w:t>Number of renewable energy projects funded</w:t>
            </w:r>
          </w:p>
        </w:tc>
        <w:tc>
          <w:tcPr>
            <w:tcW w:w="507" w:type="pct"/>
            <w:shd w:val="clear" w:color="auto" w:fill="FEFAF8"/>
          </w:tcPr>
          <w:p w14:paraId="17B6F8B1" w14:textId="150B9891" w:rsidR="009A1EB5" w:rsidRPr="000F23E0" w:rsidRDefault="00DB7380" w:rsidP="00905F10">
            <w:pPr>
              <w:pStyle w:val="TableTextLeft"/>
              <w:cnfStyle w:val="000000000000" w:firstRow="0" w:lastRow="0" w:firstColumn="0" w:lastColumn="0" w:oddVBand="0" w:evenVBand="0" w:oddHBand="0" w:evenHBand="0" w:firstRowFirstColumn="0" w:firstRowLastColumn="0" w:lastRowFirstColumn="0" w:lastRowLastColumn="0"/>
              <w:rPr>
                <w:bCs/>
              </w:rPr>
            </w:pPr>
            <w:r w:rsidRPr="000F23E0">
              <w:rPr>
                <w:bCs/>
              </w:rPr>
              <w:t>88</w:t>
            </w:r>
          </w:p>
        </w:tc>
        <w:tc>
          <w:tcPr>
            <w:tcW w:w="354" w:type="pct"/>
            <w:shd w:val="clear" w:color="auto" w:fill="FEFAF8"/>
          </w:tcPr>
          <w:p w14:paraId="723205AF" w14:textId="79380BD2" w:rsidR="005901F0" w:rsidRPr="000F23E0" w:rsidRDefault="009A1EB5" w:rsidP="00844F4F">
            <w:pPr>
              <w:pStyle w:val="TableTextLeft"/>
              <w:cnfStyle w:val="000000000000" w:firstRow="0" w:lastRow="0" w:firstColumn="0" w:lastColumn="0" w:oddVBand="0" w:evenVBand="0" w:oddHBand="0" w:evenHBand="0" w:firstRowFirstColumn="0" w:firstRowLastColumn="0" w:lastRowFirstColumn="0" w:lastRowLastColumn="0"/>
              <w:rPr>
                <w:bCs/>
              </w:rPr>
            </w:pPr>
            <w:r w:rsidRPr="000F23E0">
              <w:rPr>
                <w:bCs/>
              </w:rPr>
              <w:t>Recorded</w:t>
            </w:r>
          </w:p>
        </w:tc>
        <w:tc>
          <w:tcPr>
            <w:tcW w:w="747" w:type="pct"/>
            <w:shd w:val="clear" w:color="auto" w:fill="FEFAF8"/>
          </w:tcPr>
          <w:p w14:paraId="4AA02D2E" w14:textId="544B2344" w:rsidR="005901F0" w:rsidRPr="000F23E0" w:rsidRDefault="009A1EB5" w:rsidP="00844F4F">
            <w:pPr>
              <w:pStyle w:val="TableTextLeft"/>
              <w:cnfStyle w:val="000000000000" w:firstRow="0" w:lastRow="0" w:firstColumn="0" w:lastColumn="0" w:oddVBand="0" w:evenVBand="0" w:oddHBand="0" w:evenHBand="0" w:firstRowFirstColumn="0" w:firstRowLastColumn="0" w:lastRowFirstColumn="0" w:lastRowLastColumn="0"/>
              <w:rPr>
                <w:bCs/>
              </w:rPr>
            </w:pPr>
            <w:r w:rsidRPr="000F23E0">
              <w:rPr>
                <w:bCs/>
              </w:rPr>
              <w:t>2024</w:t>
            </w:r>
            <w:r w:rsidR="00965251" w:rsidRPr="000F23E0">
              <w:rPr>
                <w:bCs/>
              </w:rPr>
              <w:t>–</w:t>
            </w:r>
            <w:r w:rsidRPr="000F23E0">
              <w:rPr>
                <w:bCs/>
              </w:rPr>
              <w:t>25</w:t>
            </w:r>
          </w:p>
        </w:tc>
      </w:tr>
      <w:tr w:rsidR="00320E4E" w:rsidRPr="000F23E0" w14:paraId="40302B7C" w14:textId="43B15B9A" w:rsidTr="00740BA0">
        <w:trPr>
          <w:trHeight w:val="300"/>
        </w:trPr>
        <w:tc>
          <w:tcPr>
            <w:cnfStyle w:val="001000000000" w:firstRow="0" w:lastRow="0" w:firstColumn="1" w:lastColumn="0" w:oddVBand="0" w:evenVBand="0" w:oddHBand="0" w:evenHBand="0" w:firstRowFirstColumn="0" w:firstRowLastColumn="0" w:lastRowFirstColumn="0" w:lastRowLastColumn="0"/>
            <w:tcW w:w="714" w:type="pct"/>
            <w:vMerge w:val="restart"/>
            <w:shd w:val="clear" w:color="auto" w:fill="FAE5D4"/>
          </w:tcPr>
          <w:p w14:paraId="25DFF462" w14:textId="265E08B1" w:rsidR="005901F0" w:rsidRPr="000F23E0" w:rsidRDefault="005901F0" w:rsidP="00A72FA0">
            <w:pPr>
              <w:pStyle w:val="TableColumnHeadingLeft"/>
              <w:rPr>
                <w:rFonts w:eastAsia="Calibri"/>
              </w:rPr>
            </w:pPr>
            <w:r w:rsidRPr="000F23E0">
              <w:rPr>
                <w:rFonts w:eastAsia="Calibri"/>
              </w:rPr>
              <w:t>Energy efficiency</w:t>
            </w:r>
          </w:p>
        </w:tc>
        <w:tc>
          <w:tcPr>
            <w:tcW w:w="551" w:type="pct"/>
            <w:vMerge w:val="restart"/>
            <w:shd w:val="clear" w:color="auto" w:fill="FDF0E7"/>
          </w:tcPr>
          <w:p w14:paraId="06872318" w14:textId="01986E8F" w:rsidR="002E73D4" w:rsidRPr="000F23E0" w:rsidRDefault="00445AD4" w:rsidP="001A0ABB">
            <w:pPr>
              <w:pStyle w:val="TableColumnHeadingLeft"/>
              <w:cnfStyle w:val="000000000000" w:firstRow="0" w:lastRow="0" w:firstColumn="0" w:lastColumn="0" w:oddVBand="0" w:evenVBand="0" w:oddHBand="0" w:evenHBand="0" w:firstRowFirstColumn="0" w:firstRowLastColumn="0" w:lastRowFirstColumn="0" w:lastRowLastColumn="0"/>
            </w:pPr>
            <w:r w:rsidRPr="000F23E0">
              <w:t>Climate change mitigation</w:t>
            </w:r>
          </w:p>
        </w:tc>
        <w:tc>
          <w:tcPr>
            <w:tcW w:w="811" w:type="pct"/>
            <w:vMerge w:val="restart"/>
            <w:shd w:val="clear" w:color="auto" w:fill="FEFAF8"/>
          </w:tcPr>
          <w:p w14:paraId="1BAF208E" w14:textId="1DB7CCBA" w:rsidR="005901F0" w:rsidRPr="000F23E0" w:rsidRDefault="005901F0" w:rsidP="00A72FA0">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0F23E0">
              <w:t>Household Energy Upgrades</w:t>
            </w:r>
            <w:r w:rsidR="00320E4E" w:rsidRPr="000F23E0">
              <w:t> </w:t>
            </w:r>
            <w:r w:rsidRPr="000F23E0">
              <w:t>Fund™</w:t>
            </w:r>
          </w:p>
        </w:tc>
        <w:tc>
          <w:tcPr>
            <w:tcW w:w="1316" w:type="pct"/>
            <w:shd w:val="clear" w:color="auto" w:fill="FEFAF8"/>
          </w:tcPr>
          <w:p w14:paraId="5271FEF1" w14:textId="0D66949C" w:rsidR="00F45E8D" w:rsidRPr="000F23E0" w:rsidRDefault="00F45E8D" w:rsidP="00A72FA0">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0F23E0">
              <w:rPr>
                <w:rFonts w:eastAsia="Calibri"/>
              </w:rPr>
              <w:t>Number of concessional loans</w:t>
            </w:r>
            <w:r w:rsidR="001A0ABB" w:rsidRPr="000F23E0">
              <w:rPr>
                <w:rFonts w:eastAsia="Calibri"/>
              </w:rPr>
              <w:t> </w:t>
            </w:r>
            <w:r w:rsidRPr="000F23E0">
              <w:rPr>
                <w:rFonts w:eastAsia="Calibri"/>
              </w:rPr>
              <w:t>financed</w:t>
            </w:r>
          </w:p>
        </w:tc>
        <w:tc>
          <w:tcPr>
            <w:tcW w:w="507" w:type="pct"/>
            <w:shd w:val="clear" w:color="auto" w:fill="FEFAF8"/>
          </w:tcPr>
          <w:p w14:paraId="31359B09" w14:textId="7866583D" w:rsidR="00DF1D8C" w:rsidRPr="000F23E0" w:rsidRDefault="00DF1D8C" w:rsidP="00905F10">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0F23E0">
              <w:t>1,508</w:t>
            </w:r>
          </w:p>
        </w:tc>
        <w:tc>
          <w:tcPr>
            <w:tcW w:w="354" w:type="pct"/>
            <w:shd w:val="clear" w:color="auto" w:fill="FEFAF8"/>
          </w:tcPr>
          <w:p w14:paraId="75AF4CE3" w14:textId="0954140D" w:rsidR="005901F0" w:rsidRPr="000F23E0" w:rsidRDefault="00DF1D8C" w:rsidP="00844F4F">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0F23E0">
              <w:t>Recorded</w:t>
            </w:r>
          </w:p>
        </w:tc>
        <w:tc>
          <w:tcPr>
            <w:tcW w:w="747" w:type="pct"/>
            <w:shd w:val="clear" w:color="auto" w:fill="FEFAF8"/>
          </w:tcPr>
          <w:p w14:paraId="06140A80" w14:textId="7991DBCF" w:rsidR="005901F0" w:rsidRPr="000F23E0" w:rsidRDefault="00DF1D8C" w:rsidP="00844F4F">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0F23E0">
              <w:t>2024–25</w:t>
            </w:r>
          </w:p>
        </w:tc>
      </w:tr>
      <w:tr w:rsidR="00320E4E" w:rsidRPr="000F23E0" w14:paraId="2B86124D" w14:textId="334688A2" w:rsidTr="00740BA0">
        <w:trPr>
          <w:trHeight w:val="100"/>
        </w:trPr>
        <w:tc>
          <w:tcPr>
            <w:cnfStyle w:val="001000000000" w:firstRow="0" w:lastRow="0" w:firstColumn="1" w:lastColumn="0" w:oddVBand="0" w:evenVBand="0" w:oddHBand="0" w:evenHBand="0" w:firstRowFirstColumn="0" w:firstRowLastColumn="0" w:lastRowFirstColumn="0" w:lastRowLastColumn="0"/>
            <w:tcW w:w="714" w:type="pct"/>
            <w:vMerge/>
            <w:shd w:val="clear" w:color="auto" w:fill="FAE5D4"/>
          </w:tcPr>
          <w:p w14:paraId="319DD130" w14:textId="77777777" w:rsidR="005901F0" w:rsidRPr="000F23E0" w:rsidRDefault="005901F0" w:rsidP="00A72FA0">
            <w:pPr>
              <w:pStyle w:val="TableColumnHeadingLeft"/>
              <w:rPr>
                <w:rFonts w:eastAsia="Calibri"/>
              </w:rPr>
            </w:pPr>
          </w:p>
        </w:tc>
        <w:tc>
          <w:tcPr>
            <w:tcW w:w="551" w:type="pct"/>
            <w:vMerge/>
            <w:shd w:val="clear" w:color="auto" w:fill="FDF0E7"/>
          </w:tcPr>
          <w:p w14:paraId="234CC014" w14:textId="77777777" w:rsidR="002E73D4" w:rsidRPr="000F23E0" w:rsidRDefault="002E73D4" w:rsidP="001A0ABB">
            <w:pPr>
              <w:pStyle w:val="TableColumnHeadingLeft"/>
              <w:cnfStyle w:val="000000000000" w:firstRow="0" w:lastRow="0" w:firstColumn="0" w:lastColumn="0" w:oddVBand="0" w:evenVBand="0" w:oddHBand="0" w:evenHBand="0" w:firstRowFirstColumn="0" w:firstRowLastColumn="0" w:lastRowFirstColumn="0" w:lastRowLastColumn="0"/>
            </w:pPr>
          </w:p>
        </w:tc>
        <w:tc>
          <w:tcPr>
            <w:tcW w:w="811" w:type="pct"/>
            <w:vMerge/>
            <w:shd w:val="clear" w:color="auto" w:fill="FEFAF8"/>
          </w:tcPr>
          <w:p w14:paraId="0E6EDD9B" w14:textId="77777777" w:rsidR="005901F0" w:rsidRPr="000F23E0" w:rsidRDefault="005901F0" w:rsidP="00A72FA0">
            <w:pPr>
              <w:pStyle w:val="TableTextLeft"/>
              <w:cnfStyle w:val="000000000000" w:firstRow="0" w:lastRow="0" w:firstColumn="0" w:lastColumn="0" w:oddVBand="0" w:evenVBand="0" w:oddHBand="0" w:evenHBand="0" w:firstRowFirstColumn="0" w:firstRowLastColumn="0" w:lastRowFirstColumn="0" w:lastRowLastColumn="0"/>
            </w:pPr>
          </w:p>
        </w:tc>
        <w:tc>
          <w:tcPr>
            <w:tcW w:w="1316" w:type="pct"/>
            <w:shd w:val="clear" w:color="auto" w:fill="FEFAF8"/>
          </w:tcPr>
          <w:p w14:paraId="0660030C" w14:textId="2936FE44" w:rsidR="00F45E8D" w:rsidRPr="000F23E0" w:rsidRDefault="00F45E8D" w:rsidP="00A72FA0">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0F23E0">
              <w:rPr>
                <w:rFonts w:eastAsia="Calibri"/>
              </w:rPr>
              <w:t>Energy efficient technologies</w:t>
            </w:r>
            <w:r w:rsidR="001A0ABB" w:rsidRPr="000F23E0">
              <w:rPr>
                <w:rFonts w:eastAsia="Calibri"/>
              </w:rPr>
              <w:t> </w:t>
            </w:r>
            <w:r w:rsidRPr="000F23E0">
              <w:rPr>
                <w:rFonts w:eastAsia="Calibri"/>
              </w:rPr>
              <w:t>financed</w:t>
            </w:r>
          </w:p>
        </w:tc>
        <w:tc>
          <w:tcPr>
            <w:tcW w:w="507" w:type="pct"/>
            <w:shd w:val="clear" w:color="auto" w:fill="FEFAF8"/>
          </w:tcPr>
          <w:p w14:paraId="40650BB9" w14:textId="6BAA9107" w:rsidR="00DF1D8C" w:rsidRPr="000F23E0" w:rsidRDefault="00DF1D8C" w:rsidP="00905F10">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0F23E0">
              <w:t>3,843</w:t>
            </w:r>
          </w:p>
        </w:tc>
        <w:tc>
          <w:tcPr>
            <w:tcW w:w="354" w:type="pct"/>
            <w:shd w:val="clear" w:color="auto" w:fill="FEFAF8"/>
          </w:tcPr>
          <w:p w14:paraId="4D489B7F" w14:textId="098AAB10" w:rsidR="005901F0" w:rsidRPr="000F23E0" w:rsidRDefault="00DF1D8C" w:rsidP="00844F4F">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0F23E0">
              <w:t>Recorded</w:t>
            </w:r>
          </w:p>
        </w:tc>
        <w:tc>
          <w:tcPr>
            <w:tcW w:w="747" w:type="pct"/>
            <w:shd w:val="clear" w:color="auto" w:fill="FEFAF8"/>
          </w:tcPr>
          <w:p w14:paraId="33F48253" w14:textId="27D13F7C" w:rsidR="005901F0" w:rsidRPr="000F23E0" w:rsidRDefault="00DF1D8C" w:rsidP="00844F4F">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0F23E0">
              <w:t>2024–25</w:t>
            </w:r>
          </w:p>
        </w:tc>
      </w:tr>
      <w:tr w:rsidR="00320E4E" w:rsidRPr="000F23E0" w14:paraId="4592BEC5" w14:textId="424A8DD2" w:rsidTr="00740BA0">
        <w:trPr>
          <w:trHeight w:val="100"/>
        </w:trPr>
        <w:tc>
          <w:tcPr>
            <w:cnfStyle w:val="001000000000" w:firstRow="0" w:lastRow="0" w:firstColumn="1" w:lastColumn="0" w:oddVBand="0" w:evenVBand="0" w:oddHBand="0" w:evenHBand="0" w:firstRowFirstColumn="0" w:firstRowLastColumn="0" w:lastRowFirstColumn="0" w:lastRowLastColumn="0"/>
            <w:tcW w:w="714" w:type="pct"/>
            <w:vMerge/>
            <w:shd w:val="clear" w:color="auto" w:fill="FAE5D4"/>
          </w:tcPr>
          <w:p w14:paraId="5178E80B" w14:textId="77777777" w:rsidR="005901F0" w:rsidRPr="000F23E0" w:rsidRDefault="005901F0" w:rsidP="00A72FA0">
            <w:pPr>
              <w:pStyle w:val="TableColumnHeadingLeft"/>
              <w:rPr>
                <w:rFonts w:eastAsia="Calibri"/>
              </w:rPr>
            </w:pPr>
          </w:p>
        </w:tc>
        <w:tc>
          <w:tcPr>
            <w:tcW w:w="551" w:type="pct"/>
            <w:vMerge/>
            <w:shd w:val="clear" w:color="auto" w:fill="FDF0E7"/>
          </w:tcPr>
          <w:p w14:paraId="475474AA" w14:textId="77777777" w:rsidR="002E73D4" w:rsidRPr="000F23E0" w:rsidRDefault="002E73D4" w:rsidP="001A0ABB">
            <w:pPr>
              <w:pStyle w:val="TableColumnHeadingLeft"/>
              <w:cnfStyle w:val="000000000000" w:firstRow="0" w:lastRow="0" w:firstColumn="0" w:lastColumn="0" w:oddVBand="0" w:evenVBand="0" w:oddHBand="0" w:evenHBand="0" w:firstRowFirstColumn="0" w:firstRowLastColumn="0" w:lastRowFirstColumn="0" w:lastRowLastColumn="0"/>
            </w:pPr>
          </w:p>
        </w:tc>
        <w:tc>
          <w:tcPr>
            <w:tcW w:w="811" w:type="pct"/>
            <w:vMerge/>
            <w:shd w:val="clear" w:color="auto" w:fill="FEFAF8"/>
          </w:tcPr>
          <w:p w14:paraId="266AC032" w14:textId="77777777" w:rsidR="005901F0" w:rsidRPr="000F23E0" w:rsidRDefault="005901F0" w:rsidP="00A72FA0">
            <w:pPr>
              <w:pStyle w:val="TableTextLeft"/>
              <w:cnfStyle w:val="000000000000" w:firstRow="0" w:lastRow="0" w:firstColumn="0" w:lastColumn="0" w:oddVBand="0" w:evenVBand="0" w:oddHBand="0" w:evenHBand="0" w:firstRowFirstColumn="0" w:firstRowLastColumn="0" w:lastRowFirstColumn="0" w:lastRowLastColumn="0"/>
            </w:pPr>
          </w:p>
        </w:tc>
        <w:tc>
          <w:tcPr>
            <w:tcW w:w="1316" w:type="pct"/>
            <w:shd w:val="clear" w:color="auto" w:fill="FEFAF8"/>
          </w:tcPr>
          <w:p w14:paraId="6BEA2EAE" w14:textId="55397530" w:rsidR="00550E2F" w:rsidRPr="000F23E0" w:rsidRDefault="00550E2F" w:rsidP="00A72FA0">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0F23E0">
              <w:t>Emissions avoided (</w:t>
            </w:r>
            <w:r w:rsidR="00F57A59" w:rsidRPr="000F23E0">
              <w:t>k</w:t>
            </w:r>
            <w:r w:rsidRPr="000F23E0">
              <w:t>t CO2-e p.a.)</w:t>
            </w:r>
          </w:p>
        </w:tc>
        <w:tc>
          <w:tcPr>
            <w:tcW w:w="507" w:type="pct"/>
            <w:shd w:val="clear" w:color="auto" w:fill="FEFAF8"/>
          </w:tcPr>
          <w:p w14:paraId="6FD26799" w14:textId="217D3424" w:rsidR="00DF1D8C" w:rsidRPr="000F23E0" w:rsidRDefault="00DF1D8C" w:rsidP="00905F10">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0F23E0">
              <w:t>50</w:t>
            </w:r>
          </w:p>
        </w:tc>
        <w:tc>
          <w:tcPr>
            <w:tcW w:w="354" w:type="pct"/>
            <w:shd w:val="clear" w:color="auto" w:fill="FEFAF8"/>
          </w:tcPr>
          <w:p w14:paraId="2D84A4A6" w14:textId="5B46167A" w:rsidR="005901F0" w:rsidRPr="000F23E0" w:rsidRDefault="00DF1D8C" w:rsidP="00844F4F">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0F23E0">
              <w:t>Projected</w:t>
            </w:r>
          </w:p>
        </w:tc>
        <w:tc>
          <w:tcPr>
            <w:tcW w:w="747" w:type="pct"/>
            <w:shd w:val="clear" w:color="auto" w:fill="FEFAF8"/>
          </w:tcPr>
          <w:p w14:paraId="412F9BEA" w14:textId="40914AAA" w:rsidR="005901F0" w:rsidRPr="000F23E0" w:rsidRDefault="00DF1D8C" w:rsidP="00844F4F">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0F23E0">
              <w:t>10</w:t>
            </w:r>
            <w:r w:rsidR="00965251" w:rsidRPr="000F23E0">
              <w:t>–</w:t>
            </w:r>
            <w:r w:rsidRPr="000F23E0">
              <w:t>20 years</w:t>
            </w:r>
          </w:p>
        </w:tc>
      </w:tr>
      <w:tr w:rsidR="00320E4E" w:rsidRPr="000F23E0" w14:paraId="6B376420" w14:textId="5BC5E8AA" w:rsidTr="00740BA0">
        <w:trPr>
          <w:trHeight w:val="300"/>
        </w:trPr>
        <w:tc>
          <w:tcPr>
            <w:cnfStyle w:val="001000000000" w:firstRow="0" w:lastRow="0" w:firstColumn="1" w:lastColumn="0" w:oddVBand="0" w:evenVBand="0" w:oddHBand="0" w:evenHBand="0" w:firstRowFirstColumn="0" w:firstRowLastColumn="0" w:lastRowFirstColumn="0" w:lastRowLastColumn="0"/>
            <w:tcW w:w="714" w:type="pct"/>
            <w:vMerge/>
            <w:shd w:val="clear" w:color="auto" w:fill="FAE5D4"/>
          </w:tcPr>
          <w:p w14:paraId="13010EB7" w14:textId="77777777" w:rsidR="000305CF" w:rsidRPr="000F23E0" w:rsidRDefault="000305CF" w:rsidP="00A72FA0">
            <w:pPr>
              <w:pStyle w:val="TableColumnHeadingLeft"/>
              <w:rPr>
                <w:rFonts w:eastAsia="Calibri"/>
              </w:rPr>
            </w:pPr>
          </w:p>
        </w:tc>
        <w:tc>
          <w:tcPr>
            <w:tcW w:w="551" w:type="pct"/>
            <w:vMerge/>
            <w:shd w:val="clear" w:color="auto" w:fill="FDF0E7"/>
          </w:tcPr>
          <w:p w14:paraId="58150CAF" w14:textId="77777777" w:rsidR="000305CF" w:rsidRPr="000F23E0" w:rsidRDefault="000305CF" w:rsidP="001A0ABB">
            <w:pPr>
              <w:pStyle w:val="TableColumnHeadingLeft"/>
              <w:cnfStyle w:val="000000000000" w:firstRow="0" w:lastRow="0" w:firstColumn="0" w:lastColumn="0" w:oddVBand="0" w:evenVBand="0" w:oddHBand="0" w:evenHBand="0" w:firstRowFirstColumn="0" w:firstRowLastColumn="0" w:lastRowFirstColumn="0" w:lastRowLastColumn="0"/>
            </w:pPr>
          </w:p>
        </w:tc>
        <w:tc>
          <w:tcPr>
            <w:tcW w:w="811" w:type="pct"/>
            <w:vMerge w:val="restart"/>
            <w:shd w:val="clear" w:color="auto" w:fill="FEFAF8"/>
          </w:tcPr>
          <w:p w14:paraId="2A9E2DB7" w14:textId="105C09A3" w:rsidR="000305CF" w:rsidRPr="000F23E0" w:rsidRDefault="000305CF" w:rsidP="00A72FA0">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0F23E0">
              <w:t>Social Housing Energy Performance Initiative</w:t>
            </w:r>
          </w:p>
        </w:tc>
        <w:tc>
          <w:tcPr>
            <w:tcW w:w="1316" w:type="pct"/>
            <w:vMerge w:val="restart"/>
            <w:shd w:val="clear" w:color="auto" w:fill="FEFAF8"/>
          </w:tcPr>
          <w:p w14:paraId="3B5DC739" w14:textId="68C6D6AA" w:rsidR="000305CF" w:rsidRPr="000F23E0" w:rsidRDefault="000305CF" w:rsidP="00A72FA0">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0F23E0">
              <w:rPr>
                <w:rFonts w:eastAsia="Calibri"/>
              </w:rPr>
              <w:t>Number of dwellings with energy performance</w:t>
            </w:r>
            <w:r w:rsidR="00320E4E" w:rsidRPr="000F23E0">
              <w:rPr>
                <w:rFonts w:eastAsia="Calibri"/>
              </w:rPr>
              <w:t> </w:t>
            </w:r>
            <w:r w:rsidRPr="000F23E0">
              <w:rPr>
                <w:rFonts w:eastAsia="Calibri"/>
              </w:rPr>
              <w:t>upgrades</w:t>
            </w:r>
          </w:p>
        </w:tc>
        <w:tc>
          <w:tcPr>
            <w:tcW w:w="507" w:type="pct"/>
            <w:shd w:val="clear" w:color="auto" w:fill="FEFAF8"/>
          </w:tcPr>
          <w:p w14:paraId="4D9CA1F4" w14:textId="6586A8AA" w:rsidR="000305CF" w:rsidRPr="000F23E0" w:rsidRDefault="000305CF" w:rsidP="00905F10">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0F23E0">
              <w:rPr>
                <w:rFonts w:eastAsia="Calibri"/>
              </w:rPr>
              <w:t xml:space="preserve">Over </w:t>
            </w:r>
            <w:r w:rsidR="00B9691A" w:rsidRPr="000F23E0">
              <w:rPr>
                <w:rFonts w:eastAsia="Calibri"/>
              </w:rPr>
              <w:t>20</w:t>
            </w:r>
            <w:r w:rsidRPr="000F23E0">
              <w:rPr>
                <w:rFonts w:eastAsia="Calibri"/>
              </w:rPr>
              <w:t>,</w:t>
            </w:r>
            <w:r w:rsidR="00B9691A" w:rsidRPr="000F23E0">
              <w:rPr>
                <w:rFonts w:eastAsia="Calibri"/>
              </w:rPr>
              <w:t>0</w:t>
            </w:r>
            <w:r w:rsidRPr="000F23E0">
              <w:rPr>
                <w:rFonts w:eastAsia="Calibri"/>
              </w:rPr>
              <w:t>00</w:t>
            </w:r>
          </w:p>
        </w:tc>
        <w:tc>
          <w:tcPr>
            <w:tcW w:w="354" w:type="pct"/>
            <w:shd w:val="clear" w:color="auto" w:fill="FEFAF8"/>
          </w:tcPr>
          <w:p w14:paraId="6234002F" w14:textId="087635CB" w:rsidR="000305CF" w:rsidRPr="000F23E0" w:rsidRDefault="000305CF" w:rsidP="00844F4F">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0F23E0">
              <w:t>Recorded</w:t>
            </w:r>
          </w:p>
        </w:tc>
        <w:tc>
          <w:tcPr>
            <w:tcW w:w="747" w:type="pct"/>
            <w:shd w:val="clear" w:color="auto" w:fill="FEFAF8"/>
          </w:tcPr>
          <w:p w14:paraId="527B9E4B" w14:textId="1FB708C6" w:rsidR="000305CF" w:rsidRPr="000F23E0" w:rsidRDefault="000305CF" w:rsidP="00844F4F">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0F23E0">
              <w:t>2023–24 and 2024–25</w:t>
            </w:r>
          </w:p>
        </w:tc>
      </w:tr>
      <w:tr w:rsidR="00320E4E" w:rsidRPr="000F23E0" w14:paraId="27C42F24" w14:textId="77777777" w:rsidTr="00740BA0">
        <w:trPr>
          <w:trHeight w:val="300"/>
        </w:trPr>
        <w:tc>
          <w:tcPr>
            <w:cnfStyle w:val="001000000000" w:firstRow="0" w:lastRow="0" w:firstColumn="1" w:lastColumn="0" w:oddVBand="0" w:evenVBand="0" w:oddHBand="0" w:evenHBand="0" w:firstRowFirstColumn="0" w:firstRowLastColumn="0" w:lastRowFirstColumn="0" w:lastRowLastColumn="0"/>
            <w:tcW w:w="714" w:type="pct"/>
            <w:vMerge/>
            <w:shd w:val="clear" w:color="auto" w:fill="FAE5D4"/>
          </w:tcPr>
          <w:p w14:paraId="2698EDCC" w14:textId="77777777" w:rsidR="000305CF" w:rsidRPr="000F23E0" w:rsidRDefault="000305CF" w:rsidP="00A72FA0">
            <w:pPr>
              <w:pStyle w:val="TableColumnHeadingLeft"/>
              <w:rPr>
                <w:rFonts w:eastAsia="Calibri"/>
              </w:rPr>
            </w:pPr>
          </w:p>
        </w:tc>
        <w:tc>
          <w:tcPr>
            <w:tcW w:w="551" w:type="pct"/>
            <w:vMerge/>
            <w:shd w:val="clear" w:color="auto" w:fill="FDF0E7"/>
          </w:tcPr>
          <w:p w14:paraId="53E77583" w14:textId="77777777" w:rsidR="000305CF" w:rsidRPr="000F23E0" w:rsidRDefault="000305CF" w:rsidP="001A0ABB">
            <w:pPr>
              <w:pStyle w:val="TableColumnHeadingLeft"/>
              <w:cnfStyle w:val="000000000000" w:firstRow="0" w:lastRow="0" w:firstColumn="0" w:lastColumn="0" w:oddVBand="0" w:evenVBand="0" w:oddHBand="0" w:evenHBand="0" w:firstRowFirstColumn="0" w:firstRowLastColumn="0" w:lastRowFirstColumn="0" w:lastRowLastColumn="0"/>
            </w:pPr>
          </w:p>
        </w:tc>
        <w:tc>
          <w:tcPr>
            <w:tcW w:w="811" w:type="pct"/>
            <w:vMerge/>
            <w:shd w:val="clear" w:color="auto" w:fill="FEFAF8"/>
          </w:tcPr>
          <w:p w14:paraId="71940A96" w14:textId="77777777" w:rsidR="000305CF" w:rsidRPr="000F23E0" w:rsidRDefault="000305CF" w:rsidP="00A72FA0">
            <w:pPr>
              <w:pStyle w:val="TableTextLeft"/>
              <w:cnfStyle w:val="000000000000" w:firstRow="0" w:lastRow="0" w:firstColumn="0" w:lastColumn="0" w:oddVBand="0" w:evenVBand="0" w:oddHBand="0" w:evenHBand="0" w:firstRowFirstColumn="0" w:firstRowLastColumn="0" w:lastRowFirstColumn="0" w:lastRowLastColumn="0"/>
            </w:pPr>
          </w:p>
        </w:tc>
        <w:tc>
          <w:tcPr>
            <w:tcW w:w="1316" w:type="pct"/>
            <w:vMerge/>
            <w:shd w:val="clear" w:color="auto" w:fill="FEFAF8"/>
          </w:tcPr>
          <w:p w14:paraId="57672130" w14:textId="77777777" w:rsidR="000305CF" w:rsidRPr="000F23E0" w:rsidRDefault="000305CF" w:rsidP="00A72FA0">
            <w:pPr>
              <w:pStyle w:val="TableTextLeft"/>
              <w:cnfStyle w:val="000000000000" w:firstRow="0" w:lastRow="0" w:firstColumn="0" w:lastColumn="0" w:oddVBand="0" w:evenVBand="0" w:oddHBand="0" w:evenHBand="0" w:firstRowFirstColumn="0" w:firstRowLastColumn="0" w:lastRowFirstColumn="0" w:lastRowLastColumn="0"/>
              <w:rPr>
                <w:rFonts w:eastAsia="Calibri"/>
              </w:rPr>
            </w:pPr>
          </w:p>
        </w:tc>
        <w:tc>
          <w:tcPr>
            <w:tcW w:w="507" w:type="pct"/>
            <w:shd w:val="clear" w:color="auto" w:fill="FEFAF8"/>
          </w:tcPr>
          <w:p w14:paraId="2A7122A7" w14:textId="5B0F97D8" w:rsidR="000305CF" w:rsidRPr="000F23E0" w:rsidRDefault="000305CF" w:rsidP="00DC6BAF">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0F23E0">
              <w:rPr>
                <w:rFonts w:eastAsia="Calibri"/>
              </w:rPr>
              <w:t>Over 100,000</w:t>
            </w:r>
            <w:r w:rsidR="00D75ECB" w:rsidRPr="000F23E0">
              <w:rPr>
                <w:rFonts w:eastAsia="Calibri"/>
                <w:vertAlign w:val="superscript"/>
              </w:rPr>
              <w:t>(a)</w:t>
            </w:r>
          </w:p>
        </w:tc>
        <w:tc>
          <w:tcPr>
            <w:tcW w:w="354" w:type="pct"/>
            <w:shd w:val="clear" w:color="auto" w:fill="FEFAF8"/>
          </w:tcPr>
          <w:p w14:paraId="514B2FF1" w14:textId="56587039" w:rsidR="000305CF" w:rsidRPr="000F23E0" w:rsidRDefault="000305CF" w:rsidP="00DC6BAF">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0F23E0">
              <w:t>Projected</w:t>
            </w:r>
          </w:p>
        </w:tc>
        <w:tc>
          <w:tcPr>
            <w:tcW w:w="747" w:type="pct"/>
            <w:shd w:val="clear" w:color="auto" w:fill="FEFAF8"/>
          </w:tcPr>
          <w:p w14:paraId="4C7B1122" w14:textId="349A72C0" w:rsidR="000305CF" w:rsidRPr="000F23E0" w:rsidRDefault="000305CF" w:rsidP="00DC6BAF">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0F23E0">
              <w:t>2023–24 to 2028–29</w:t>
            </w:r>
          </w:p>
        </w:tc>
      </w:tr>
      <w:tr w:rsidR="00320E4E" w:rsidRPr="000F23E0" w14:paraId="5926BCA6" w14:textId="65FD14F6" w:rsidTr="00740BA0">
        <w:trPr>
          <w:trHeight w:val="300"/>
        </w:trPr>
        <w:tc>
          <w:tcPr>
            <w:cnfStyle w:val="001000000000" w:firstRow="0" w:lastRow="0" w:firstColumn="1" w:lastColumn="0" w:oddVBand="0" w:evenVBand="0" w:oddHBand="0" w:evenHBand="0" w:firstRowFirstColumn="0" w:firstRowLastColumn="0" w:lastRowFirstColumn="0" w:lastRowLastColumn="0"/>
            <w:tcW w:w="714" w:type="pct"/>
            <w:vMerge w:val="restart"/>
            <w:shd w:val="clear" w:color="auto" w:fill="FAE5D4"/>
          </w:tcPr>
          <w:p w14:paraId="4709151D" w14:textId="00802620" w:rsidR="00F119F6" w:rsidRPr="000F23E0" w:rsidRDefault="00F119F6" w:rsidP="00A72FA0">
            <w:pPr>
              <w:pStyle w:val="TableColumnHeadingLeft"/>
              <w:rPr>
                <w:rFonts w:eastAsia="Calibri"/>
              </w:rPr>
            </w:pPr>
            <w:r w:rsidRPr="000F23E0">
              <w:rPr>
                <w:rFonts w:eastAsia="Calibri"/>
              </w:rPr>
              <w:t>Clean transportation</w:t>
            </w:r>
          </w:p>
        </w:tc>
        <w:tc>
          <w:tcPr>
            <w:tcW w:w="551" w:type="pct"/>
            <w:vMerge w:val="restart"/>
            <w:shd w:val="clear" w:color="auto" w:fill="FDF0E7"/>
          </w:tcPr>
          <w:p w14:paraId="0ACC6CA8" w14:textId="7A015C45" w:rsidR="00F119F6" w:rsidRPr="000F23E0" w:rsidRDefault="00445AD4" w:rsidP="001A0ABB">
            <w:pPr>
              <w:pStyle w:val="TableColumnHeadingLeft"/>
              <w:cnfStyle w:val="000000000000" w:firstRow="0" w:lastRow="0" w:firstColumn="0" w:lastColumn="0" w:oddVBand="0" w:evenVBand="0" w:oddHBand="0" w:evenHBand="0" w:firstRowFirstColumn="0" w:firstRowLastColumn="0" w:lastRowFirstColumn="0" w:lastRowLastColumn="0"/>
            </w:pPr>
            <w:r w:rsidRPr="000F23E0">
              <w:t>Climate change mitigation</w:t>
            </w:r>
          </w:p>
        </w:tc>
        <w:tc>
          <w:tcPr>
            <w:tcW w:w="811" w:type="pct"/>
            <w:vMerge w:val="restart"/>
            <w:shd w:val="clear" w:color="auto" w:fill="FEFAF8"/>
          </w:tcPr>
          <w:p w14:paraId="427BCC2E" w14:textId="208BEFAA" w:rsidR="00F119F6" w:rsidRPr="000F23E0" w:rsidRDefault="00393957" w:rsidP="00A72FA0">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0F23E0">
              <w:t>Electric rail infrastructure in</w:t>
            </w:r>
            <w:r w:rsidR="00320E4E" w:rsidRPr="000F23E0">
              <w:t> </w:t>
            </w:r>
            <w:r w:rsidRPr="000F23E0">
              <w:t>the</w:t>
            </w:r>
            <w:r w:rsidR="00320E4E" w:rsidRPr="000F23E0">
              <w:t> </w:t>
            </w:r>
            <w:r w:rsidRPr="000F23E0">
              <w:t>Infrastructure Investment Program</w:t>
            </w:r>
          </w:p>
        </w:tc>
        <w:tc>
          <w:tcPr>
            <w:tcW w:w="1316" w:type="pct"/>
            <w:vMerge w:val="restart"/>
            <w:shd w:val="clear" w:color="auto" w:fill="FEFAF8"/>
          </w:tcPr>
          <w:p w14:paraId="096F559C" w14:textId="40E6F9D9" w:rsidR="00F119F6" w:rsidRPr="000F23E0" w:rsidRDefault="00F119F6" w:rsidP="00A72FA0">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0F23E0">
              <w:t>Anticipated km of rail built or</w:t>
            </w:r>
            <w:r w:rsidR="00320E4E" w:rsidRPr="000F23E0">
              <w:t> </w:t>
            </w:r>
            <w:r w:rsidRPr="000F23E0">
              <w:t>upgraded</w:t>
            </w:r>
          </w:p>
        </w:tc>
        <w:tc>
          <w:tcPr>
            <w:tcW w:w="507" w:type="pct"/>
            <w:shd w:val="clear" w:color="auto" w:fill="FEFAF8"/>
          </w:tcPr>
          <w:p w14:paraId="34F4AAB2" w14:textId="6D460A08" w:rsidR="00F119F6" w:rsidRPr="000F23E0" w:rsidRDefault="00F119F6" w:rsidP="00F119F6">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0F23E0">
              <w:rPr>
                <w:rFonts w:eastAsia="Calibri"/>
              </w:rPr>
              <w:t>72.0</w:t>
            </w:r>
          </w:p>
        </w:tc>
        <w:tc>
          <w:tcPr>
            <w:tcW w:w="354" w:type="pct"/>
            <w:shd w:val="clear" w:color="auto" w:fill="FEFAF8"/>
          </w:tcPr>
          <w:p w14:paraId="1DB53B4A" w14:textId="682C9D2C" w:rsidR="00F119F6" w:rsidRPr="000F23E0" w:rsidRDefault="00F119F6" w:rsidP="00F119F6">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0F23E0">
              <w:rPr>
                <w:rFonts w:eastAsia="Calibri"/>
              </w:rPr>
              <w:t>Recorded</w:t>
            </w:r>
          </w:p>
        </w:tc>
        <w:tc>
          <w:tcPr>
            <w:tcW w:w="747" w:type="pct"/>
            <w:shd w:val="clear" w:color="auto" w:fill="FEFAF8"/>
          </w:tcPr>
          <w:p w14:paraId="391A0ED7" w14:textId="73856DB4" w:rsidR="00F119F6" w:rsidRPr="000F23E0" w:rsidRDefault="00F119F6" w:rsidP="00F119F6">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0F23E0">
              <w:rPr>
                <w:rFonts w:eastAsia="Calibri"/>
              </w:rPr>
              <w:t>2018</w:t>
            </w:r>
            <w:r w:rsidR="00965251" w:rsidRPr="000F23E0">
              <w:rPr>
                <w:rFonts w:eastAsia="Calibri"/>
              </w:rPr>
              <w:t>–</w:t>
            </w:r>
            <w:r w:rsidRPr="000F23E0">
              <w:rPr>
                <w:rFonts w:eastAsia="Calibri"/>
              </w:rPr>
              <w:t>2025</w:t>
            </w:r>
          </w:p>
        </w:tc>
      </w:tr>
      <w:tr w:rsidR="00320E4E" w:rsidRPr="000F23E0" w14:paraId="001DECAB" w14:textId="77777777" w:rsidTr="00740BA0">
        <w:trPr>
          <w:trHeight w:val="300"/>
        </w:trPr>
        <w:tc>
          <w:tcPr>
            <w:cnfStyle w:val="001000000000" w:firstRow="0" w:lastRow="0" w:firstColumn="1" w:lastColumn="0" w:oddVBand="0" w:evenVBand="0" w:oddHBand="0" w:evenHBand="0" w:firstRowFirstColumn="0" w:firstRowLastColumn="0" w:lastRowFirstColumn="0" w:lastRowLastColumn="0"/>
            <w:tcW w:w="714" w:type="pct"/>
            <w:vMerge/>
            <w:shd w:val="clear" w:color="auto" w:fill="FAE5D4"/>
          </w:tcPr>
          <w:p w14:paraId="39127DC9" w14:textId="77777777" w:rsidR="00E96EEA" w:rsidRPr="000F23E0" w:rsidRDefault="00E96EEA" w:rsidP="002954C9">
            <w:pPr>
              <w:pStyle w:val="TableTextLeft"/>
              <w:rPr>
                <w:rFonts w:eastAsia="Calibri"/>
                <w:b/>
                <w:bCs w:val="0"/>
                <w:color w:val="FFFFFF" w:themeColor="background1"/>
                <w:sz w:val="20"/>
              </w:rPr>
            </w:pPr>
          </w:p>
        </w:tc>
        <w:tc>
          <w:tcPr>
            <w:tcW w:w="551" w:type="pct"/>
            <w:vMerge/>
            <w:shd w:val="clear" w:color="auto" w:fill="FDF0E7"/>
          </w:tcPr>
          <w:p w14:paraId="15706C80" w14:textId="77777777" w:rsidR="00E96EEA" w:rsidRPr="000F23E0" w:rsidRDefault="00E96EEA" w:rsidP="00A72FA0">
            <w:pPr>
              <w:pStyle w:val="TableTextLeft"/>
              <w:cnfStyle w:val="000000000000" w:firstRow="0" w:lastRow="0" w:firstColumn="0" w:lastColumn="0" w:oddVBand="0" w:evenVBand="0" w:oddHBand="0" w:evenHBand="0" w:firstRowFirstColumn="0" w:firstRowLastColumn="0" w:lastRowFirstColumn="0" w:lastRowLastColumn="0"/>
            </w:pPr>
          </w:p>
        </w:tc>
        <w:tc>
          <w:tcPr>
            <w:tcW w:w="811" w:type="pct"/>
            <w:vMerge/>
            <w:shd w:val="clear" w:color="auto" w:fill="FEFAF8"/>
          </w:tcPr>
          <w:p w14:paraId="14FF343B" w14:textId="77777777" w:rsidR="00E96EEA" w:rsidRPr="000F23E0" w:rsidRDefault="00E96EEA" w:rsidP="00A72FA0">
            <w:pPr>
              <w:pStyle w:val="TableTextLeft"/>
              <w:cnfStyle w:val="000000000000" w:firstRow="0" w:lastRow="0" w:firstColumn="0" w:lastColumn="0" w:oddVBand="0" w:evenVBand="0" w:oddHBand="0" w:evenHBand="0" w:firstRowFirstColumn="0" w:firstRowLastColumn="0" w:lastRowFirstColumn="0" w:lastRowLastColumn="0"/>
            </w:pPr>
          </w:p>
        </w:tc>
        <w:tc>
          <w:tcPr>
            <w:tcW w:w="1316" w:type="pct"/>
            <w:vMerge/>
            <w:shd w:val="clear" w:color="auto" w:fill="FEFAF8"/>
          </w:tcPr>
          <w:p w14:paraId="1D838B16" w14:textId="77777777" w:rsidR="00E96EEA" w:rsidRPr="000F23E0" w:rsidRDefault="00E96EEA" w:rsidP="00A72FA0">
            <w:pPr>
              <w:pStyle w:val="TableTextLeft"/>
              <w:cnfStyle w:val="000000000000" w:firstRow="0" w:lastRow="0" w:firstColumn="0" w:lastColumn="0" w:oddVBand="0" w:evenVBand="0" w:oddHBand="0" w:evenHBand="0" w:firstRowFirstColumn="0" w:firstRowLastColumn="0" w:lastRowFirstColumn="0" w:lastRowLastColumn="0"/>
            </w:pPr>
          </w:p>
        </w:tc>
        <w:tc>
          <w:tcPr>
            <w:tcW w:w="507" w:type="pct"/>
            <w:shd w:val="clear" w:color="auto" w:fill="FEFAF8"/>
          </w:tcPr>
          <w:p w14:paraId="5A7B81B0" w14:textId="56262618" w:rsidR="00E96EEA" w:rsidRPr="000F23E0" w:rsidRDefault="00CB0229" w:rsidP="002954C9">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0F23E0">
              <w:rPr>
                <w:rFonts w:eastAsia="Calibri"/>
              </w:rPr>
              <w:t>103</w:t>
            </w:r>
            <w:r w:rsidR="00E96EEA" w:rsidRPr="000F23E0">
              <w:rPr>
                <w:rFonts w:eastAsia="Calibri"/>
              </w:rPr>
              <w:t>.4</w:t>
            </w:r>
            <w:r w:rsidR="00C274B5" w:rsidRPr="000F23E0">
              <w:rPr>
                <w:rFonts w:eastAsia="Calibri"/>
                <w:vertAlign w:val="superscript"/>
              </w:rPr>
              <w:t>(b)</w:t>
            </w:r>
          </w:p>
        </w:tc>
        <w:tc>
          <w:tcPr>
            <w:tcW w:w="354" w:type="pct"/>
            <w:shd w:val="clear" w:color="auto" w:fill="FEFAF8"/>
          </w:tcPr>
          <w:p w14:paraId="4F2B2DB4" w14:textId="4FB5B027" w:rsidR="00E96EEA" w:rsidRPr="000F23E0" w:rsidRDefault="00E96EEA" w:rsidP="002954C9">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0F23E0">
              <w:rPr>
                <w:rFonts w:eastAsia="Calibri"/>
              </w:rPr>
              <w:t>Projected</w:t>
            </w:r>
          </w:p>
        </w:tc>
        <w:tc>
          <w:tcPr>
            <w:tcW w:w="747" w:type="pct"/>
            <w:shd w:val="clear" w:color="auto" w:fill="FEFAF8"/>
          </w:tcPr>
          <w:p w14:paraId="46853A64" w14:textId="426D59B8" w:rsidR="00E96EEA" w:rsidRPr="000F23E0" w:rsidRDefault="00E96EEA" w:rsidP="002954C9">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0F23E0">
              <w:rPr>
                <w:rFonts w:eastAsia="Calibri"/>
              </w:rPr>
              <w:t>2020</w:t>
            </w:r>
            <w:r w:rsidR="00965251" w:rsidRPr="000F23E0">
              <w:rPr>
                <w:rFonts w:eastAsia="Calibri"/>
              </w:rPr>
              <w:t>–</w:t>
            </w:r>
            <w:r w:rsidRPr="000F23E0">
              <w:rPr>
                <w:rFonts w:eastAsia="Calibri"/>
              </w:rPr>
              <w:t>2028</w:t>
            </w:r>
          </w:p>
        </w:tc>
      </w:tr>
      <w:tr w:rsidR="00320E4E" w:rsidRPr="000F23E0" w14:paraId="18D29C7F" w14:textId="28B9A0C3" w:rsidTr="00740BA0">
        <w:trPr>
          <w:trHeight w:val="150"/>
        </w:trPr>
        <w:tc>
          <w:tcPr>
            <w:cnfStyle w:val="001000000000" w:firstRow="0" w:lastRow="0" w:firstColumn="1" w:lastColumn="0" w:oddVBand="0" w:evenVBand="0" w:oddHBand="0" w:evenHBand="0" w:firstRowFirstColumn="0" w:firstRowLastColumn="0" w:lastRowFirstColumn="0" w:lastRowLastColumn="0"/>
            <w:tcW w:w="714" w:type="pct"/>
            <w:vMerge/>
            <w:shd w:val="clear" w:color="auto" w:fill="FAE5D4"/>
          </w:tcPr>
          <w:p w14:paraId="3E200DDD" w14:textId="77777777" w:rsidR="005901F0" w:rsidRPr="000F23E0" w:rsidRDefault="005901F0">
            <w:pPr>
              <w:pStyle w:val="TableTextLeft"/>
              <w:rPr>
                <w:rFonts w:eastAsia="Calibri"/>
                <w:b/>
                <w:bCs w:val="0"/>
                <w:color w:val="FFFFFF" w:themeColor="background1"/>
                <w:sz w:val="20"/>
              </w:rPr>
            </w:pPr>
          </w:p>
        </w:tc>
        <w:tc>
          <w:tcPr>
            <w:tcW w:w="551" w:type="pct"/>
            <w:vMerge/>
            <w:shd w:val="clear" w:color="auto" w:fill="FDF0E7"/>
          </w:tcPr>
          <w:p w14:paraId="3BCCCAC9" w14:textId="77777777" w:rsidR="002E73D4" w:rsidRPr="000F23E0" w:rsidRDefault="002E73D4" w:rsidP="00A72FA0">
            <w:pPr>
              <w:pStyle w:val="TableTextLeft"/>
              <w:cnfStyle w:val="000000000000" w:firstRow="0" w:lastRow="0" w:firstColumn="0" w:lastColumn="0" w:oddVBand="0" w:evenVBand="0" w:oddHBand="0" w:evenHBand="0" w:firstRowFirstColumn="0" w:firstRowLastColumn="0" w:lastRowFirstColumn="0" w:lastRowLastColumn="0"/>
            </w:pPr>
          </w:p>
        </w:tc>
        <w:tc>
          <w:tcPr>
            <w:tcW w:w="811" w:type="pct"/>
            <w:vMerge w:val="restart"/>
            <w:shd w:val="clear" w:color="auto" w:fill="FEFAF8"/>
          </w:tcPr>
          <w:p w14:paraId="6EC09DCA" w14:textId="77777777" w:rsidR="005901F0" w:rsidRPr="000F23E0" w:rsidRDefault="005901F0" w:rsidP="00A72FA0">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0F23E0">
              <w:t>Driving the Nation Fund</w:t>
            </w:r>
          </w:p>
        </w:tc>
        <w:tc>
          <w:tcPr>
            <w:tcW w:w="1316" w:type="pct"/>
            <w:shd w:val="clear" w:color="auto" w:fill="FEFAF8"/>
          </w:tcPr>
          <w:p w14:paraId="3C0A77CA" w14:textId="0A9C350A" w:rsidR="00D53AAC" w:rsidRPr="000F23E0" w:rsidRDefault="00D53AAC" w:rsidP="00A72FA0">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0F23E0">
              <w:rPr>
                <w:rFonts w:eastAsia="Calibri"/>
              </w:rPr>
              <w:t>EV charging sites delivered</w:t>
            </w:r>
          </w:p>
        </w:tc>
        <w:tc>
          <w:tcPr>
            <w:tcW w:w="507" w:type="pct"/>
            <w:shd w:val="clear" w:color="auto" w:fill="FEFAF8"/>
          </w:tcPr>
          <w:p w14:paraId="648896D0" w14:textId="347B6025" w:rsidR="00D53AAC" w:rsidRPr="000F23E0" w:rsidRDefault="00D53AAC" w:rsidP="00905F10">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0F23E0">
              <w:t>17</w:t>
            </w:r>
          </w:p>
        </w:tc>
        <w:tc>
          <w:tcPr>
            <w:tcW w:w="354" w:type="pct"/>
            <w:shd w:val="clear" w:color="auto" w:fill="FEFAF8"/>
          </w:tcPr>
          <w:p w14:paraId="34E52BD6" w14:textId="7C2443EE" w:rsidR="005901F0" w:rsidRPr="000F23E0" w:rsidRDefault="00D53AAC" w:rsidP="00844F4F">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0F23E0">
              <w:t>Recorded</w:t>
            </w:r>
          </w:p>
        </w:tc>
        <w:tc>
          <w:tcPr>
            <w:tcW w:w="747" w:type="pct"/>
            <w:shd w:val="clear" w:color="auto" w:fill="FEFAF8"/>
          </w:tcPr>
          <w:p w14:paraId="745922A4" w14:textId="10C065B7" w:rsidR="005901F0" w:rsidRPr="000F23E0" w:rsidRDefault="00D53AAC" w:rsidP="00844F4F">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0F23E0">
              <w:t>2024–25</w:t>
            </w:r>
          </w:p>
        </w:tc>
      </w:tr>
      <w:tr w:rsidR="00320E4E" w:rsidRPr="000F23E0" w14:paraId="4B958439" w14:textId="77221D9B" w:rsidTr="00740BA0">
        <w:trPr>
          <w:trHeight w:val="150"/>
        </w:trPr>
        <w:tc>
          <w:tcPr>
            <w:cnfStyle w:val="001000000000" w:firstRow="0" w:lastRow="0" w:firstColumn="1" w:lastColumn="0" w:oddVBand="0" w:evenVBand="0" w:oddHBand="0" w:evenHBand="0" w:firstRowFirstColumn="0" w:firstRowLastColumn="0" w:lastRowFirstColumn="0" w:lastRowLastColumn="0"/>
            <w:tcW w:w="714" w:type="pct"/>
            <w:vMerge/>
            <w:shd w:val="clear" w:color="auto" w:fill="FAE5D4"/>
          </w:tcPr>
          <w:p w14:paraId="6A3613A1" w14:textId="77777777" w:rsidR="005901F0" w:rsidRPr="000F23E0" w:rsidRDefault="005901F0">
            <w:pPr>
              <w:pStyle w:val="TableTextLeft"/>
              <w:rPr>
                <w:rFonts w:eastAsia="Calibri"/>
                <w:b/>
                <w:bCs w:val="0"/>
                <w:color w:val="FFFFFF" w:themeColor="background1"/>
                <w:sz w:val="20"/>
              </w:rPr>
            </w:pPr>
          </w:p>
        </w:tc>
        <w:tc>
          <w:tcPr>
            <w:tcW w:w="551" w:type="pct"/>
            <w:vMerge/>
            <w:shd w:val="clear" w:color="auto" w:fill="FDF0E7"/>
          </w:tcPr>
          <w:p w14:paraId="612BB2E4" w14:textId="77777777" w:rsidR="002E73D4" w:rsidRPr="000F23E0" w:rsidRDefault="002E73D4" w:rsidP="00A72FA0">
            <w:pPr>
              <w:pStyle w:val="TableTextLeft"/>
              <w:cnfStyle w:val="000000000000" w:firstRow="0" w:lastRow="0" w:firstColumn="0" w:lastColumn="0" w:oddVBand="0" w:evenVBand="0" w:oddHBand="0" w:evenHBand="0" w:firstRowFirstColumn="0" w:firstRowLastColumn="0" w:lastRowFirstColumn="0" w:lastRowLastColumn="0"/>
            </w:pPr>
          </w:p>
        </w:tc>
        <w:tc>
          <w:tcPr>
            <w:tcW w:w="811" w:type="pct"/>
            <w:vMerge/>
            <w:shd w:val="clear" w:color="auto" w:fill="FEFAF8"/>
          </w:tcPr>
          <w:p w14:paraId="379BFC61" w14:textId="77777777" w:rsidR="005901F0" w:rsidRPr="000F23E0" w:rsidRDefault="005901F0" w:rsidP="00A72FA0">
            <w:pPr>
              <w:pStyle w:val="TableTextLeft"/>
              <w:cnfStyle w:val="000000000000" w:firstRow="0" w:lastRow="0" w:firstColumn="0" w:lastColumn="0" w:oddVBand="0" w:evenVBand="0" w:oddHBand="0" w:evenHBand="0" w:firstRowFirstColumn="0" w:firstRowLastColumn="0" w:lastRowFirstColumn="0" w:lastRowLastColumn="0"/>
            </w:pPr>
          </w:p>
        </w:tc>
        <w:tc>
          <w:tcPr>
            <w:tcW w:w="1316" w:type="pct"/>
            <w:shd w:val="clear" w:color="auto" w:fill="FEFAF8"/>
          </w:tcPr>
          <w:p w14:paraId="46E0341E" w14:textId="48FC8FB4" w:rsidR="00D53AAC" w:rsidRPr="000F23E0" w:rsidRDefault="00D53AAC" w:rsidP="00A72FA0">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0F23E0">
              <w:rPr>
                <w:rFonts w:eastAsia="Calibri"/>
              </w:rPr>
              <w:t>EV charging plugs approved for</w:t>
            </w:r>
            <w:r w:rsidR="00320E4E" w:rsidRPr="000F23E0">
              <w:rPr>
                <w:rFonts w:eastAsia="Calibri"/>
              </w:rPr>
              <w:t> </w:t>
            </w:r>
            <w:r w:rsidRPr="000F23E0">
              <w:rPr>
                <w:rFonts w:eastAsia="Calibri"/>
              </w:rPr>
              <w:t>rebate</w:t>
            </w:r>
          </w:p>
        </w:tc>
        <w:tc>
          <w:tcPr>
            <w:tcW w:w="507" w:type="pct"/>
            <w:shd w:val="clear" w:color="auto" w:fill="FEFAF8"/>
          </w:tcPr>
          <w:p w14:paraId="0233B8B3" w14:textId="6D39A85F" w:rsidR="00D53AAC" w:rsidRPr="000F23E0" w:rsidRDefault="00D53AAC" w:rsidP="00905F10">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0F23E0">
              <w:t>244</w:t>
            </w:r>
          </w:p>
        </w:tc>
        <w:tc>
          <w:tcPr>
            <w:tcW w:w="354" w:type="pct"/>
            <w:shd w:val="clear" w:color="auto" w:fill="FEFAF8"/>
          </w:tcPr>
          <w:p w14:paraId="275C5D6B" w14:textId="57FD325B" w:rsidR="005901F0" w:rsidRPr="000F23E0" w:rsidRDefault="00D53AAC" w:rsidP="00844F4F">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0F23E0">
              <w:t>Recorded</w:t>
            </w:r>
          </w:p>
        </w:tc>
        <w:tc>
          <w:tcPr>
            <w:tcW w:w="747" w:type="pct"/>
            <w:shd w:val="clear" w:color="auto" w:fill="FEFAF8"/>
          </w:tcPr>
          <w:p w14:paraId="72D6A7C9" w14:textId="2781B1FD" w:rsidR="005901F0" w:rsidRPr="000F23E0" w:rsidRDefault="00D53AAC" w:rsidP="00844F4F">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0F23E0">
              <w:t>January – April 2025</w:t>
            </w:r>
          </w:p>
        </w:tc>
      </w:tr>
      <w:tr w:rsidR="00320E4E" w:rsidRPr="000F23E0" w14:paraId="06230A0C" w14:textId="5013C3E5" w:rsidTr="00740BA0">
        <w:trPr>
          <w:trHeight w:val="300"/>
        </w:trPr>
        <w:tc>
          <w:tcPr>
            <w:cnfStyle w:val="001000000000" w:firstRow="0" w:lastRow="0" w:firstColumn="1" w:lastColumn="0" w:oddVBand="0" w:evenVBand="0" w:oddHBand="0" w:evenHBand="0" w:firstRowFirstColumn="0" w:firstRowLastColumn="0" w:lastRowFirstColumn="0" w:lastRowLastColumn="0"/>
            <w:tcW w:w="714" w:type="pct"/>
            <w:vMerge/>
            <w:shd w:val="clear" w:color="auto" w:fill="FAE5D4"/>
          </w:tcPr>
          <w:p w14:paraId="62CA6BA8" w14:textId="77777777" w:rsidR="005901F0" w:rsidRPr="000F23E0" w:rsidRDefault="005901F0">
            <w:pPr>
              <w:pStyle w:val="TableTextLeft"/>
              <w:rPr>
                <w:rFonts w:eastAsia="Calibri"/>
                <w:b/>
                <w:bCs w:val="0"/>
                <w:color w:val="FFFFFF" w:themeColor="background1"/>
                <w:sz w:val="20"/>
              </w:rPr>
            </w:pPr>
          </w:p>
        </w:tc>
        <w:tc>
          <w:tcPr>
            <w:tcW w:w="551" w:type="pct"/>
            <w:vMerge/>
            <w:shd w:val="clear" w:color="auto" w:fill="FDF0E7"/>
          </w:tcPr>
          <w:p w14:paraId="6EF58924" w14:textId="77777777" w:rsidR="002E73D4" w:rsidRPr="000F23E0" w:rsidRDefault="002E73D4" w:rsidP="002E73D4">
            <w:pPr>
              <w:pStyle w:val="TableTextLeft"/>
              <w:ind w:left="-27"/>
              <w:cnfStyle w:val="000000000000" w:firstRow="0" w:lastRow="0" w:firstColumn="0" w:lastColumn="0" w:oddVBand="0" w:evenVBand="0" w:oddHBand="0" w:evenHBand="0" w:firstRowFirstColumn="0" w:firstRowLastColumn="0" w:lastRowFirstColumn="0" w:lastRowLastColumn="0"/>
            </w:pPr>
          </w:p>
        </w:tc>
        <w:tc>
          <w:tcPr>
            <w:tcW w:w="811" w:type="pct"/>
            <w:vMerge w:val="restart"/>
            <w:shd w:val="clear" w:color="auto" w:fill="FEFAF8"/>
          </w:tcPr>
          <w:p w14:paraId="0A90FCBA" w14:textId="08D8A1D3" w:rsidR="005901F0" w:rsidRPr="000F23E0" w:rsidRDefault="00B6225D" w:rsidP="00844F4F">
            <w:pPr>
              <w:pStyle w:val="TableTextLeft"/>
              <w:ind w:left="-27"/>
              <w:cnfStyle w:val="000000000000" w:firstRow="0" w:lastRow="0" w:firstColumn="0" w:lastColumn="0" w:oddVBand="0" w:evenVBand="0" w:oddHBand="0" w:evenHBand="0" w:firstRowFirstColumn="0" w:firstRowLastColumn="0" w:lastRowFirstColumn="0" w:lastRowLastColumn="0"/>
              <w:rPr>
                <w:rFonts w:eastAsia="Calibri"/>
              </w:rPr>
            </w:pPr>
            <w:r w:rsidRPr="000F23E0">
              <w:t>Electric bus charging infrastructure</w:t>
            </w:r>
          </w:p>
        </w:tc>
        <w:tc>
          <w:tcPr>
            <w:tcW w:w="1316" w:type="pct"/>
            <w:shd w:val="clear" w:color="auto" w:fill="FEFAF8"/>
          </w:tcPr>
          <w:p w14:paraId="19C8F336" w14:textId="696EFCBC" w:rsidR="00DE6F4F" w:rsidRPr="000F23E0" w:rsidRDefault="00DE6F4F" w:rsidP="00A559F3">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0F23E0">
              <w:rPr>
                <w:rFonts w:eastAsia="Calibri"/>
              </w:rPr>
              <w:t>Number of electric bus chargers</w:t>
            </w:r>
            <w:r w:rsidR="00320E4E" w:rsidRPr="000F23E0">
              <w:rPr>
                <w:rFonts w:eastAsia="Calibri"/>
              </w:rPr>
              <w:t> </w:t>
            </w:r>
            <w:r w:rsidRPr="000F23E0">
              <w:rPr>
                <w:rFonts w:eastAsia="Calibri"/>
              </w:rPr>
              <w:t>installed</w:t>
            </w:r>
          </w:p>
        </w:tc>
        <w:tc>
          <w:tcPr>
            <w:tcW w:w="507" w:type="pct"/>
            <w:shd w:val="clear" w:color="auto" w:fill="FEFAF8"/>
          </w:tcPr>
          <w:p w14:paraId="12C23C50" w14:textId="76CB1701" w:rsidR="00DE6F4F" w:rsidRPr="000F23E0" w:rsidRDefault="00DE6F4F" w:rsidP="00905F10">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0F23E0">
              <w:t>16</w:t>
            </w:r>
          </w:p>
        </w:tc>
        <w:tc>
          <w:tcPr>
            <w:tcW w:w="354" w:type="pct"/>
            <w:shd w:val="clear" w:color="auto" w:fill="FEFAF8"/>
          </w:tcPr>
          <w:p w14:paraId="68A6DA4D" w14:textId="683E866F" w:rsidR="005901F0" w:rsidRPr="000F23E0" w:rsidRDefault="00DE6F4F" w:rsidP="00844F4F">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0F23E0">
              <w:t>Recorded</w:t>
            </w:r>
          </w:p>
        </w:tc>
        <w:tc>
          <w:tcPr>
            <w:tcW w:w="747" w:type="pct"/>
            <w:shd w:val="clear" w:color="auto" w:fill="FEFAF8"/>
          </w:tcPr>
          <w:p w14:paraId="214F1537" w14:textId="2655FFE0" w:rsidR="005901F0" w:rsidRPr="000F23E0" w:rsidRDefault="00DE6F4F" w:rsidP="00844F4F">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0F23E0">
              <w:t>2024</w:t>
            </w:r>
            <w:r w:rsidR="00817D82" w:rsidRPr="000F23E0">
              <w:t>–</w:t>
            </w:r>
            <w:r w:rsidRPr="000F23E0">
              <w:t>25</w:t>
            </w:r>
          </w:p>
        </w:tc>
      </w:tr>
      <w:tr w:rsidR="00320E4E" w:rsidRPr="000F23E0" w14:paraId="57CDDFD4" w14:textId="0F36B9BE" w:rsidTr="00740BA0">
        <w:trPr>
          <w:trHeight w:val="100"/>
        </w:trPr>
        <w:tc>
          <w:tcPr>
            <w:cnfStyle w:val="001000000000" w:firstRow="0" w:lastRow="0" w:firstColumn="1" w:lastColumn="0" w:oddVBand="0" w:evenVBand="0" w:oddHBand="0" w:evenHBand="0" w:firstRowFirstColumn="0" w:firstRowLastColumn="0" w:lastRowFirstColumn="0" w:lastRowLastColumn="0"/>
            <w:tcW w:w="714" w:type="pct"/>
            <w:vMerge/>
            <w:shd w:val="clear" w:color="auto" w:fill="FAE5D4"/>
          </w:tcPr>
          <w:p w14:paraId="1E80AEDC" w14:textId="77777777" w:rsidR="005901F0" w:rsidRPr="000F23E0" w:rsidRDefault="005901F0">
            <w:pPr>
              <w:pStyle w:val="TableTextLeft"/>
              <w:rPr>
                <w:rFonts w:eastAsia="Calibri"/>
                <w:b/>
                <w:bCs w:val="0"/>
                <w:color w:val="FFFFFF" w:themeColor="background1"/>
                <w:sz w:val="20"/>
              </w:rPr>
            </w:pPr>
          </w:p>
        </w:tc>
        <w:tc>
          <w:tcPr>
            <w:tcW w:w="551" w:type="pct"/>
            <w:vMerge/>
            <w:shd w:val="clear" w:color="auto" w:fill="FDF0E7"/>
          </w:tcPr>
          <w:p w14:paraId="0606F190" w14:textId="77777777" w:rsidR="002E73D4" w:rsidRPr="000F23E0" w:rsidRDefault="002E73D4" w:rsidP="002E73D4">
            <w:pPr>
              <w:pStyle w:val="TableTextLeft"/>
              <w:cnfStyle w:val="000000000000" w:firstRow="0" w:lastRow="0" w:firstColumn="0" w:lastColumn="0" w:oddVBand="0" w:evenVBand="0" w:oddHBand="0" w:evenHBand="0" w:firstRowFirstColumn="0" w:firstRowLastColumn="0" w:lastRowFirstColumn="0" w:lastRowLastColumn="0"/>
            </w:pPr>
          </w:p>
        </w:tc>
        <w:tc>
          <w:tcPr>
            <w:tcW w:w="811" w:type="pct"/>
            <w:vMerge/>
            <w:shd w:val="clear" w:color="auto" w:fill="FEFAF8"/>
          </w:tcPr>
          <w:p w14:paraId="49C0F135" w14:textId="77777777" w:rsidR="005901F0" w:rsidRPr="000F23E0" w:rsidRDefault="005901F0">
            <w:pPr>
              <w:pStyle w:val="TableTextLeft"/>
              <w:cnfStyle w:val="000000000000" w:firstRow="0" w:lastRow="0" w:firstColumn="0" w:lastColumn="0" w:oddVBand="0" w:evenVBand="0" w:oddHBand="0" w:evenHBand="0" w:firstRowFirstColumn="0" w:firstRowLastColumn="0" w:lastRowFirstColumn="0" w:lastRowLastColumn="0"/>
            </w:pPr>
          </w:p>
        </w:tc>
        <w:tc>
          <w:tcPr>
            <w:tcW w:w="1316" w:type="pct"/>
            <w:shd w:val="clear" w:color="auto" w:fill="FEFAF8"/>
          </w:tcPr>
          <w:p w14:paraId="11F82636" w14:textId="1E4CA615" w:rsidR="00DE6F4F" w:rsidRPr="000F23E0" w:rsidRDefault="00DE6F4F" w:rsidP="00A559F3">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0F23E0">
              <w:t>Emissions avoided (kt CO</w:t>
            </w:r>
            <w:r w:rsidRPr="000F23E0">
              <w:rPr>
                <w:vertAlign w:val="subscript"/>
              </w:rPr>
              <w:t>2</w:t>
            </w:r>
            <w:r w:rsidRPr="000F23E0">
              <w:t>-e p.a.)</w:t>
            </w:r>
          </w:p>
        </w:tc>
        <w:tc>
          <w:tcPr>
            <w:tcW w:w="507" w:type="pct"/>
            <w:shd w:val="clear" w:color="auto" w:fill="FEFAF8"/>
          </w:tcPr>
          <w:p w14:paraId="71648E85" w14:textId="1A85E801" w:rsidR="00DE6F4F" w:rsidRPr="000F23E0" w:rsidRDefault="003279A2" w:rsidP="00DE6F4F">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0F23E0">
              <w:rPr>
                <w:szCs w:val="18"/>
              </w:rPr>
              <w:t>0.</w:t>
            </w:r>
            <w:r w:rsidR="00DE6F4F" w:rsidRPr="000F23E0">
              <w:rPr>
                <w:szCs w:val="18"/>
              </w:rPr>
              <w:t>440</w:t>
            </w:r>
          </w:p>
        </w:tc>
        <w:tc>
          <w:tcPr>
            <w:tcW w:w="354" w:type="pct"/>
            <w:shd w:val="clear" w:color="auto" w:fill="FEFAF8"/>
          </w:tcPr>
          <w:p w14:paraId="30166F2C" w14:textId="2E22E56F" w:rsidR="005901F0" w:rsidRPr="000F23E0" w:rsidRDefault="00DE6F4F" w:rsidP="00844F4F">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0F23E0">
              <w:t>Recorded</w:t>
            </w:r>
          </w:p>
        </w:tc>
        <w:tc>
          <w:tcPr>
            <w:tcW w:w="747" w:type="pct"/>
            <w:shd w:val="clear" w:color="auto" w:fill="FEFAF8"/>
          </w:tcPr>
          <w:p w14:paraId="41806D90" w14:textId="1FAFFBB2" w:rsidR="005901F0" w:rsidRPr="000F23E0" w:rsidRDefault="00DE6F4F" w:rsidP="00844F4F">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0F23E0">
              <w:rPr>
                <w:szCs w:val="18"/>
              </w:rPr>
              <w:t>2024</w:t>
            </w:r>
            <w:r w:rsidRPr="000F23E0">
              <w:t>–</w:t>
            </w:r>
            <w:r w:rsidRPr="000F23E0">
              <w:rPr>
                <w:szCs w:val="18"/>
              </w:rPr>
              <w:t>25</w:t>
            </w:r>
          </w:p>
        </w:tc>
      </w:tr>
      <w:tr w:rsidR="00320E4E" w:rsidRPr="000F23E0" w14:paraId="6BF8A505" w14:textId="59AC1C43" w:rsidTr="00740BA0">
        <w:trPr>
          <w:trHeight w:val="300"/>
        </w:trPr>
        <w:tc>
          <w:tcPr>
            <w:cnfStyle w:val="001000000000" w:firstRow="0" w:lastRow="0" w:firstColumn="1" w:lastColumn="0" w:oddVBand="0" w:evenVBand="0" w:oddHBand="0" w:evenHBand="0" w:firstRowFirstColumn="0" w:firstRowLastColumn="0" w:lastRowFirstColumn="0" w:lastRowLastColumn="0"/>
            <w:tcW w:w="714" w:type="pct"/>
            <w:shd w:val="clear" w:color="auto" w:fill="FAE5D4"/>
          </w:tcPr>
          <w:p w14:paraId="094512B4" w14:textId="77777777" w:rsidR="005901F0" w:rsidRPr="000F23E0" w:rsidRDefault="005901F0" w:rsidP="00A72FA0">
            <w:pPr>
              <w:pStyle w:val="TableColumnHeadingLeft"/>
              <w:rPr>
                <w:rFonts w:eastAsia="Calibri"/>
              </w:rPr>
            </w:pPr>
            <w:r w:rsidRPr="000F23E0">
              <w:rPr>
                <w:rFonts w:eastAsia="Calibri"/>
              </w:rPr>
              <w:lastRenderedPageBreak/>
              <w:t>Climate change adaptation</w:t>
            </w:r>
          </w:p>
        </w:tc>
        <w:tc>
          <w:tcPr>
            <w:tcW w:w="551" w:type="pct"/>
            <w:shd w:val="clear" w:color="auto" w:fill="FDF0E7"/>
          </w:tcPr>
          <w:p w14:paraId="5BD1AE22" w14:textId="56B265CE" w:rsidR="002E73D4" w:rsidRPr="000F23E0" w:rsidRDefault="002E73D4" w:rsidP="001A0ABB">
            <w:pPr>
              <w:pStyle w:val="TableColumnHeadingLeft"/>
              <w:cnfStyle w:val="000000000000" w:firstRow="0" w:lastRow="0" w:firstColumn="0" w:lastColumn="0" w:oddVBand="0" w:evenVBand="0" w:oddHBand="0" w:evenHBand="0" w:firstRowFirstColumn="0" w:firstRowLastColumn="0" w:lastRowFirstColumn="0" w:lastRowLastColumn="0"/>
              <w:rPr>
                <w:rFonts w:eastAsia="Calibri"/>
              </w:rPr>
            </w:pPr>
            <w:r w:rsidRPr="000F23E0">
              <w:rPr>
                <w:rFonts w:eastAsia="Calibri"/>
              </w:rPr>
              <w:t>Climate change adaptation</w:t>
            </w:r>
          </w:p>
        </w:tc>
        <w:tc>
          <w:tcPr>
            <w:tcW w:w="811" w:type="pct"/>
            <w:shd w:val="clear" w:color="auto" w:fill="FEFAF8"/>
          </w:tcPr>
          <w:p w14:paraId="39EB3A8A" w14:textId="77777777" w:rsidR="005901F0" w:rsidRPr="000F23E0" w:rsidRDefault="005901F0">
            <w:pPr>
              <w:pStyle w:val="TableTextLeft"/>
              <w:cnfStyle w:val="000000000000" w:firstRow="0" w:lastRow="0" w:firstColumn="0" w:lastColumn="0" w:oddVBand="0" w:evenVBand="0" w:oddHBand="0" w:evenHBand="0" w:firstRowFirstColumn="0" w:firstRowLastColumn="0" w:lastRowFirstColumn="0" w:lastRowLastColumn="0"/>
              <w:rPr>
                <w:rFonts w:eastAsia="Calibri"/>
                <w:bCs/>
              </w:rPr>
            </w:pPr>
            <w:r w:rsidRPr="000F23E0">
              <w:rPr>
                <w:rFonts w:eastAsia="Calibri"/>
                <w:bCs/>
              </w:rPr>
              <w:t xml:space="preserve">International Climate Finance </w:t>
            </w:r>
          </w:p>
        </w:tc>
        <w:tc>
          <w:tcPr>
            <w:tcW w:w="1316" w:type="pct"/>
            <w:shd w:val="clear" w:color="auto" w:fill="FEFAF8"/>
          </w:tcPr>
          <w:p w14:paraId="755A1BF7" w14:textId="77FC167B" w:rsidR="00176011" w:rsidRPr="000F23E0" w:rsidRDefault="00176011" w:rsidP="00A559F3">
            <w:pPr>
              <w:pStyle w:val="TableTextLeft"/>
              <w:cnfStyle w:val="000000000000" w:firstRow="0" w:lastRow="0" w:firstColumn="0" w:lastColumn="0" w:oddVBand="0" w:evenVBand="0" w:oddHBand="0" w:evenHBand="0" w:firstRowFirstColumn="0" w:firstRowLastColumn="0" w:lastRowFirstColumn="0" w:lastRowLastColumn="0"/>
              <w:rPr>
                <w:rFonts w:eastAsia="Calibri"/>
                <w:bCs/>
              </w:rPr>
            </w:pPr>
            <w:r w:rsidRPr="000F23E0">
              <w:rPr>
                <w:rFonts w:eastAsia="Calibri"/>
                <w:bCs/>
              </w:rPr>
              <w:t>Number of bilateral, regional and multilateral investments financed for environmental protection, biodiversity conservation and climate protection</w:t>
            </w:r>
          </w:p>
        </w:tc>
        <w:tc>
          <w:tcPr>
            <w:tcW w:w="507" w:type="pct"/>
            <w:shd w:val="clear" w:color="auto" w:fill="FEFAF8"/>
          </w:tcPr>
          <w:p w14:paraId="15571BFC" w14:textId="41EE9D36" w:rsidR="00176011" w:rsidRPr="000F23E0" w:rsidRDefault="00176011" w:rsidP="00905F10">
            <w:pPr>
              <w:pStyle w:val="TableTextLeft"/>
              <w:cnfStyle w:val="000000000000" w:firstRow="0" w:lastRow="0" w:firstColumn="0" w:lastColumn="0" w:oddVBand="0" w:evenVBand="0" w:oddHBand="0" w:evenHBand="0" w:firstRowFirstColumn="0" w:firstRowLastColumn="0" w:lastRowFirstColumn="0" w:lastRowLastColumn="0"/>
              <w:rPr>
                <w:rFonts w:eastAsia="Calibri"/>
                <w:bCs/>
              </w:rPr>
            </w:pPr>
            <w:r w:rsidRPr="000F23E0">
              <w:rPr>
                <w:rFonts w:eastAsia="Calibri"/>
                <w:bCs/>
              </w:rPr>
              <w:t>21</w:t>
            </w:r>
          </w:p>
        </w:tc>
        <w:tc>
          <w:tcPr>
            <w:tcW w:w="354" w:type="pct"/>
            <w:shd w:val="clear" w:color="auto" w:fill="FEFAF8"/>
          </w:tcPr>
          <w:p w14:paraId="7978ECA0" w14:textId="474CB229" w:rsidR="005901F0" w:rsidRPr="000F23E0" w:rsidRDefault="00176011" w:rsidP="00844F4F">
            <w:pPr>
              <w:pStyle w:val="TableTextLeft"/>
              <w:cnfStyle w:val="000000000000" w:firstRow="0" w:lastRow="0" w:firstColumn="0" w:lastColumn="0" w:oddVBand="0" w:evenVBand="0" w:oddHBand="0" w:evenHBand="0" w:firstRowFirstColumn="0" w:firstRowLastColumn="0" w:lastRowFirstColumn="0" w:lastRowLastColumn="0"/>
              <w:rPr>
                <w:rFonts w:eastAsia="Calibri"/>
                <w:bCs/>
              </w:rPr>
            </w:pPr>
            <w:r w:rsidRPr="000F23E0">
              <w:rPr>
                <w:rFonts w:eastAsia="Calibri"/>
                <w:bCs/>
              </w:rPr>
              <w:t>Recorded</w:t>
            </w:r>
          </w:p>
        </w:tc>
        <w:tc>
          <w:tcPr>
            <w:tcW w:w="747" w:type="pct"/>
            <w:shd w:val="clear" w:color="auto" w:fill="FEFAF8"/>
          </w:tcPr>
          <w:p w14:paraId="3AC52143" w14:textId="0FC82199" w:rsidR="005901F0" w:rsidRPr="000F23E0" w:rsidRDefault="00176011" w:rsidP="00844F4F">
            <w:pPr>
              <w:pStyle w:val="TableTextLeft"/>
              <w:cnfStyle w:val="000000000000" w:firstRow="0" w:lastRow="0" w:firstColumn="0" w:lastColumn="0" w:oddVBand="0" w:evenVBand="0" w:oddHBand="0" w:evenHBand="0" w:firstRowFirstColumn="0" w:firstRowLastColumn="0" w:lastRowFirstColumn="0" w:lastRowLastColumn="0"/>
              <w:rPr>
                <w:rFonts w:eastAsia="Calibri"/>
                <w:bCs/>
              </w:rPr>
            </w:pPr>
            <w:r w:rsidRPr="000F23E0">
              <w:rPr>
                <w:rFonts w:eastAsia="Calibri"/>
                <w:bCs/>
              </w:rPr>
              <w:t>2024</w:t>
            </w:r>
            <w:r w:rsidR="00817D82" w:rsidRPr="000F23E0">
              <w:t>–</w:t>
            </w:r>
            <w:r w:rsidRPr="000F23E0">
              <w:rPr>
                <w:rFonts w:eastAsia="Calibri"/>
                <w:bCs/>
              </w:rPr>
              <w:t>25</w:t>
            </w:r>
          </w:p>
        </w:tc>
      </w:tr>
      <w:tr w:rsidR="00320E4E" w:rsidRPr="000F23E0" w14:paraId="30766690" w14:textId="5E8BEABA" w:rsidTr="00740BA0">
        <w:trPr>
          <w:trHeight w:val="300"/>
        </w:trPr>
        <w:tc>
          <w:tcPr>
            <w:cnfStyle w:val="001000000000" w:firstRow="0" w:lastRow="0" w:firstColumn="1" w:lastColumn="0" w:oddVBand="0" w:evenVBand="0" w:oddHBand="0" w:evenHBand="0" w:firstRowFirstColumn="0" w:firstRowLastColumn="0" w:lastRowFirstColumn="0" w:lastRowLastColumn="0"/>
            <w:tcW w:w="714" w:type="pct"/>
            <w:vMerge w:val="restart"/>
            <w:shd w:val="clear" w:color="auto" w:fill="FAE5D4"/>
          </w:tcPr>
          <w:p w14:paraId="3CDF96F2" w14:textId="77777777" w:rsidR="005901F0" w:rsidRPr="000F23E0" w:rsidRDefault="005901F0" w:rsidP="00A72FA0">
            <w:pPr>
              <w:pStyle w:val="TableColumnHeadingLeft"/>
              <w:rPr>
                <w:rFonts w:eastAsia="Calibri"/>
              </w:rPr>
            </w:pPr>
            <w:r w:rsidRPr="000F23E0">
              <w:rPr>
                <w:rFonts w:eastAsia="Calibri"/>
              </w:rPr>
              <w:t>Environmentally sustainable management of living natural resources and land use</w:t>
            </w:r>
          </w:p>
        </w:tc>
        <w:tc>
          <w:tcPr>
            <w:tcW w:w="551" w:type="pct"/>
            <w:vMerge w:val="restart"/>
            <w:shd w:val="clear" w:color="auto" w:fill="FDF0E7"/>
          </w:tcPr>
          <w:p w14:paraId="7118A426" w14:textId="60A27282" w:rsidR="002E73D4" w:rsidRPr="000F23E0" w:rsidRDefault="007E40F6" w:rsidP="001A0ABB">
            <w:pPr>
              <w:pStyle w:val="TableColumnHeadingLeft"/>
              <w:cnfStyle w:val="000000000000" w:firstRow="0" w:lastRow="0" w:firstColumn="0" w:lastColumn="0" w:oddVBand="0" w:evenVBand="0" w:oddHBand="0" w:evenHBand="0" w:firstRowFirstColumn="0" w:firstRowLastColumn="0" w:lastRowFirstColumn="0" w:lastRowLastColumn="0"/>
            </w:pPr>
            <w:r w:rsidRPr="000F23E0">
              <w:t>Improved Environmental Outcomes</w:t>
            </w:r>
          </w:p>
        </w:tc>
        <w:tc>
          <w:tcPr>
            <w:tcW w:w="811" w:type="pct"/>
            <w:vMerge w:val="restart"/>
            <w:shd w:val="clear" w:color="auto" w:fill="FEFAF8"/>
          </w:tcPr>
          <w:p w14:paraId="68AE8B91" w14:textId="44CDFFBE" w:rsidR="005901F0" w:rsidRPr="000F23E0" w:rsidRDefault="005901F0">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0F23E0">
              <w:t>Urban Rivers and Catchments</w:t>
            </w:r>
            <w:r w:rsidR="00320E4E" w:rsidRPr="000F23E0">
              <w:t> </w:t>
            </w:r>
            <w:r w:rsidRPr="000F23E0">
              <w:t>Program</w:t>
            </w:r>
          </w:p>
        </w:tc>
        <w:tc>
          <w:tcPr>
            <w:tcW w:w="1316" w:type="pct"/>
            <w:shd w:val="clear" w:color="auto" w:fill="FEFAF8"/>
            <w:vAlign w:val="center"/>
          </w:tcPr>
          <w:p w14:paraId="318C6174" w14:textId="5A228581" w:rsidR="00817D82" w:rsidRPr="000F23E0" w:rsidRDefault="00817D82" w:rsidP="00A559F3">
            <w:pPr>
              <w:pStyle w:val="TableTextLeft"/>
              <w:keepLines/>
              <w:cnfStyle w:val="000000000000" w:firstRow="0" w:lastRow="0" w:firstColumn="0" w:lastColumn="0" w:oddVBand="0" w:evenVBand="0" w:oddHBand="0" w:evenHBand="0" w:firstRowFirstColumn="0" w:firstRowLastColumn="0" w:lastRowFirstColumn="0" w:lastRowLastColumn="0"/>
              <w:rPr>
                <w:rFonts w:eastAsia="Calibri"/>
              </w:rPr>
            </w:pPr>
            <w:r w:rsidRPr="000F23E0">
              <w:t>No. of EPBC-listed species benefited</w:t>
            </w:r>
          </w:p>
        </w:tc>
        <w:tc>
          <w:tcPr>
            <w:tcW w:w="507" w:type="pct"/>
            <w:shd w:val="clear" w:color="auto" w:fill="FEFAF8"/>
            <w:vAlign w:val="center"/>
          </w:tcPr>
          <w:p w14:paraId="03F877C8" w14:textId="7ED67D3C" w:rsidR="00817D82" w:rsidRPr="000F23E0" w:rsidRDefault="00817D82" w:rsidP="00905F10">
            <w:pPr>
              <w:pStyle w:val="TableTextLeft"/>
              <w:keepLines/>
              <w:cnfStyle w:val="000000000000" w:firstRow="0" w:lastRow="0" w:firstColumn="0" w:lastColumn="0" w:oddVBand="0" w:evenVBand="0" w:oddHBand="0" w:evenHBand="0" w:firstRowFirstColumn="0" w:firstRowLastColumn="0" w:lastRowFirstColumn="0" w:lastRowLastColumn="0"/>
              <w:rPr>
                <w:rFonts w:eastAsia="Calibri"/>
              </w:rPr>
            </w:pPr>
            <w:r w:rsidRPr="000F23E0">
              <w:t>76</w:t>
            </w:r>
          </w:p>
        </w:tc>
        <w:tc>
          <w:tcPr>
            <w:tcW w:w="354" w:type="pct"/>
            <w:shd w:val="clear" w:color="auto" w:fill="FEFAF8"/>
            <w:vAlign w:val="center"/>
          </w:tcPr>
          <w:p w14:paraId="7E5CCB34" w14:textId="058F7158" w:rsidR="005901F0" w:rsidRPr="000F23E0" w:rsidRDefault="00817D82" w:rsidP="003D756C">
            <w:pPr>
              <w:pStyle w:val="TableTextLeft"/>
              <w:keepLines/>
              <w:cnfStyle w:val="000000000000" w:firstRow="0" w:lastRow="0" w:firstColumn="0" w:lastColumn="0" w:oddVBand="0" w:evenVBand="0" w:oddHBand="0" w:evenHBand="0" w:firstRowFirstColumn="0" w:firstRowLastColumn="0" w:lastRowFirstColumn="0" w:lastRowLastColumn="0"/>
              <w:rPr>
                <w:rFonts w:eastAsia="Calibri"/>
                <w:bCs/>
              </w:rPr>
            </w:pPr>
            <w:r w:rsidRPr="000F23E0">
              <w:t>Projected</w:t>
            </w:r>
          </w:p>
        </w:tc>
        <w:tc>
          <w:tcPr>
            <w:tcW w:w="747" w:type="pct"/>
            <w:shd w:val="clear" w:color="auto" w:fill="FEFAF8"/>
            <w:vAlign w:val="center"/>
          </w:tcPr>
          <w:p w14:paraId="38B8D662" w14:textId="21C1ECE3" w:rsidR="005901F0" w:rsidRPr="000F23E0" w:rsidRDefault="00817D82" w:rsidP="003D756C">
            <w:pPr>
              <w:pStyle w:val="TableTextLeft"/>
              <w:keepLines/>
              <w:cnfStyle w:val="000000000000" w:firstRow="0" w:lastRow="0" w:firstColumn="0" w:lastColumn="0" w:oddVBand="0" w:evenVBand="0" w:oddHBand="0" w:evenHBand="0" w:firstRowFirstColumn="0" w:firstRowLastColumn="0" w:lastRowFirstColumn="0" w:lastRowLastColumn="0"/>
              <w:rPr>
                <w:rFonts w:eastAsia="Calibri"/>
                <w:bCs/>
              </w:rPr>
            </w:pPr>
            <w:r w:rsidRPr="000F23E0">
              <w:t>2025–June 2028</w:t>
            </w:r>
          </w:p>
        </w:tc>
      </w:tr>
      <w:tr w:rsidR="00320E4E" w:rsidRPr="000F23E0" w14:paraId="0833929D" w14:textId="4B0EB5A5" w:rsidTr="00740BA0">
        <w:trPr>
          <w:trHeight w:val="245"/>
        </w:trPr>
        <w:tc>
          <w:tcPr>
            <w:cnfStyle w:val="001000000000" w:firstRow="0" w:lastRow="0" w:firstColumn="1" w:lastColumn="0" w:oddVBand="0" w:evenVBand="0" w:oddHBand="0" w:evenHBand="0" w:firstRowFirstColumn="0" w:firstRowLastColumn="0" w:lastRowFirstColumn="0" w:lastRowLastColumn="0"/>
            <w:tcW w:w="714" w:type="pct"/>
            <w:vMerge/>
            <w:shd w:val="clear" w:color="auto" w:fill="FAE5D4"/>
          </w:tcPr>
          <w:p w14:paraId="68492140" w14:textId="77777777" w:rsidR="005901F0" w:rsidRPr="000F23E0" w:rsidRDefault="005901F0" w:rsidP="00A72FA0">
            <w:pPr>
              <w:pStyle w:val="TableColumnHeadingLeft"/>
              <w:rPr>
                <w:rFonts w:eastAsia="Calibri"/>
              </w:rPr>
            </w:pPr>
          </w:p>
        </w:tc>
        <w:tc>
          <w:tcPr>
            <w:tcW w:w="551" w:type="pct"/>
            <w:vMerge/>
            <w:shd w:val="clear" w:color="auto" w:fill="FDF0E7"/>
          </w:tcPr>
          <w:p w14:paraId="4E0ED119" w14:textId="77777777" w:rsidR="002E73D4" w:rsidRPr="000F23E0" w:rsidRDefault="002E73D4" w:rsidP="001A0ABB">
            <w:pPr>
              <w:pStyle w:val="TableColumnHeadingLeft"/>
              <w:cnfStyle w:val="000000000000" w:firstRow="0" w:lastRow="0" w:firstColumn="0" w:lastColumn="0" w:oddVBand="0" w:evenVBand="0" w:oddHBand="0" w:evenHBand="0" w:firstRowFirstColumn="0" w:firstRowLastColumn="0" w:lastRowFirstColumn="0" w:lastRowLastColumn="0"/>
            </w:pPr>
          </w:p>
        </w:tc>
        <w:tc>
          <w:tcPr>
            <w:tcW w:w="811" w:type="pct"/>
            <w:vMerge/>
            <w:shd w:val="clear" w:color="auto" w:fill="FEFAF8"/>
          </w:tcPr>
          <w:p w14:paraId="588D8D2F" w14:textId="77777777" w:rsidR="005901F0" w:rsidRPr="000F23E0" w:rsidRDefault="005901F0">
            <w:pPr>
              <w:pStyle w:val="TableTextLeft"/>
              <w:cnfStyle w:val="000000000000" w:firstRow="0" w:lastRow="0" w:firstColumn="0" w:lastColumn="0" w:oddVBand="0" w:evenVBand="0" w:oddHBand="0" w:evenHBand="0" w:firstRowFirstColumn="0" w:firstRowLastColumn="0" w:lastRowFirstColumn="0" w:lastRowLastColumn="0"/>
            </w:pPr>
          </w:p>
        </w:tc>
        <w:tc>
          <w:tcPr>
            <w:tcW w:w="1316" w:type="pct"/>
            <w:shd w:val="clear" w:color="auto" w:fill="FEFAF8"/>
            <w:vAlign w:val="center"/>
          </w:tcPr>
          <w:p w14:paraId="0998B4EC" w14:textId="79687F1A" w:rsidR="00817D82" w:rsidRPr="000F23E0" w:rsidRDefault="00817D82" w:rsidP="00A559F3">
            <w:pPr>
              <w:pStyle w:val="TableTextLeft"/>
              <w:keepLines/>
              <w:cnfStyle w:val="000000000000" w:firstRow="0" w:lastRow="0" w:firstColumn="0" w:lastColumn="0" w:oddVBand="0" w:evenVBand="0" w:oddHBand="0" w:evenHBand="0" w:firstRowFirstColumn="0" w:firstRowLastColumn="0" w:lastRowFirstColumn="0" w:lastRowLastColumn="0"/>
              <w:rPr>
                <w:rFonts w:eastAsia="Calibri"/>
              </w:rPr>
            </w:pPr>
            <w:r w:rsidRPr="000F23E0">
              <w:t>No. of EPBC-listed Threatened Ecological Communities benefited</w:t>
            </w:r>
          </w:p>
        </w:tc>
        <w:tc>
          <w:tcPr>
            <w:tcW w:w="507" w:type="pct"/>
            <w:shd w:val="clear" w:color="auto" w:fill="FEFAF8"/>
            <w:vAlign w:val="center"/>
          </w:tcPr>
          <w:p w14:paraId="1BA54DD1" w14:textId="5D6F60A8" w:rsidR="00817D82" w:rsidRPr="000F23E0" w:rsidRDefault="00817D82" w:rsidP="00905F10">
            <w:pPr>
              <w:pStyle w:val="TableTextLeft"/>
              <w:keepLines/>
              <w:cnfStyle w:val="000000000000" w:firstRow="0" w:lastRow="0" w:firstColumn="0" w:lastColumn="0" w:oddVBand="0" w:evenVBand="0" w:oddHBand="0" w:evenHBand="0" w:firstRowFirstColumn="0" w:firstRowLastColumn="0" w:lastRowFirstColumn="0" w:lastRowLastColumn="0"/>
              <w:rPr>
                <w:rFonts w:eastAsia="Calibri"/>
              </w:rPr>
            </w:pPr>
            <w:r w:rsidRPr="000F23E0">
              <w:t>19</w:t>
            </w:r>
          </w:p>
        </w:tc>
        <w:tc>
          <w:tcPr>
            <w:tcW w:w="354" w:type="pct"/>
            <w:shd w:val="clear" w:color="auto" w:fill="FEFAF8"/>
            <w:vAlign w:val="center"/>
          </w:tcPr>
          <w:p w14:paraId="4B1172EB" w14:textId="14DBE47A" w:rsidR="005901F0" w:rsidRPr="000F23E0" w:rsidRDefault="00817D82" w:rsidP="003D756C">
            <w:pPr>
              <w:pStyle w:val="TableTextLeft"/>
              <w:keepLines/>
              <w:cnfStyle w:val="000000000000" w:firstRow="0" w:lastRow="0" w:firstColumn="0" w:lastColumn="0" w:oddVBand="0" w:evenVBand="0" w:oddHBand="0" w:evenHBand="0" w:firstRowFirstColumn="0" w:firstRowLastColumn="0" w:lastRowFirstColumn="0" w:lastRowLastColumn="0"/>
              <w:rPr>
                <w:rFonts w:eastAsia="Calibri"/>
                <w:bCs/>
              </w:rPr>
            </w:pPr>
            <w:r w:rsidRPr="000F23E0">
              <w:t>Projected</w:t>
            </w:r>
          </w:p>
        </w:tc>
        <w:tc>
          <w:tcPr>
            <w:tcW w:w="747" w:type="pct"/>
            <w:shd w:val="clear" w:color="auto" w:fill="FEFAF8"/>
            <w:vAlign w:val="center"/>
          </w:tcPr>
          <w:p w14:paraId="0E5B6B43" w14:textId="59C1CF8E" w:rsidR="005901F0" w:rsidRPr="000F23E0" w:rsidRDefault="00817D82" w:rsidP="003D756C">
            <w:pPr>
              <w:pStyle w:val="TableTextLeft"/>
              <w:keepLines/>
              <w:cnfStyle w:val="000000000000" w:firstRow="0" w:lastRow="0" w:firstColumn="0" w:lastColumn="0" w:oddVBand="0" w:evenVBand="0" w:oddHBand="0" w:evenHBand="0" w:firstRowFirstColumn="0" w:firstRowLastColumn="0" w:lastRowFirstColumn="0" w:lastRowLastColumn="0"/>
              <w:rPr>
                <w:rFonts w:eastAsia="Calibri"/>
                <w:bCs/>
              </w:rPr>
            </w:pPr>
            <w:r w:rsidRPr="000F23E0">
              <w:t>2025–June 2028</w:t>
            </w:r>
          </w:p>
        </w:tc>
      </w:tr>
      <w:tr w:rsidR="00320E4E" w:rsidRPr="000F23E0" w14:paraId="490A90D2" w14:textId="16782057" w:rsidTr="00740BA0">
        <w:trPr>
          <w:trHeight w:val="245"/>
        </w:trPr>
        <w:tc>
          <w:tcPr>
            <w:cnfStyle w:val="001000000000" w:firstRow="0" w:lastRow="0" w:firstColumn="1" w:lastColumn="0" w:oddVBand="0" w:evenVBand="0" w:oddHBand="0" w:evenHBand="0" w:firstRowFirstColumn="0" w:firstRowLastColumn="0" w:lastRowFirstColumn="0" w:lastRowLastColumn="0"/>
            <w:tcW w:w="714" w:type="pct"/>
            <w:vMerge/>
            <w:shd w:val="clear" w:color="auto" w:fill="FAE5D4"/>
          </w:tcPr>
          <w:p w14:paraId="3D8C3A79" w14:textId="77777777" w:rsidR="005901F0" w:rsidRPr="000F23E0" w:rsidRDefault="005901F0" w:rsidP="00A72FA0">
            <w:pPr>
              <w:pStyle w:val="TableColumnHeadingLeft"/>
              <w:rPr>
                <w:rFonts w:eastAsia="Calibri"/>
              </w:rPr>
            </w:pPr>
          </w:p>
        </w:tc>
        <w:tc>
          <w:tcPr>
            <w:tcW w:w="551" w:type="pct"/>
            <w:vMerge/>
            <w:shd w:val="clear" w:color="auto" w:fill="FDF0E7"/>
          </w:tcPr>
          <w:p w14:paraId="0F9F2EA7" w14:textId="77777777" w:rsidR="002E73D4" w:rsidRPr="000F23E0" w:rsidRDefault="002E73D4" w:rsidP="001A0ABB">
            <w:pPr>
              <w:pStyle w:val="TableColumnHeadingLeft"/>
              <w:cnfStyle w:val="000000000000" w:firstRow="0" w:lastRow="0" w:firstColumn="0" w:lastColumn="0" w:oddVBand="0" w:evenVBand="0" w:oddHBand="0" w:evenHBand="0" w:firstRowFirstColumn="0" w:firstRowLastColumn="0" w:lastRowFirstColumn="0" w:lastRowLastColumn="0"/>
            </w:pPr>
          </w:p>
        </w:tc>
        <w:tc>
          <w:tcPr>
            <w:tcW w:w="811" w:type="pct"/>
            <w:vMerge/>
            <w:shd w:val="clear" w:color="auto" w:fill="FEFAF8"/>
          </w:tcPr>
          <w:p w14:paraId="47ABF897" w14:textId="77777777" w:rsidR="005901F0" w:rsidRPr="000F23E0" w:rsidRDefault="005901F0">
            <w:pPr>
              <w:pStyle w:val="TableTextLeft"/>
              <w:cnfStyle w:val="000000000000" w:firstRow="0" w:lastRow="0" w:firstColumn="0" w:lastColumn="0" w:oddVBand="0" w:evenVBand="0" w:oddHBand="0" w:evenHBand="0" w:firstRowFirstColumn="0" w:firstRowLastColumn="0" w:lastRowFirstColumn="0" w:lastRowLastColumn="0"/>
            </w:pPr>
          </w:p>
        </w:tc>
        <w:tc>
          <w:tcPr>
            <w:tcW w:w="1316" w:type="pct"/>
            <w:shd w:val="clear" w:color="auto" w:fill="FEFAF8"/>
            <w:vAlign w:val="center"/>
          </w:tcPr>
          <w:p w14:paraId="2A6261CF" w14:textId="0C34C051" w:rsidR="00817D82" w:rsidRPr="000F23E0" w:rsidRDefault="00817D82" w:rsidP="00A559F3">
            <w:pPr>
              <w:pStyle w:val="TableTextLeft"/>
              <w:keepLines/>
              <w:cnfStyle w:val="000000000000" w:firstRow="0" w:lastRow="0" w:firstColumn="0" w:lastColumn="0" w:oddVBand="0" w:evenVBand="0" w:oddHBand="0" w:evenHBand="0" w:firstRowFirstColumn="0" w:firstRowLastColumn="0" w:lastRowFirstColumn="0" w:lastRowLastColumn="0"/>
              <w:rPr>
                <w:rFonts w:eastAsia="Calibri"/>
              </w:rPr>
            </w:pPr>
            <w:r w:rsidRPr="000F23E0">
              <w:t>No. of Ramsar-listed wetlands</w:t>
            </w:r>
            <w:r w:rsidR="00320E4E" w:rsidRPr="000F23E0">
              <w:t> </w:t>
            </w:r>
            <w:r w:rsidRPr="000F23E0">
              <w:t>benefited</w:t>
            </w:r>
          </w:p>
        </w:tc>
        <w:tc>
          <w:tcPr>
            <w:tcW w:w="507" w:type="pct"/>
            <w:shd w:val="clear" w:color="auto" w:fill="FEFAF8"/>
            <w:vAlign w:val="center"/>
          </w:tcPr>
          <w:p w14:paraId="00A8FEC7" w14:textId="62833876" w:rsidR="00817D82" w:rsidRPr="000F23E0" w:rsidRDefault="00817D82" w:rsidP="00905F10">
            <w:pPr>
              <w:pStyle w:val="TableTextLeft"/>
              <w:keepLines/>
              <w:cnfStyle w:val="000000000000" w:firstRow="0" w:lastRow="0" w:firstColumn="0" w:lastColumn="0" w:oddVBand="0" w:evenVBand="0" w:oddHBand="0" w:evenHBand="0" w:firstRowFirstColumn="0" w:firstRowLastColumn="0" w:lastRowFirstColumn="0" w:lastRowLastColumn="0"/>
              <w:rPr>
                <w:rFonts w:eastAsia="Calibri"/>
              </w:rPr>
            </w:pPr>
            <w:r w:rsidRPr="000F23E0">
              <w:t>9</w:t>
            </w:r>
          </w:p>
        </w:tc>
        <w:tc>
          <w:tcPr>
            <w:tcW w:w="354" w:type="pct"/>
            <w:shd w:val="clear" w:color="auto" w:fill="FEFAF8"/>
            <w:vAlign w:val="center"/>
          </w:tcPr>
          <w:p w14:paraId="1799A28D" w14:textId="5F19EF77" w:rsidR="005901F0" w:rsidRPr="000F23E0" w:rsidRDefault="00817D82" w:rsidP="003D756C">
            <w:pPr>
              <w:pStyle w:val="TableTextLeft"/>
              <w:keepLines/>
              <w:cnfStyle w:val="000000000000" w:firstRow="0" w:lastRow="0" w:firstColumn="0" w:lastColumn="0" w:oddVBand="0" w:evenVBand="0" w:oddHBand="0" w:evenHBand="0" w:firstRowFirstColumn="0" w:firstRowLastColumn="0" w:lastRowFirstColumn="0" w:lastRowLastColumn="0"/>
              <w:rPr>
                <w:rFonts w:eastAsia="Calibri"/>
                <w:bCs/>
              </w:rPr>
            </w:pPr>
            <w:r w:rsidRPr="000F23E0">
              <w:t>Projected</w:t>
            </w:r>
          </w:p>
        </w:tc>
        <w:tc>
          <w:tcPr>
            <w:tcW w:w="747" w:type="pct"/>
            <w:shd w:val="clear" w:color="auto" w:fill="FEFAF8"/>
            <w:vAlign w:val="center"/>
          </w:tcPr>
          <w:p w14:paraId="197D60AE" w14:textId="300FF4C7" w:rsidR="005901F0" w:rsidRPr="000F23E0" w:rsidRDefault="00817D82" w:rsidP="003D756C">
            <w:pPr>
              <w:pStyle w:val="TableTextLeft"/>
              <w:keepLines/>
              <w:cnfStyle w:val="000000000000" w:firstRow="0" w:lastRow="0" w:firstColumn="0" w:lastColumn="0" w:oddVBand="0" w:evenVBand="0" w:oddHBand="0" w:evenHBand="0" w:firstRowFirstColumn="0" w:firstRowLastColumn="0" w:lastRowFirstColumn="0" w:lastRowLastColumn="0"/>
              <w:rPr>
                <w:rFonts w:eastAsia="Calibri"/>
                <w:bCs/>
              </w:rPr>
            </w:pPr>
            <w:r w:rsidRPr="000F23E0">
              <w:t>2025–June 2028</w:t>
            </w:r>
          </w:p>
        </w:tc>
      </w:tr>
      <w:tr w:rsidR="00320E4E" w:rsidRPr="000F23E0" w14:paraId="30C48994" w14:textId="18F67ED2" w:rsidTr="00740BA0">
        <w:trPr>
          <w:trHeight w:val="175"/>
        </w:trPr>
        <w:tc>
          <w:tcPr>
            <w:cnfStyle w:val="001000000000" w:firstRow="0" w:lastRow="0" w:firstColumn="1" w:lastColumn="0" w:oddVBand="0" w:evenVBand="0" w:oddHBand="0" w:evenHBand="0" w:firstRowFirstColumn="0" w:firstRowLastColumn="0" w:lastRowFirstColumn="0" w:lastRowLastColumn="0"/>
            <w:tcW w:w="714" w:type="pct"/>
            <w:vMerge w:val="restart"/>
            <w:shd w:val="clear" w:color="auto" w:fill="FAE5D4"/>
          </w:tcPr>
          <w:p w14:paraId="49496EF7" w14:textId="77777777" w:rsidR="005901F0" w:rsidRPr="000F23E0" w:rsidRDefault="005901F0" w:rsidP="00A72FA0">
            <w:pPr>
              <w:pStyle w:val="TableColumnHeadingLeft"/>
              <w:rPr>
                <w:rFonts w:eastAsia="Calibri"/>
              </w:rPr>
            </w:pPr>
            <w:r w:rsidRPr="000F23E0">
              <w:rPr>
                <w:rFonts w:eastAsia="Calibri"/>
              </w:rPr>
              <w:t>Biodiversity conservation (terrestrial and aquatic)</w:t>
            </w:r>
          </w:p>
        </w:tc>
        <w:tc>
          <w:tcPr>
            <w:tcW w:w="551" w:type="pct"/>
            <w:vMerge w:val="restart"/>
            <w:shd w:val="clear" w:color="auto" w:fill="FDF0E7"/>
          </w:tcPr>
          <w:p w14:paraId="4E6DD10A" w14:textId="1EAB90B2" w:rsidR="002E73D4" w:rsidRPr="000F23E0" w:rsidRDefault="00320E4E" w:rsidP="001A0ABB">
            <w:pPr>
              <w:pStyle w:val="TableColumnHeadingLeft"/>
              <w:cnfStyle w:val="000000000000" w:firstRow="0" w:lastRow="0" w:firstColumn="0" w:lastColumn="0" w:oddVBand="0" w:evenVBand="0" w:oddHBand="0" w:evenHBand="0" w:firstRowFirstColumn="0" w:firstRowLastColumn="0" w:lastRowFirstColumn="0" w:lastRowLastColumn="0"/>
            </w:pPr>
            <w:r w:rsidRPr="000F23E0">
              <w:t>Improved Environmental Outcomes</w:t>
            </w:r>
          </w:p>
        </w:tc>
        <w:tc>
          <w:tcPr>
            <w:tcW w:w="811" w:type="pct"/>
            <w:vMerge w:val="restart"/>
            <w:shd w:val="clear" w:color="auto" w:fill="FEFAF8"/>
          </w:tcPr>
          <w:p w14:paraId="2132CC9A" w14:textId="77777777" w:rsidR="005901F0" w:rsidRPr="000F23E0" w:rsidRDefault="005901F0">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0F23E0">
              <w:t>Saving Koalas Fund</w:t>
            </w:r>
          </w:p>
        </w:tc>
        <w:tc>
          <w:tcPr>
            <w:tcW w:w="1316" w:type="pct"/>
            <w:shd w:val="clear" w:color="auto" w:fill="FEFAF8"/>
          </w:tcPr>
          <w:p w14:paraId="5B05A719" w14:textId="747EFCBF" w:rsidR="00817D82" w:rsidRPr="000F23E0" w:rsidRDefault="00817D82" w:rsidP="00A559F3">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0F23E0">
              <w:t>Number of grants made to community</w:t>
            </w:r>
            <w:r w:rsidR="00320E4E" w:rsidRPr="000F23E0">
              <w:t> </w:t>
            </w:r>
            <w:r w:rsidRPr="000F23E0">
              <w:t>organisations</w:t>
            </w:r>
          </w:p>
        </w:tc>
        <w:tc>
          <w:tcPr>
            <w:tcW w:w="507" w:type="pct"/>
            <w:shd w:val="clear" w:color="auto" w:fill="FEFAF8"/>
          </w:tcPr>
          <w:p w14:paraId="075A8A12" w14:textId="096DE691" w:rsidR="0098082C" w:rsidRPr="000F23E0" w:rsidRDefault="0098082C" w:rsidP="00905F10">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0F23E0">
              <w:t>59</w:t>
            </w:r>
          </w:p>
        </w:tc>
        <w:tc>
          <w:tcPr>
            <w:tcW w:w="354" w:type="pct"/>
            <w:shd w:val="clear" w:color="auto" w:fill="FEFAF8"/>
          </w:tcPr>
          <w:p w14:paraId="3F68D284" w14:textId="5832F4F5" w:rsidR="005901F0" w:rsidRPr="000F23E0" w:rsidRDefault="0098082C">
            <w:pPr>
              <w:pStyle w:val="TableTextLeft"/>
              <w:cnfStyle w:val="000000000000" w:firstRow="0" w:lastRow="0" w:firstColumn="0" w:lastColumn="0" w:oddVBand="0" w:evenVBand="0" w:oddHBand="0" w:evenHBand="0" w:firstRowFirstColumn="0" w:firstRowLastColumn="0" w:lastRowFirstColumn="0" w:lastRowLastColumn="0"/>
              <w:rPr>
                <w:rFonts w:eastAsia="Calibri"/>
                <w:bCs/>
              </w:rPr>
            </w:pPr>
            <w:r w:rsidRPr="000F23E0">
              <w:t>Recorded</w:t>
            </w:r>
          </w:p>
        </w:tc>
        <w:tc>
          <w:tcPr>
            <w:tcW w:w="747" w:type="pct"/>
            <w:shd w:val="clear" w:color="auto" w:fill="FEFAF8"/>
          </w:tcPr>
          <w:p w14:paraId="436C0180" w14:textId="35EC4242" w:rsidR="005901F0" w:rsidRPr="000F23E0" w:rsidRDefault="0098082C">
            <w:pPr>
              <w:pStyle w:val="TableTextLeft"/>
              <w:cnfStyle w:val="000000000000" w:firstRow="0" w:lastRow="0" w:firstColumn="0" w:lastColumn="0" w:oddVBand="0" w:evenVBand="0" w:oddHBand="0" w:evenHBand="0" w:firstRowFirstColumn="0" w:firstRowLastColumn="0" w:lastRowFirstColumn="0" w:lastRowLastColumn="0"/>
              <w:rPr>
                <w:rFonts w:eastAsia="Calibri"/>
                <w:bCs/>
              </w:rPr>
            </w:pPr>
            <w:r w:rsidRPr="000F23E0">
              <w:t>2022–2025</w:t>
            </w:r>
          </w:p>
        </w:tc>
      </w:tr>
      <w:tr w:rsidR="00320E4E" w:rsidRPr="000F23E0" w14:paraId="6DF85C03" w14:textId="254FDF03" w:rsidTr="00740BA0">
        <w:trPr>
          <w:trHeight w:val="175"/>
        </w:trPr>
        <w:tc>
          <w:tcPr>
            <w:cnfStyle w:val="001000000000" w:firstRow="0" w:lastRow="0" w:firstColumn="1" w:lastColumn="0" w:oddVBand="0" w:evenVBand="0" w:oddHBand="0" w:evenHBand="0" w:firstRowFirstColumn="0" w:firstRowLastColumn="0" w:lastRowFirstColumn="0" w:lastRowLastColumn="0"/>
            <w:tcW w:w="714" w:type="pct"/>
            <w:vMerge/>
            <w:shd w:val="clear" w:color="auto" w:fill="FAE5D4"/>
          </w:tcPr>
          <w:p w14:paraId="36886CE2" w14:textId="77777777" w:rsidR="005901F0" w:rsidRPr="000F23E0" w:rsidRDefault="005901F0">
            <w:pPr>
              <w:pStyle w:val="TableTextLeft"/>
              <w:rPr>
                <w:rFonts w:eastAsia="Calibri"/>
                <w:b/>
                <w:bCs w:val="0"/>
                <w:color w:val="FFFFFF" w:themeColor="background1"/>
                <w:sz w:val="20"/>
              </w:rPr>
            </w:pPr>
          </w:p>
        </w:tc>
        <w:tc>
          <w:tcPr>
            <w:tcW w:w="551" w:type="pct"/>
            <w:vMerge/>
            <w:shd w:val="clear" w:color="auto" w:fill="FDF0E7"/>
          </w:tcPr>
          <w:p w14:paraId="533E42D2" w14:textId="77777777" w:rsidR="002E73D4" w:rsidRPr="000F23E0" w:rsidRDefault="002E73D4" w:rsidP="002E73D4">
            <w:pPr>
              <w:pStyle w:val="TableTextLeft"/>
              <w:cnfStyle w:val="000000000000" w:firstRow="0" w:lastRow="0" w:firstColumn="0" w:lastColumn="0" w:oddVBand="0" w:evenVBand="0" w:oddHBand="0" w:evenHBand="0" w:firstRowFirstColumn="0" w:firstRowLastColumn="0" w:lastRowFirstColumn="0" w:lastRowLastColumn="0"/>
            </w:pPr>
          </w:p>
        </w:tc>
        <w:tc>
          <w:tcPr>
            <w:tcW w:w="811" w:type="pct"/>
            <w:vMerge/>
            <w:shd w:val="clear" w:color="auto" w:fill="FEFAF8"/>
          </w:tcPr>
          <w:p w14:paraId="2AC5DD50" w14:textId="77777777" w:rsidR="005901F0" w:rsidRPr="000F23E0" w:rsidRDefault="005901F0">
            <w:pPr>
              <w:pStyle w:val="TableTextLeft"/>
              <w:cnfStyle w:val="000000000000" w:firstRow="0" w:lastRow="0" w:firstColumn="0" w:lastColumn="0" w:oddVBand="0" w:evenVBand="0" w:oddHBand="0" w:evenHBand="0" w:firstRowFirstColumn="0" w:firstRowLastColumn="0" w:lastRowFirstColumn="0" w:lastRowLastColumn="0"/>
            </w:pPr>
          </w:p>
        </w:tc>
        <w:tc>
          <w:tcPr>
            <w:tcW w:w="1316" w:type="pct"/>
            <w:shd w:val="clear" w:color="auto" w:fill="FEFAF8"/>
          </w:tcPr>
          <w:p w14:paraId="50E6C8F4" w14:textId="27FC6306" w:rsidR="00817D82" w:rsidRPr="000F23E0" w:rsidRDefault="00817D82" w:rsidP="00A559F3">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0F23E0">
              <w:t>Additions and improvements to, and management of, land used as</w:t>
            </w:r>
            <w:r w:rsidR="00320E4E" w:rsidRPr="000F23E0">
              <w:t> </w:t>
            </w:r>
            <w:r w:rsidRPr="000F23E0">
              <w:t>koala habitat (ha)</w:t>
            </w:r>
          </w:p>
        </w:tc>
        <w:tc>
          <w:tcPr>
            <w:tcW w:w="507" w:type="pct"/>
            <w:shd w:val="clear" w:color="auto" w:fill="FEFAF8"/>
          </w:tcPr>
          <w:p w14:paraId="06959FF9" w14:textId="43B69CFE" w:rsidR="0098082C" w:rsidRPr="000F23E0" w:rsidRDefault="0098082C" w:rsidP="00905F10">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0F23E0">
              <w:t>5,564</w:t>
            </w:r>
          </w:p>
        </w:tc>
        <w:tc>
          <w:tcPr>
            <w:tcW w:w="354" w:type="pct"/>
            <w:shd w:val="clear" w:color="auto" w:fill="FEFAF8"/>
          </w:tcPr>
          <w:p w14:paraId="2D8FB29F" w14:textId="4FB18CE5" w:rsidR="005901F0" w:rsidRPr="000F23E0" w:rsidRDefault="0098082C">
            <w:pPr>
              <w:pStyle w:val="TableTextLeft"/>
              <w:cnfStyle w:val="000000000000" w:firstRow="0" w:lastRow="0" w:firstColumn="0" w:lastColumn="0" w:oddVBand="0" w:evenVBand="0" w:oddHBand="0" w:evenHBand="0" w:firstRowFirstColumn="0" w:firstRowLastColumn="0" w:lastRowFirstColumn="0" w:lastRowLastColumn="0"/>
              <w:rPr>
                <w:rFonts w:eastAsia="Calibri"/>
                <w:bCs/>
              </w:rPr>
            </w:pPr>
            <w:r w:rsidRPr="000F23E0">
              <w:t>Recorded</w:t>
            </w:r>
          </w:p>
        </w:tc>
        <w:tc>
          <w:tcPr>
            <w:tcW w:w="747" w:type="pct"/>
            <w:shd w:val="clear" w:color="auto" w:fill="FEFAF8"/>
          </w:tcPr>
          <w:p w14:paraId="042B3735" w14:textId="6977181D" w:rsidR="005901F0" w:rsidRPr="000F23E0" w:rsidRDefault="0098082C">
            <w:pPr>
              <w:pStyle w:val="TableTextLeft"/>
              <w:cnfStyle w:val="000000000000" w:firstRow="0" w:lastRow="0" w:firstColumn="0" w:lastColumn="0" w:oddVBand="0" w:evenVBand="0" w:oddHBand="0" w:evenHBand="0" w:firstRowFirstColumn="0" w:firstRowLastColumn="0" w:lastRowFirstColumn="0" w:lastRowLastColumn="0"/>
              <w:rPr>
                <w:rFonts w:eastAsia="Calibri"/>
                <w:bCs/>
              </w:rPr>
            </w:pPr>
            <w:r w:rsidRPr="000F23E0">
              <w:t>2022–2025</w:t>
            </w:r>
          </w:p>
        </w:tc>
      </w:tr>
      <w:tr w:rsidR="00320E4E" w:rsidRPr="000F23E0" w14:paraId="31392BC6" w14:textId="0A425857" w:rsidTr="00740BA0">
        <w:trPr>
          <w:trHeight w:val="175"/>
        </w:trPr>
        <w:tc>
          <w:tcPr>
            <w:cnfStyle w:val="001000000000" w:firstRow="0" w:lastRow="0" w:firstColumn="1" w:lastColumn="0" w:oddVBand="0" w:evenVBand="0" w:oddHBand="0" w:evenHBand="0" w:firstRowFirstColumn="0" w:firstRowLastColumn="0" w:lastRowFirstColumn="0" w:lastRowLastColumn="0"/>
            <w:tcW w:w="714" w:type="pct"/>
            <w:vMerge/>
            <w:shd w:val="clear" w:color="auto" w:fill="FAE5D4"/>
          </w:tcPr>
          <w:p w14:paraId="6BEED95F" w14:textId="77777777" w:rsidR="005901F0" w:rsidRPr="000F23E0" w:rsidRDefault="005901F0">
            <w:pPr>
              <w:pStyle w:val="TableTextLeft"/>
              <w:rPr>
                <w:rFonts w:eastAsia="Calibri"/>
                <w:b/>
                <w:bCs w:val="0"/>
                <w:color w:val="FFFFFF" w:themeColor="background1"/>
                <w:sz w:val="20"/>
              </w:rPr>
            </w:pPr>
          </w:p>
        </w:tc>
        <w:tc>
          <w:tcPr>
            <w:tcW w:w="551" w:type="pct"/>
            <w:vMerge/>
            <w:shd w:val="clear" w:color="auto" w:fill="FDF0E7"/>
          </w:tcPr>
          <w:p w14:paraId="269DB27F" w14:textId="77777777" w:rsidR="002E73D4" w:rsidRPr="000F23E0" w:rsidRDefault="002E73D4" w:rsidP="002E73D4">
            <w:pPr>
              <w:pStyle w:val="TableTextLeft"/>
              <w:cnfStyle w:val="000000000000" w:firstRow="0" w:lastRow="0" w:firstColumn="0" w:lastColumn="0" w:oddVBand="0" w:evenVBand="0" w:oddHBand="0" w:evenHBand="0" w:firstRowFirstColumn="0" w:firstRowLastColumn="0" w:lastRowFirstColumn="0" w:lastRowLastColumn="0"/>
            </w:pPr>
          </w:p>
        </w:tc>
        <w:tc>
          <w:tcPr>
            <w:tcW w:w="811" w:type="pct"/>
            <w:vMerge/>
            <w:shd w:val="clear" w:color="auto" w:fill="FEFAF8"/>
          </w:tcPr>
          <w:p w14:paraId="4515FC22" w14:textId="77777777" w:rsidR="005901F0" w:rsidRPr="000F23E0" w:rsidRDefault="005901F0">
            <w:pPr>
              <w:pStyle w:val="TableTextLeft"/>
              <w:cnfStyle w:val="000000000000" w:firstRow="0" w:lastRow="0" w:firstColumn="0" w:lastColumn="0" w:oddVBand="0" w:evenVBand="0" w:oddHBand="0" w:evenHBand="0" w:firstRowFirstColumn="0" w:firstRowLastColumn="0" w:lastRowFirstColumn="0" w:lastRowLastColumn="0"/>
            </w:pPr>
          </w:p>
        </w:tc>
        <w:tc>
          <w:tcPr>
            <w:tcW w:w="1316" w:type="pct"/>
            <w:shd w:val="clear" w:color="auto" w:fill="FEFAF8"/>
          </w:tcPr>
          <w:p w14:paraId="12EA6455" w14:textId="4202AB5B" w:rsidR="00817D82" w:rsidRPr="000F23E0" w:rsidRDefault="00817D82" w:rsidP="00A559F3">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0F23E0">
              <w:t>Number of koala population surveys</w:t>
            </w:r>
            <w:r w:rsidR="00320E4E" w:rsidRPr="000F23E0">
              <w:t> </w:t>
            </w:r>
            <w:r w:rsidRPr="000F23E0">
              <w:t>conducted</w:t>
            </w:r>
          </w:p>
        </w:tc>
        <w:tc>
          <w:tcPr>
            <w:tcW w:w="507" w:type="pct"/>
            <w:shd w:val="clear" w:color="auto" w:fill="FEFAF8"/>
          </w:tcPr>
          <w:p w14:paraId="48AE918D" w14:textId="18E4F218" w:rsidR="0098082C" w:rsidRPr="000F23E0" w:rsidRDefault="0098082C" w:rsidP="00905F10">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0F23E0">
              <w:t>820</w:t>
            </w:r>
          </w:p>
        </w:tc>
        <w:tc>
          <w:tcPr>
            <w:tcW w:w="354" w:type="pct"/>
            <w:shd w:val="clear" w:color="auto" w:fill="FEFAF8"/>
          </w:tcPr>
          <w:p w14:paraId="3F666C43" w14:textId="2228493A" w:rsidR="005901F0" w:rsidRPr="000F23E0" w:rsidRDefault="0098082C">
            <w:pPr>
              <w:pStyle w:val="TableTextLeft"/>
              <w:cnfStyle w:val="000000000000" w:firstRow="0" w:lastRow="0" w:firstColumn="0" w:lastColumn="0" w:oddVBand="0" w:evenVBand="0" w:oddHBand="0" w:evenHBand="0" w:firstRowFirstColumn="0" w:firstRowLastColumn="0" w:lastRowFirstColumn="0" w:lastRowLastColumn="0"/>
              <w:rPr>
                <w:rFonts w:eastAsia="Calibri"/>
                <w:bCs/>
              </w:rPr>
            </w:pPr>
            <w:r w:rsidRPr="000F23E0">
              <w:t>Recorded</w:t>
            </w:r>
          </w:p>
        </w:tc>
        <w:tc>
          <w:tcPr>
            <w:tcW w:w="747" w:type="pct"/>
            <w:shd w:val="clear" w:color="auto" w:fill="FEFAF8"/>
          </w:tcPr>
          <w:p w14:paraId="2E43B23C" w14:textId="7E8E0CFC" w:rsidR="005901F0" w:rsidRPr="000F23E0" w:rsidRDefault="0098082C">
            <w:pPr>
              <w:pStyle w:val="TableTextLeft"/>
              <w:cnfStyle w:val="000000000000" w:firstRow="0" w:lastRow="0" w:firstColumn="0" w:lastColumn="0" w:oddVBand="0" w:evenVBand="0" w:oddHBand="0" w:evenHBand="0" w:firstRowFirstColumn="0" w:firstRowLastColumn="0" w:lastRowFirstColumn="0" w:lastRowLastColumn="0"/>
              <w:rPr>
                <w:rFonts w:eastAsia="Calibri"/>
                <w:bCs/>
              </w:rPr>
            </w:pPr>
            <w:r w:rsidRPr="000F23E0">
              <w:t>2022–2025</w:t>
            </w:r>
          </w:p>
        </w:tc>
      </w:tr>
      <w:tr w:rsidR="00320E4E" w:rsidRPr="000F23E0" w14:paraId="78585225" w14:textId="61F34561" w:rsidTr="00740BA0">
        <w:trPr>
          <w:trHeight w:val="300"/>
        </w:trPr>
        <w:tc>
          <w:tcPr>
            <w:cnfStyle w:val="001000000000" w:firstRow="0" w:lastRow="0" w:firstColumn="1" w:lastColumn="0" w:oddVBand="0" w:evenVBand="0" w:oddHBand="0" w:evenHBand="0" w:firstRowFirstColumn="0" w:firstRowLastColumn="0" w:lastRowFirstColumn="0" w:lastRowLastColumn="0"/>
            <w:tcW w:w="714" w:type="pct"/>
            <w:vMerge/>
            <w:shd w:val="clear" w:color="auto" w:fill="FAE5D4"/>
          </w:tcPr>
          <w:p w14:paraId="7EDEBCDE" w14:textId="77777777" w:rsidR="005901F0" w:rsidRPr="000F23E0" w:rsidRDefault="005901F0">
            <w:pPr>
              <w:pStyle w:val="TableTextLeft"/>
              <w:rPr>
                <w:rFonts w:eastAsia="Calibri"/>
                <w:b/>
                <w:bCs w:val="0"/>
                <w:color w:val="FFFFFF" w:themeColor="background1"/>
                <w:sz w:val="20"/>
              </w:rPr>
            </w:pPr>
          </w:p>
        </w:tc>
        <w:tc>
          <w:tcPr>
            <w:tcW w:w="551" w:type="pct"/>
            <w:vMerge/>
            <w:shd w:val="clear" w:color="auto" w:fill="FDF0E7"/>
          </w:tcPr>
          <w:p w14:paraId="52C56631" w14:textId="77777777" w:rsidR="002E73D4" w:rsidRPr="000F23E0" w:rsidRDefault="002E73D4" w:rsidP="002E73D4">
            <w:pPr>
              <w:pStyle w:val="TableTextLeft"/>
              <w:cnfStyle w:val="000000000000" w:firstRow="0" w:lastRow="0" w:firstColumn="0" w:lastColumn="0" w:oddVBand="0" w:evenVBand="0" w:oddHBand="0" w:evenHBand="0" w:firstRowFirstColumn="0" w:firstRowLastColumn="0" w:lastRowFirstColumn="0" w:lastRowLastColumn="0"/>
            </w:pPr>
          </w:p>
        </w:tc>
        <w:tc>
          <w:tcPr>
            <w:tcW w:w="811" w:type="pct"/>
            <w:vMerge w:val="restart"/>
            <w:shd w:val="clear" w:color="auto" w:fill="FEFAF8"/>
          </w:tcPr>
          <w:p w14:paraId="42008324" w14:textId="77777777" w:rsidR="005901F0" w:rsidRPr="000F23E0" w:rsidRDefault="005901F0">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0F23E0">
              <w:t>Reef 2050</w:t>
            </w:r>
          </w:p>
        </w:tc>
        <w:tc>
          <w:tcPr>
            <w:tcW w:w="1316" w:type="pct"/>
            <w:shd w:val="clear" w:color="auto" w:fill="FEFAF8"/>
          </w:tcPr>
          <w:p w14:paraId="61A9C14E" w14:textId="7A9F811A" w:rsidR="0098082C" w:rsidRPr="000F23E0" w:rsidRDefault="0098082C" w:rsidP="00A559F3">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0F23E0">
              <w:t>Reduction of anthropogenic dissolved inorganic</w:t>
            </w:r>
            <w:r w:rsidR="00320E4E" w:rsidRPr="000F23E0">
              <w:t> </w:t>
            </w:r>
            <w:r w:rsidRPr="000F23E0">
              <w:t>nitrogen load</w:t>
            </w:r>
            <w:r w:rsidR="00320E4E" w:rsidRPr="000F23E0">
              <w:t> </w:t>
            </w:r>
            <w:r w:rsidRPr="000F23E0">
              <w:t>leaving Great Barrier Reef catchments (per cent)</w:t>
            </w:r>
          </w:p>
        </w:tc>
        <w:tc>
          <w:tcPr>
            <w:tcW w:w="507" w:type="pct"/>
            <w:shd w:val="clear" w:color="auto" w:fill="FEFAF8"/>
          </w:tcPr>
          <w:p w14:paraId="3B8054A7" w14:textId="758817F3" w:rsidR="0098082C" w:rsidRPr="000F23E0" w:rsidRDefault="0098082C" w:rsidP="00905F10">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0F23E0">
              <w:t>28.4</w:t>
            </w:r>
          </w:p>
        </w:tc>
        <w:tc>
          <w:tcPr>
            <w:tcW w:w="354" w:type="pct"/>
            <w:shd w:val="clear" w:color="auto" w:fill="FEFAF8"/>
          </w:tcPr>
          <w:p w14:paraId="368228DA" w14:textId="010BCB67" w:rsidR="005901F0" w:rsidRPr="000F23E0" w:rsidRDefault="0098082C">
            <w:pPr>
              <w:pStyle w:val="TableTextLeft"/>
              <w:cnfStyle w:val="000000000000" w:firstRow="0" w:lastRow="0" w:firstColumn="0" w:lastColumn="0" w:oddVBand="0" w:evenVBand="0" w:oddHBand="0" w:evenHBand="0" w:firstRowFirstColumn="0" w:firstRowLastColumn="0" w:lastRowFirstColumn="0" w:lastRowLastColumn="0"/>
              <w:rPr>
                <w:rFonts w:eastAsia="Calibri"/>
                <w:bCs/>
              </w:rPr>
            </w:pPr>
            <w:r w:rsidRPr="000F23E0">
              <w:t>Recorded</w:t>
            </w:r>
          </w:p>
        </w:tc>
        <w:tc>
          <w:tcPr>
            <w:tcW w:w="747" w:type="pct"/>
            <w:shd w:val="clear" w:color="auto" w:fill="FEFAF8"/>
          </w:tcPr>
          <w:p w14:paraId="4CB97FB1" w14:textId="3C86E74A" w:rsidR="005901F0" w:rsidRPr="000F23E0" w:rsidRDefault="0098082C">
            <w:pPr>
              <w:pStyle w:val="TableTextLeft"/>
              <w:cnfStyle w:val="000000000000" w:firstRow="0" w:lastRow="0" w:firstColumn="0" w:lastColumn="0" w:oddVBand="0" w:evenVBand="0" w:oddHBand="0" w:evenHBand="0" w:firstRowFirstColumn="0" w:firstRowLastColumn="0" w:lastRowFirstColumn="0" w:lastRowLastColumn="0"/>
              <w:rPr>
                <w:rFonts w:eastAsia="Calibri"/>
                <w:bCs/>
              </w:rPr>
            </w:pPr>
            <w:r w:rsidRPr="000F23E0">
              <w:t>As at June 2022</w:t>
            </w:r>
          </w:p>
        </w:tc>
      </w:tr>
      <w:tr w:rsidR="00320E4E" w:rsidRPr="000F23E0" w14:paraId="0926243D" w14:textId="542CAF6B" w:rsidTr="00740BA0">
        <w:trPr>
          <w:trHeight w:val="87"/>
        </w:trPr>
        <w:tc>
          <w:tcPr>
            <w:cnfStyle w:val="001000000000" w:firstRow="0" w:lastRow="0" w:firstColumn="1" w:lastColumn="0" w:oddVBand="0" w:evenVBand="0" w:oddHBand="0" w:evenHBand="0" w:firstRowFirstColumn="0" w:firstRowLastColumn="0" w:lastRowFirstColumn="0" w:lastRowLastColumn="0"/>
            <w:tcW w:w="714" w:type="pct"/>
            <w:vMerge/>
            <w:shd w:val="clear" w:color="auto" w:fill="FAE5D4"/>
          </w:tcPr>
          <w:p w14:paraId="57D7FD93" w14:textId="77777777" w:rsidR="005901F0" w:rsidRPr="000F23E0" w:rsidRDefault="005901F0" w:rsidP="00AF45BB">
            <w:pPr>
              <w:pStyle w:val="TableTextLeft"/>
              <w:rPr>
                <w:rFonts w:eastAsia="Calibri"/>
                <w:b/>
                <w:bCs w:val="0"/>
                <w:color w:val="FFFFFF" w:themeColor="background1"/>
                <w:sz w:val="20"/>
              </w:rPr>
            </w:pPr>
          </w:p>
        </w:tc>
        <w:tc>
          <w:tcPr>
            <w:tcW w:w="551" w:type="pct"/>
            <w:vMerge/>
            <w:shd w:val="clear" w:color="auto" w:fill="FDF0E7"/>
          </w:tcPr>
          <w:p w14:paraId="40EF4DAD" w14:textId="77777777" w:rsidR="002E73D4" w:rsidRPr="000F23E0" w:rsidRDefault="002E73D4" w:rsidP="002E73D4">
            <w:pPr>
              <w:pStyle w:val="TableTextLeft"/>
              <w:cnfStyle w:val="000000000000" w:firstRow="0" w:lastRow="0" w:firstColumn="0" w:lastColumn="0" w:oddVBand="0" w:evenVBand="0" w:oddHBand="0" w:evenHBand="0" w:firstRowFirstColumn="0" w:firstRowLastColumn="0" w:lastRowFirstColumn="0" w:lastRowLastColumn="0"/>
            </w:pPr>
          </w:p>
        </w:tc>
        <w:tc>
          <w:tcPr>
            <w:tcW w:w="811" w:type="pct"/>
            <w:vMerge/>
            <w:shd w:val="clear" w:color="auto" w:fill="FEFAF8"/>
          </w:tcPr>
          <w:p w14:paraId="1427C693" w14:textId="77777777" w:rsidR="005901F0" w:rsidRPr="000F23E0" w:rsidRDefault="005901F0" w:rsidP="00AF45BB">
            <w:pPr>
              <w:pStyle w:val="TableTextLeft"/>
              <w:cnfStyle w:val="000000000000" w:firstRow="0" w:lastRow="0" w:firstColumn="0" w:lastColumn="0" w:oddVBand="0" w:evenVBand="0" w:oddHBand="0" w:evenHBand="0" w:firstRowFirstColumn="0" w:firstRowLastColumn="0" w:lastRowFirstColumn="0" w:lastRowLastColumn="0"/>
            </w:pPr>
          </w:p>
        </w:tc>
        <w:tc>
          <w:tcPr>
            <w:tcW w:w="1316" w:type="pct"/>
            <w:shd w:val="clear" w:color="auto" w:fill="FEFAF8"/>
          </w:tcPr>
          <w:p w14:paraId="088CA21C" w14:textId="69984063" w:rsidR="0098082C" w:rsidRPr="000F23E0" w:rsidRDefault="0098082C" w:rsidP="00A559F3">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0F23E0">
              <w:t>Reduction of anthropogenic fine sediment load leaving Great Barrier Reef catchments (per cent)</w:t>
            </w:r>
          </w:p>
        </w:tc>
        <w:tc>
          <w:tcPr>
            <w:tcW w:w="507" w:type="pct"/>
            <w:shd w:val="clear" w:color="auto" w:fill="FEFAF8"/>
          </w:tcPr>
          <w:p w14:paraId="462F8897" w14:textId="772ACE43" w:rsidR="0098082C" w:rsidRPr="000F23E0" w:rsidRDefault="0098082C" w:rsidP="00905F10">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0F23E0">
              <w:t>16.0</w:t>
            </w:r>
          </w:p>
        </w:tc>
        <w:tc>
          <w:tcPr>
            <w:tcW w:w="354" w:type="pct"/>
            <w:shd w:val="clear" w:color="auto" w:fill="FEFAF8"/>
          </w:tcPr>
          <w:p w14:paraId="27AADAA4" w14:textId="4037E7E3" w:rsidR="005901F0" w:rsidRPr="000F23E0" w:rsidRDefault="0098082C" w:rsidP="00AF45BB">
            <w:pPr>
              <w:pStyle w:val="TableTextLeft"/>
              <w:cnfStyle w:val="000000000000" w:firstRow="0" w:lastRow="0" w:firstColumn="0" w:lastColumn="0" w:oddVBand="0" w:evenVBand="0" w:oddHBand="0" w:evenHBand="0" w:firstRowFirstColumn="0" w:firstRowLastColumn="0" w:lastRowFirstColumn="0" w:lastRowLastColumn="0"/>
              <w:rPr>
                <w:rFonts w:eastAsia="Calibri"/>
                <w:bCs/>
              </w:rPr>
            </w:pPr>
            <w:r w:rsidRPr="000F23E0">
              <w:t>Recorded</w:t>
            </w:r>
          </w:p>
        </w:tc>
        <w:tc>
          <w:tcPr>
            <w:tcW w:w="747" w:type="pct"/>
            <w:shd w:val="clear" w:color="auto" w:fill="FEFAF8"/>
          </w:tcPr>
          <w:p w14:paraId="51528538" w14:textId="3BC7B992" w:rsidR="005901F0" w:rsidRPr="000F23E0" w:rsidRDefault="0098082C" w:rsidP="00AF45BB">
            <w:pPr>
              <w:pStyle w:val="TableTextLeft"/>
              <w:cnfStyle w:val="000000000000" w:firstRow="0" w:lastRow="0" w:firstColumn="0" w:lastColumn="0" w:oddVBand="0" w:evenVBand="0" w:oddHBand="0" w:evenHBand="0" w:firstRowFirstColumn="0" w:firstRowLastColumn="0" w:lastRowFirstColumn="0" w:lastRowLastColumn="0"/>
              <w:rPr>
                <w:rFonts w:eastAsia="Calibri"/>
                <w:bCs/>
              </w:rPr>
            </w:pPr>
            <w:r w:rsidRPr="000F23E0">
              <w:t>As at June 2022</w:t>
            </w:r>
          </w:p>
        </w:tc>
      </w:tr>
      <w:tr w:rsidR="00320E4E" w:rsidRPr="000F23E0" w14:paraId="4BEFCEB5" w14:textId="10769221" w:rsidTr="00740BA0">
        <w:trPr>
          <w:trHeight w:val="87"/>
        </w:trPr>
        <w:tc>
          <w:tcPr>
            <w:cnfStyle w:val="001000000000" w:firstRow="0" w:lastRow="0" w:firstColumn="1" w:lastColumn="0" w:oddVBand="0" w:evenVBand="0" w:oddHBand="0" w:evenHBand="0" w:firstRowFirstColumn="0" w:firstRowLastColumn="0" w:lastRowFirstColumn="0" w:lastRowLastColumn="0"/>
            <w:tcW w:w="714" w:type="pct"/>
            <w:vMerge/>
            <w:shd w:val="clear" w:color="auto" w:fill="FAE5D4"/>
          </w:tcPr>
          <w:p w14:paraId="1748E9FE" w14:textId="77777777" w:rsidR="005901F0" w:rsidRPr="000F23E0" w:rsidRDefault="005901F0" w:rsidP="00AF45BB">
            <w:pPr>
              <w:pStyle w:val="TableTextLeft"/>
              <w:rPr>
                <w:rFonts w:eastAsia="Calibri"/>
                <w:b/>
                <w:bCs w:val="0"/>
                <w:color w:val="FFFFFF" w:themeColor="background1"/>
                <w:sz w:val="20"/>
              </w:rPr>
            </w:pPr>
          </w:p>
        </w:tc>
        <w:tc>
          <w:tcPr>
            <w:tcW w:w="551" w:type="pct"/>
            <w:vMerge/>
            <w:shd w:val="clear" w:color="auto" w:fill="FDF0E7"/>
          </w:tcPr>
          <w:p w14:paraId="321F3453" w14:textId="77777777" w:rsidR="002E73D4" w:rsidRPr="000F23E0" w:rsidRDefault="002E73D4" w:rsidP="002E73D4">
            <w:pPr>
              <w:pStyle w:val="TableTextLeft"/>
              <w:cnfStyle w:val="000000000000" w:firstRow="0" w:lastRow="0" w:firstColumn="0" w:lastColumn="0" w:oddVBand="0" w:evenVBand="0" w:oddHBand="0" w:evenHBand="0" w:firstRowFirstColumn="0" w:firstRowLastColumn="0" w:lastRowFirstColumn="0" w:lastRowLastColumn="0"/>
            </w:pPr>
          </w:p>
        </w:tc>
        <w:tc>
          <w:tcPr>
            <w:tcW w:w="811" w:type="pct"/>
            <w:vMerge/>
            <w:shd w:val="clear" w:color="auto" w:fill="FEFAF8"/>
          </w:tcPr>
          <w:p w14:paraId="634560BB" w14:textId="77777777" w:rsidR="005901F0" w:rsidRPr="000F23E0" w:rsidRDefault="005901F0" w:rsidP="00AF45BB">
            <w:pPr>
              <w:pStyle w:val="TableTextLeft"/>
              <w:cnfStyle w:val="000000000000" w:firstRow="0" w:lastRow="0" w:firstColumn="0" w:lastColumn="0" w:oddVBand="0" w:evenVBand="0" w:oddHBand="0" w:evenHBand="0" w:firstRowFirstColumn="0" w:firstRowLastColumn="0" w:lastRowFirstColumn="0" w:lastRowLastColumn="0"/>
            </w:pPr>
          </w:p>
        </w:tc>
        <w:tc>
          <w:tcPr>
            <w:tcW w:w="1316" w:type="pct"/>
            <w:shd w:val="clear" w:color="auto" w:fill="FEFAF8"/>
          </w:tcPr>
          <w:p w14:paraId="4784490E" w14:textId="1411FC13" w:rsidR="0098082C" w:rsidRPr="000F23E0" w:rsidRDefault="0098082C" w:rsidP="00A559F3">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0F23E0">
              <w:t>Reduction of anthropogenic particulate nitrogen</w:t>
            </w:r>
            <w:r w:rsidR="00320E4E" w:rsidRPr="000F23E0">
              <w:t> </w:t>
            </w:r>
            <w:r w:rsidRPr="000F23E0">
              <w:t>load leaving Great Barrier Reef catchments (per</w:t>
            </w:r>
            <w:r w:rsidR="00320E4E" w:rsidRPr="000F23E0">
              <w:t> </w:t>
            </w:r>
            <w:r w:rsidRPr="000F23E0">
              <w:t>cent)</w:t>
            </w:r>
          </w:p>
        </w:tc>
        <w:tc>
          <w:tcPr>
            <w:tcW w:w="507" w:type="pct"/>
            <w:shd w:val="clear" w:color="auto" w:fill="FEFAF8"/>
          </w:tcPr>
          <w:p w14:paraId="3B15CD0B" w14:textId="06BF5415" w:rsidR="0098082C" w:rsidRPr="000F23E0" w:rsidRDefault="0098082C" w:rsidP="00905F10">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0F23E0">
              <w:t>15.4</w:t>
            </w:r>
          </w:p>
        </w:tc>
        <w:tc>
          <w:tcPr>
            <w:tcW w:w="354" w:type="pct"/>
            <w:shd w:val="clear" w:color="auto" w:fill="FEFAF8"/>
          </w:tcPr>
          <w:p w14:paraId="4E0CA3A8" w14:textId="75094F9D" w:rsidR="005901F0" w:rsidRPr="000F23E0" w:rsidRDefault="0098082C" w:rsidP="00AF45BB">
            <w:pPr>
              <w:pStyle w:val="TableTextLeft"/>
              <w:cnfStyle w:val="000000000000" w:firstRow="0" w:lastRow="0" w:firstColumn="0" w:lastColumn="0" w:oddVBand="0" w:evenVBand="0" w:oddHBand="0" w:evenHBand="0" w:firstRowFirstColumn="0" w:firstRowLastColumn="0" w:lastRowFirstColumn="0" w:lastRowLastColumn="0"/>
              <w:rPr>
                <w:rFonts w:eastAsia="Calibri"/>
                <w:bCs/>
              </w:rPr>
            </w:pPr>
            <w:r w:rsidRPr="000F23E0">
              <w:t>Recorded</w:t>
            </w:r>
          </w:p>
        </w:tc>
        <w:tc>
          <w:tcPr>
            <w:tcW w:w="747" w:type="pct"/>
            <w:shd w:val="clear" w:color="auto" w:fill="FEFAF8"/>
          </w:tcPr>
          <w:p w14:paraId="2FD0C7AB" w14:textId="01403DC3" w:rsidR="005901F0" w:rsidRPr="000F23E0" w:rsidRDefault="0098082C" w:rsidP="00AF45BB">
            <w:pPr>
              <w:pStyle w:val="TableTextLeft"/>
              <w:cnfStyle w:val="000000000000" w:firstRow="0" w:lastRow="0" w:firstColumn="0" w:lastColumn="0" w:oddVBand="0" w:evenVBand="0" w:oddHBand="0" w:evenHBand="0" w:firstRowFirstColumn="0" w:firstRowLastColumn="0" w:lastRowFirstColumn="0" w:lastRowLastColumn="0"/>
              <w:rPr>
                <w:rFonts w:eastAsia="Calibri"/>
                <w:bCs/>
              </w:rPr>
            </w:pPr>
            <w:r w:rsidRPr="000F23E0">
              <w:t>As at June 2022</w:t>
            </w:r>
          </w:p>
        </w:tc>
      </w:tr>
      <w:tr w:rsidR="00320E4E" w:rsidRPr="000F23E0" w14:paraId="2CFF2D97" w14:textId="2AB3D26B" w:rsidTr="00740BA0">
        <w:trPr>
          <w:trHeight w:val="87"/>
        </w:trPr>
        <w:tc>
          <w:tcPr>
            <w:cnfStyle w:val="001000000000" w:firstRow="0" w:lastRow="0" w:firstColumn="1" w:lastColumn="0" w:oddVBand="0" w:evenVBand="0" w:oddHBand="0" w:evenHBand="0" w:firstRowFirstColumn="0" w:firstRowLastColumn="0" w:lastRowFirstColumn="0" w:lastRowLastColumn="0"/>
            <w:tcW w:w="714" w:type="pct"/>
            <w:vMerge/>
            <w:shd w:val="clear" w:color="auto" w:fill="FAE5D4"/>
          </w:tcPr>
          <w:p w14:paraId="49D9CBB2" w14:textId="77777777" w:rsidR="005901F0" w:rsidRPr="000F23E0" w:rsidRDefault="005901F0" w:rsidP="00AF45BB">
            <w:pPr>
              <w:pStyle w:val="TableTextLeft"/>
              <w:rPr>
                <w:rFonts w:eastAsia="Calibri"/>
                <w:b/>
                <w:bCs w:val="0"/>
                <w:color w:val="FFFFFF" w:themeColor="background1"/>
                <w:sz w:val="20"/>
              </w:rPr>
            </w:pPr>
          </w:p>
        </w:tc>
        <w:tc>
          <w:tcPr>
            <w:tcW w:w="551" w:type="pct"/>
            <w:vMerge/>
            <w:shd w:val="clear" w:color="auto" w:fill="FDF0E7"/>
          </w:tcPr>
          <w:p w14:paraId="0E829326" w14:textId="77777777" w:rsidR="002E73D4" w:rsidRPr="000F23E0" w:rsidRDefault="002E73D4" w:rsidP="002E73D4">
            <w:pPr>
              <w:pStyle w:val="TableTextLeft"/>
              <w:cnfStyle w:val="000000000000" w:firstRow="0" w:lastRow="0" w:firstColumn="0" w:lastColumn="0" w:oddVBand="0" w:evenVBand="0" w:oddHBand="0" w:evenHBand="0" w:firstRowFirstColumn="0" w:firstRowLastColumn="0" w:lastRowFirstColumn="0" w:lastRowLastColumn="0"/>
            </w:pPr>
          </w:p>
        </w:tc>
        <w:tc>
          <w:tcPr>
            <w:tcW w:w="811" w:type="pct"/>
            <w:vMerge/>
            <w:shd w:val="clear" w:color="auto" w:fill="FEFAF8"/>
          </w:tcPr>
          <w:p w14:paraId="4368529E" w14:textId="77777777" w:rsidR="005901F0" w:rsidRPr="000F23E0" w:rsidRDefault="005901F0" w:rsidP="00AF45BB">
            <w:pPr>
              <w:pStyle w:val="TableTextLeft"/>
              <w:cnfStyle w:val="000000000000" w:firstRow="0" w:lastRow="0" w:firstColumn="0" w:lastColumn="0" w:oddVBand="0" w:evenVBand="0" w:oddHBand="0" w:evenHBand="0" w:firstRowFirstColumn="0" w:firstRowLastColumn="0" w:lastRowFirstColumn="0" w:lastRowLastColumn="0"/>
            </w:pPr>
          </w:p>
        </w:tc>
        <w:tc>
          <w:tcPr>
            <w:tcW w:w="1316" w:type="pct"/>
            <w:shd w:val="clear" w:color="auto" w:fill="FEFAF8"/>
          </w:tcPr>
          <w:p w14:paraId="50CF7DBC" w14:textId="07D054AA" w:rsidR="0098082C" w:rsidRPr="000F23E0" w:rsidRDefault="0098082C" w:rsidP="00A559F3">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0F23E0">
              <w:t>Reduction of anthropogenic particulate phosphorus load leaving Great Barrier Reef catchments (per</w:t>
            </w:r>
            <w:r w:rsidR="00320E4E" w:rsidRPr="000F23E0">
              <w:t> </w:t>
            </w:r>
            <w:r w:rsidRPr="000F23E0">
              <w:t>cent)</w:t>
            </w:r>
          </w:p>
        </w:tc>
        <w:tc>
          <w:tcPr>
            <w:tcW w:w="507" w:type="pct"/>
            <w:shd w:val="clear" w:color="auto" w:fill="FEFAF8"/>
          </w:tcPr>
          <w:p w14:paraId="45EAC050" w14:textId="1FB78060" w:rsidR="0098082C" w:rsidRPr="000F23E0" w:rsidRDefault="0098082C" w:rsidP="00905F10">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0F23E0">
              <w:t>18.5</w:t>
            </w:r>
          </w:p>
        </w:tc>
        <w:tc>
          <w:tcPr>
            <w:tcW w:w="354" w:type="pct"/>
            <w:shd w:val="clear" w:color="auto" w:fill="FEFAF8"/>
          </w:tcPr>
          <w:p w14:paraId="1C3AF455" w14:textId="5DC49F9A" w:rsidR="005901F0" w:rsidRPr="000F23E0" w:rsidRDefault="0098082C" w:rsidP="00AF45BB">
            <w:pPr>
              <w:pStyle w:val="TableTextLeft"/>
              <w:cnfStyle w:val="000000000000" w:firstRow="0" w:lastRow="0" w:firstColumn="0" w:lastColumn="0" w:oddVBand="0" w:evenVBand="0" w:oddHBand="0" w:evenHBand="0" w:firstRowFirstColumn="0" w:firstRowLastColumn="0" w:lastRowFirstColumn="0" w:lastRowLastColumn="0"/>
              <w:rPr>
                <w:rFonts w:eastAsia="Calibri"/>
                <w:bCs/>
              </w:rPr>
            </w:pPr>
            <w:r w:rsidRPr="000F23E0">
              <w:t>Recorded</w:t>
            </w:r>
          </w:p>
        </w:tc>
        <w:tc>
          <w:tcPr>
            <w:tcW w:w="747" w:type="pct"/>
            <w:shd w:val="clear" w:color="auto" w:fill="FEFAF8"/>
          </w:tcPr>
          <w:p w14:paraId="4F9C2C09" w14:textId="5B2BCC65" w:rsidR="005901F0" w:rsidRPr="000F23E0" w:rsidRDefault="0098082C" w:rsidP="00AF45BB">
            <w:pPr>
              <w:pStyle w:val="TableTextLeft"/>
              <w:cnfStyle w:val="000000000000" w:firstRow="0" w:lastRow="0" w:firstColumn="0" w:lastColumn="0" w:oddVBand="0" w:evenVBand="0" w:oddHBand="0" w:evenHBand="0" w:firstRowFirstColumn="0" w:firstRowLastColumn="0" w:lastRowFirstColumn="0" w:lastRowLastColumn="0"/>
              <w:rPr>
                <w:rFonts w:eastAsia="Calibri"/>
                <w:bCs/>
              </w:rPr>
            </w:pPr>
            <w:r w:rsidRPr="000F23E0">
              <w:t>As at June 2022</w:t>
            </w:r>
          </w:p>
        </w:tc>
      </w:tr>
      <w:tr w:rsidR="00320E4E" w:rsidRPr="000F23E0" w14:paraId="10CB059A" w14:textId="2B7B7955" w:rsidTr="00740BA0">
        <w:trPr>
          <w:trHeight w:val="87"/>
        </w:trPr>
        <w:tc>
          <w:tcPr>
            <w:cnfStyle w:val="001000000000" w:firstRow="0" w:lastRow="0" w:firstColumn="1" w:lastColumn="0" w:oddVBand="0" w:evenVBand="0" w:oddHBand="0" w:evenHBand="0" w:firstRowFirstColumn="0" w:firstRowLastColumn="0" w:lastRowFirstColumn="0" w:lastRowLastColumn="0"/>
            <w:tcW w:w="714" w:type="pct"/>
            <w:vMerge/>
            <w:shd w:val="clear" w:color="auto" w:fill="FAE5D4"/>
          </w:tcPr>
          <w:p w14:paraId="5484D471" w14:textId="77777777" w:rsidR="005901F0" w:rsidRPr="000F23E0" w:rsidRDefault="005901F0" w:rsidP="00AF45BB">
            <w:pPr>
              <w:pStyle w:val="TableTextLeft"/>
              <w:rPr>
                <w:rFonts w:eastAsia="Calibri"/>
                <w:b/>
                <w:bCs w:val="0"/>
                <w:color w:val="FFFFFF" w:themeColor="background1"/>
                <w:sz w:val="20"/>
              </w:rPr>
            </w:pPr>
          </w:p>
        </w:tc>
        <w:tc>
          <w:tcPr>
            <w:tcW w:w="551" w:type="pct"/>
            <w:vMerge/>
            <w:shd w:val="clear" w:color="auto" w:fill="FDF0E7"/>
          </w:tcPr>
          <w:p w14:paraId="002902C8" w14:textId="77777777" w:rsidR="002E73D4" w:rsidRPr="000F23E0" w:rsidRDefault="002E73D4" w:rsidP="002E73D4">
            <w:pPr>
              <w:pStyle w:val="TableTextLeft"/>
              <w:cnfStyle w:val="000000000000" w:firstRow="0" w:lastRow="0" w:firstColumn="0" w:lastColumn="0" w:oddVBand="0" w:evenVBand="0" w:oddHBand="0" w:evenHBand="0" w:firstRowFirstColumn="0" w:firstRowLastColumn="0" w:lastRowFirstColumn="0" w:lastRowLastColumn="0"/>
            </w:pPr>
          </w:p>
        </w:tc>
        <w:tc>
          <w:tcPr>
            <w:tcW w:w="811" w:type="pct"/>
            <w:vMerge/>
            <w:shd w:val="clear" w:color="auto" w:fill="FEFAF8"/>
          </w:tcPr>
          <w:p w14:paraId="06D6E40C" w14:textId="77777777" w:rsidR="005901F0" w:rsidRPr="000F23E0" w:rsidRDefault="005901F0" w:rsidP="00AF45BB">
            <w:pPr>
              <w:pStyle w:val="TableTextLeft"/>
              <w:cnfStyle w:val="000000000000" w:firstRow="0" w:lastRow="0" w:firstColumn="0" w:lastColumn="0" w:oddVBand="0" w:evenVBand="0" w:oddHBand="0" w:evenHBand="0" w:firstRowFirstColumn="0" w:firstRowLastColumn="0" w:lastRowFirstColumn="0" w:lastRowLastColumn="0"/>
            </w:pPr>
          </w:p>
        </w:tc>
        <w:tc>
          <w:tcPr>
            <w:tcW w:w="1316" w:type="pct"/>
            <w:shd w:val="clear" w:color="auto" w:fill="FEFAF8"/>
          </w:tcPr>
          <w:p w14:paraId="36C83393" w14:textId="21C33918" w:rsidR="0098082C" w:rsidRPr="000F23E0" w:rsidRDefault="0098082C" w:rsidP="00A559F3">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0F23E0">
              <w:t xml:space="preserve">Pesticide risk condition </w:t>
            </w:r>
            <w:r w:rsidRPr="000F23E0">
              <w:rPr>
                <w:rFonts w:asciiTheme="minorHAnsi" w:hAnsiTheme="minorHAnsi" w:cstheme="minorHAnsi"/>
                <w:szCs w:val="18"/>
              </w:rPr>
              <w:t xml:space="preserve">– </w:t>
            </w:r>
            <w:r w:rsidR="001B4FEB" w:rsidRPr="000F23E0">
              <w:rPr>
                <w:rFonts w:asciiTheme="minorHAnsi" w:hAnsiTheme="minorHAnsi" w:cstheme="minorHAnsi"/>
                <w:szCs w:val="18"/>
              </w:rPr>
              <w:t xml:space="preserve">aquatic </w:t>
            </w:r>
            <w:r w:rsidRPr="000F23E0">
              <w:t>species unlikely</w:t>
            </w:r>
            <w:r w:rsidR="009C3FE1" w:rsidRPr="000F23E0">
              <w:t> </w:t>
            </w:r>
            <w:r w:rsidRPr="000F23E0">
              <w:t>to experience harmful effects from pesticides (per</w:t>
            </w:r>
            <w:r w:rsidR="00320E4E" w:rsidRPr="000F23E0">
              <w:t> </w:t>
            </w:r>
            <w:r w:rsidRPr="000F23E0">
              <w:t>cent) </w:t>
            </w:r>
          </w:p>
        </w:tc>
        <w:tc>
          <w:tcPr>
            <w:tcW w:w="507" w:type="pct"/>
            <w:shd w:val="clear" w:color="auto" w:fill="FEFAF8"/>
          </w:tcPr>
          <w:p w14:paraId="06D45D56" w14:textId="3BF7BC77" w:rsidR="0098082C" w:rsidRPr="000F23E0" w:rsidRDefault="0098082C" w:rsidP="00905F10">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0F23E0">
              <w:t>95.0</w:t>
            </w:r>
          </w:p>
        </w:tc>
        <w:tc>
          <w:tcPr>
            <w:tcW w:w="354" w:type="pct"/>
            <w:shd w:val="clear" w:color="auto" w:fill="FEFAF8"/>
          </w:tcPr>
          <w:p w14:paraId="766C4251" w14:textId="2A05F54D" w:rsidR="005901F0" w:rsidRPr="000F23E0" w:rsidRDefault="0098082C" w:rsidP="00AF45BB">
            <w:pPr>
              <w:pStyle w:val="TableTextLeft"/>
              <w:cnfStyle w:val="000000000000" w:firstRow="0" w:lastRow="0" w:firstColumn="0" w:lastColumn="0" w:oddVBand="0" w:evenVBand="0" w:oddHBand="0" w:evenHBand="0" w:firstRowFirstColumn="0" w:firstRowLastColumn="0" w:lastRowFirstColumn="0" w:lastRowLastColumn="0"/>
              <w:rPr>
                <w:rFonts w:eastAsia="Calibri"/>
                <w:bCs/>
              </w:rPr>
            </w:pPr>
            <w:r w:rsidRPr="000F23E0">
              <w:t>Recorded</w:t>
            </w:r>
          </w:p>
        </w:tc>
        <w:tc>
          <w:tcPr>
            <w:tcW w:w="747" w:type="pct"/>
            <w:shd w:val="clear" w:color="auto" w:fill="FEFAF8"/>
          </w:tcPr>
          <w:p w14:paraId="3AEA76F7" w14:textId="41A05D2B" w:rsidR="005901F0" w:rsidRPr="000F23E0" w:rsidRDefault="0098082C" w:rsidP="00AF45BB">
            <w:pPr>
              <w:pStyle w:val="TableTextLeft"/>
              <w:cnfStyle w:val="000000000000" w:firstRow="0" w:lastRow="0" w:firstColumn="0" w:lastColumn="0" w:oddVBand="0" w:evenVBand="0" w:oddHBand="0" w:evenHBand="0" w:firstRowFirstColumn="0" w:firstRowLastColumn="0" w:lastRowFirstColumn="0" w:lastRowLastColumn="0"/>
              <w:rPr>
                <w:rFonts w:eastAsia="Calibri"/>
                <w:bCs/>
              </w:rPr>
            </w:pPr>
            <w:r w:rsidRPr="000F23E0">
              <w:t>2022</w:t>
            </w:r>
          </w:p>
        </w:tc>
      </w:tr>
      <w:tr w:rsidR="00320E4E" w:rsidRPr="000F23E0" w14:paraId="19B38919" w14:textId="70FEEE06" w:rsidTr="00740BA0">
        <w:trPr>
          <w:trHeight w:val="87"/>
        </w:trPr>
        <w:tc>
          <w:tcPr>
            <w:cnfStyle w:val="001000000000" w:firstRow="0" w:lastRow="0" w:firstColumn="1" w:lastColumn="0" w:oddVBand="0" w:evenVBand="0" w:oddHBand="0" w:evenHBand="0" w:firstRowFirstColumn="0" w:firstRowLastColumn="0" w:lastRowFirstColumn="0" w:lastRowLastColumn="0"/>
            <w:tcW w:w="714" w:type="pct"/>
            <w:vMerge/>
            <w:shd w:val="clear" w:color="auto" w:fill="FAE5D4"/>
          </w:tcPr>
          <w:p w14:paraId="57A2A9F4" w14:textId="77777777" w:rsidR="005901F0" w:rsidRPr="000F23E0" w:rsidRDefault="005901F0" w:rsidP="00AF45BB">
            <w:pPr>
              <w:pStyle w:val="TableTextLeft"/>
              <w:rPr>
                <w:rFonts w:eastAsia="Calibri"/>
                <w:b/>
                <w:bCs w:val="0"/>
                <w:color w:val="FFFFFF" w:themeColor="background1"/>
                <w:sz w:val="20"/>
              </w:rPr>
            </w:pPr>
          </w:p>
        </w:tc>
        <w:tc>
          <w:tcPr>
            <w:tcW w:w="551" w:type="pct"/>
            <w:vMerge/>
            <w:shd w:val="clear" w:color="auto" w:fill="FDF0E7"/>
          </w:tcPr>
          <w:p w14:paraId="3B9F34A4" w14:textId="77777777" w:rsidR="002E73D4" w:rsidRPr="000F23E0" w:rsidRDefault="002E73D4" w:rsidP="002E73D4">
            <w:pPr>
              <w:pStyle w:val="TableTextLeft"/>
              <w:cnfStyle w:val="000000000000" w:firstRow="0" w:lastRow="0" w:firstColumn="0" w:lastColumn="0" w:oddVBand="0" w:evenVBand="0" w:oddHBand="0" w:evenHBand="0" w:firstRowFirstColumn="0" w:firstRowLastColumn="0" w:lastRowFirstColumn="0" w:lastRowLastColumn="0"/>
            </w:pPr>
          </w:p>
        </w:tc>
        <w:tc>
          <w:tcPr>
            <w:tcW w:w="811" w:type="pct"/>
            <w:vMerge/>
            <w:shd w:val="clear" w:color="auto" w:fill="FEFAF8"/>
          </w:tcPr>
          <w:p w14:paraId="165EDAA6" w14:textId="77777777" w:rsidR="005901F0" w:rsidRPr="000F23E0" w:rsidRDefault="005901F0" w:rsidP="00AF45BB">
            <w:pPr>
              <w:pStyle w:val="TableTextLeft"/>
              <w:cnfStyle w:val="000000000000" w:firstRow="0" w:lastRow="0" w:firstColumn="0" w:lastColumn="0" w:oddVBand="0" w:evenVBand="0" w:oddHBand="0" w:evenHBand="0" w:firstRowFirstColumn="0" w:firstRowLastColumn="0" w:lastRowFirstColumn="0" w:lastRowLastColumn="0"/>
            </w:pPr>
          </w:p>
        </w:tc>
        <w:tc>
          <w:tcPr>
            <w:tcW w:w="1316" w:type="pct"/>
            <w:shd w:val="clear" w:color="auto" w:fill="FEFAF8"/>
          </w:tcPr>
          <w:p w14:paraId="4D8C9B43" w14:textId="1C96A940" w:rsidR="0098082C" w:rsidRPr="000F23E0" w:rsidRDefault="0098082C" w:rsidP="00A559F3">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0F23E0">
              <w:t>Proportion of grazing lands with greater than</w:t>
            </w:r>
            <w:r w:rsidR="00320E4E" w:rsidRPr="000F23E0">
              <w:t> </w:t>
            </w:r>
            <w:r w:rsidRPr="000F23E0">
              <w:t>70</w:t>
            </w:r>
            <w:r w:rsidR="00320E4E" w:rsidRPr="000F23E0">
              <w:t> </w:t>
            </w:r>
            <w:r w:rsidRPr="000F23E0">
              <w:t>per cent ground cover in the late dry</w:t>
            </w:r>
            <w:r w:rsidR="00320E4E" w:rsidRPr="000F23E0">
              <w:t> </w:t>
            </w:r>
            <w:r w:rsidRPr="000F23E0">
              <w:t>season</w:t>
            </w:r>
            <w:r w:rsidR="00320E4E" w:rsidRPr="000F23E0">
              <w:t> </w:t>
            </w:r>
            <w:r w:rsidRPr="000F23E0">
              <w:t>(per cent) </w:t>
            </w:r>
          </w:p>
        </w:tc>
        <w:tc>
          <w:tcPr>
            <w:tcW w:w="507" w:type="pct"/>
            <w:shd w:val="clear" w:color="auto" w:fill="FEFAF8"/>
          </w:tcPr>
          <w:p w14:paraId="0846F9A9" w14:textId="1E531357" w:rsidR="0098082C" w:rsidRPr="000F23E0" w:rsidRDefault="0098082C" w:rsidP="00905F10">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0F23E0">
              <w:t>92.0</w:t>
            </w:r>
          </w:p>
        </w:tc>
        <w:tc>
          <w:tcPr>
            <w:tcW w:w="354" w:type="pct"/>
            <w:shd w:val="clear" w:color="auto" w:fill="FEFAF8"/>
          </w:tcPr>
          <w:p w14:paraId="6D3AD731" w14:textId="7419BEFA" w:rsidR="005901F0" w:rsidRPr="000F23E0" w:rsidRDefault="0098082C" w:rsidP="00AF45BB">
            <w:pPr>
              <w:pStyle w:val="TableTextLeft"/>
              <w:cnfStyle w:val="000000000000" w:firstRow="0" w:lastRow="0" w:firstColumn="0" w:lastColumn="0" w:oddVBand="0" w:evenVBand="0" w:oddHBand="0" w:evenHBand="0" w:firstRowFirstColumn="0" w:firstRowLastColumn="0" w:lastRowFirstColumn="0" w:lastRowLastColumn="0"/>
              <w:rPr>
                <w:rFonts w:eastAsia="Calibri"/>
                <w:bCs/>
              </w:rPr>
            </w:pPr>
            <w:r w:rsidRPr="000F23E0">
              <w:t>Recorded</w:t>
            </w:r>
          </w:p>
        </w:tc>
        <w:tc>
          <w:tcPr>
            <w:tcW w:w="747" w:type="pct"/>
            <w:shd w:val="clear" w:color="auto" w:fill="FEFAF8"/>
          </w:tcPr>
          <w:p w14:paraId="7EFE5EB4" w14:textId="1AC07CE0" w:rsidR="005901F0" w:rsidRPr="000F23E0" w:rsidRDefault="0098082C" w:rsidP="00AF45BB">
            <w:pPr>
              <w:pStyle w:val="TableTextLeft"/>
              <w:cnfStyle w:val="000000000000" w:firstRow="0" w:lastRow="0" w:firstColumn="0" w:lastColumn="0" w:oddVBand="0" w:evenVBand="0" w:oddHBand="0" w:evenHBand="0" w:firstRowFirstColumn="0" w:firstRowLastColumn="0" w:lastRowFirstColumn="0" w:lastRowLastColumn="0"/>
              <w:rPr>
                <w:rFonts w:eastAsia="Calibri"/>
                <w:bCs/>
              </w:rPr>
            </w:pPr>
            <w:r w:rsidRPr="000F23E0">
              <w:t>2022</w:t>
            </w:r>
          </w:p>
        </w:tc>
      </w:tr>
      <w:tr w:rsidR="00320E4E" w:rsidRPr="000F23E0" w14:paraId="540629B3" w14:textId="08E50388" w:rsidTr="00740BA0">
        <w:trPr>
          <w:trHeight w:val="300"/>
        </w:trPr>
        <w:tc>
          <w:tcPr>
            <w:cnfStyle w:val="001000000000" w:firstRow="0" w:lastRow="0" w:firstColumn="1" w:lastColumn="0" w:oddVBand="0" w:evenVBand="0" w:oddHBand="0" w:evenHBand="0" w:firstRowFirstColumn="0" w:firstRowLastColumn="0" w:lastRowFirstColumn="0" w:lastRowLastColumn="0"/>
            <w:tcW w:w="714" w:type="pct"/>
            <w:vMerge w:val="restart"/>
            <w:shd w:val="clear" w:color="auto" w:fill="FAE5D4"/>
          </w:tcPr>
          <w:p w14:paraId="6F5452F2" w14:textId="77777777" w:rsidR="00320E4E" w:rsidRPr="000F23E0" w:rsidRDefault="00320E4E" w:rsidP="00320E4E">
            <w:pPr>
              <w:pStyle w:val="TableColumnHeadingLeft"/>
              <w:rPr>
                <w:rFonts w:eastAsia="Calibri"/>
              </w:rPr>
            </w:pPr>
            <w:r w:rsidRPr="000F23E0">
              <w:rPr>
                <w:rFonts w:eastAsia="Calibri"/>
              </w:rPr>
              <w:lastRenderedPageBreak/>
              <w:t>Sustainable water and wastewater management</w:t>
            </w:r>
          </w:p>
        </w:tc>
        <w:tc>
          <w:tcPr>
            <w:tcW w:w="551" w:type="pct"/>
            <w:vMerge w:val="restart"/>
            <w:shd w:val="clear" w:color="auto" w:fill="FDF0E7"/>
          </w:tcPr>
          <w:p w14:paraId="52094F26" w14:textId="6518D998" w:rsidR="00320E4E" w:rsidRPr="000F23E0" w:rsidRDefault="00320E4E" w:rsidP="00320E4E">
            <w:pPr>
              <w:pStyle w:val="TableColumnHeadingLeft"/>
              <w:cnfStyle w:val="000000000000" w:firstRow="0" w:lastRow="0" w:firstColumn="0" w:lastColumn="0" w:oddVBand="0" w:evenVBand="0" w:oddHBand="0" w:evenHBand="0" w:firstRowFirstColumn="0" w:firstRowLastColumn="0" w:lastRowFirstColumn="0" w:lastRowLastColumn="0"/>
            </w:pPr>
            <w:r w:rsidRPr="000F23E0">
              <w:t>Improved Environmental Outcomes</w:t>
            </w:r>
          </w:p>
        </w:tc>
        <w:tc>
          <w:tcPr>
            <w:tcW w:w="811" w:type="pct"/>
            <w:vMerge w:val="restart"/>
            <w:shd w:val="clear" w:color="auto" w:fill="FEFAF8"/>
          </w:tcPr>
          <w:p w14:paraId="10FEF159" w14:textId="246A8B8F" w:rsidR="00320E4E" w:rsidRPr="000F23E0" w:rsidRDefault="00320E4E" w:rsidP="00320E4E">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0F23E0">
              <w:t>Murray–Darling Basin Plan</w:t>
            </w:r>
          </w:p>
        </w:tc>
        <w:tc>
          <w:tcPr>
            <w:tcW w:w="1316" w:type="pct"/>
            <w:shd w:val="clear" w:color="auto" w:fill="FEFAF8"/>
            <w:vAlign w:val="center"/>
          </w:tcPr>
          <w:p w14:paraId="3AEE993A" w14:textId="7BAAB326" w:rsidR="00320E4E" w:rsidRPr="000F23E0" w:rsidRDefault="00320E4E" w:rsidP="00320E4E">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0F23E0">
              <w:t>Surface water registered to Commonwealth (GL/y)</w:t>
            </w:r>
          </w:p>
        </w:tc>
        <w:tc>
          <w:tcPr>
            <w:tcW w:w="507" w:type="pct"/>
            <w:shd w:val="clear" w:color="auto" w:fill="FEFAF8"/>
            <w:vAlign w:val="center"/>
          </w:tcPr>
          <w:p w14:paraId="2842E377" w14:textId="51C28793" w:rsidR="00320E4E" w:rsidRPr="000F23E0" w:rsidRDefault="00320E4E" w:rsidP="00320E4E">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0F23E0">
              <w:t>11.3</w:t>
            </w:r>
          </w:p>
        </w:tc>
        <w:tc>
          <w:tcPr>
            <w:tcW w:w="354" w:type="pct"/>
            <w:shd w:val="clear" w:color="auto" w:fill="FEFAF8"/>
            <w:vAlign w:val="center"/>
          </w:tcPr>
          <w:p w14:paraId="58CB27D6" w14:textId="2ED7FC94" w:rsidR="00320E4E" w:rsidRPr="000F23E0" w:rsidRDefault="00320E4E" w:rsidP="00320E4E">
            <w:pPr>
              <w:pStyle w:val="TableTextLeft"/>
              <w:cnfStyle w:val="000000000000" w:firstRow="0" w:lastRow="0" w:firstColumn="0" w:lastColumn="0" w:oddVBand="0" w:evenVBand="0" w:oddHBand="0" w:evenHBand="0" w:firstRowFirstColumn="0" w:firstRowLastColumn="0" w:lastRowFirstColumn="0" w:lastRowLastColumn="0"/>
              <w:rPr>
                <w:rFonts w:eastAsia="Calibri"/>
                <w:bCs/>
              </w:rPr>
            </w:pPr>
            <w:r w:rsidRPr="000F23E0">
              <w:t>Recorded</w:t>
            </w:r>
          </w:p>
        </w:tc>
        <w:tc>
          <w:tcPr>
            <w:tcW w:w="747" w:type="pct"/>
            <w:shd w:val="clear" w:color="auto" w:fill="FEFAF8"/>
            <w:vAlign w:val="center"/>
          </w:tcPr>
          <w:p w14:paraId="54C5274F" w14:textId="2F017C01" w:rsidR="00320E4E" w:rsidRPr="000F23E0" w:rsidRDefault="00320E4E" w:rsidP="00320E4E">
            <w:pPr>
              <w:pStyle w:val="TableTextLeft"/>
              <w:cnfStyle w:val="000000000000" w:firstRow="0" w:lastRow="0" w:firstColumn="0" w:lastColumn="0" w:oddVBand="0" w:evenVBand="0" w:oddHBand="0" w:evenHBand="0" w:firstRowFirstColumn="0" w:firstRowLastColumn="0" w:lastRowFirstColumn="0" w:lastRowLastColumn="0"/>
              <w:rPr>
                <w:rFonts w:eastAsia="Calibri"/>
                <w:bCs/>
              </w:rPr>
            </w:pPr>
            <w:r w:rsidRPr="000F23E0">
              <w:t>FY2024–25</w:t>
            </w:r>
          </w:p>
        </w:tc>
      </w:tr>
      <w:tr w:rsidR="00320E4E" w:rsidRPr="000F23E0" w14:paraId="15C1F8C2" w14:textId="02668AA6" w:rsidTr="00740BA0">
        <w:trPr>
          <w:trHeight w:val="175"/>
        </w:trPr>
        <w:tc>
          <w:tcPr>
            <w:cnfStyle w:val="001000000000" w:firstRow="0" w:lastRow="0" w:firstColumn="1" w:lastColumn="0" w:oddVBand="0" w:evenVBand="0" w:oddHBand="0" w:evenHBand="0" w:firstRowFirstColumn="0" w:firstRowLastColumn="0" w:lastRowFirstColumn="0" w:lastRowLastColumn="0"/>
            <w:tcW w:w="714" w:type="pct"/>
            <w:vMerge/>
            <w:shd w:val="clear" w:color="auto" w:fill="FAE5D4"/>
          </w:tcPr>
          <w:p w14:paraId="7D48E043" w14:textId="77777777" w:rsidR="00320E4E" w:rsidRPr="000F23E0" w:rsidRDefault="00320E4E" w:rsidP="00320E4E">
            <w:pPr>
              <w:pStyle w:val="TableColumnHeadingLeft"/>
              <w:rPr>
                <w:rFonts w:eastAsia="Calibri"/>
              </w:rPr>
            </w:pPr>
          </w:p>
        </w:tc>
        <w:tc>
          <w:tcPr>
            <w:tcW w:w="551" w:type="pct"/>
            <w:vMerge/>
            <w:shd w:val="clear" w:color="auto" w:fill="FDF0E7"/>
          </w:tcPr>
          <w:p w14:paraId="539EBC91" w14:textId="77777777" w:rsidR="00320E4E" w:rsidRPr="000F23E0" w:rsidRDefault="00320E4E" w:rsidP="00320E4E">
            <w:pPr>
              <w:pStyle w:val="TableColumnHeadingLeft"/>
              <w:cnfStyle w:val="000000000000" w:firstRow="0" w:lastRow="0" w:firstColumn="0" w:lastColumn="0" w:oddVBand="0" w:evenVBand="0" w:oddHBand="0" w:evenHBand="0" w:firstRowFirstColumn="0" w:firstRowLastColumn="0" w:lastRowFirstColumn="0" w:lastRowLastColumn="0"/>
            </w:pPr>
          </w:p>
        </w:tc>
        <w:tc>
          <w:tcPr>
            <w:tcW w:w="811" w:type="pct"/>
            <w:vMerge/>
            <w:shd w:val="clear" w:color="auto" w:fill="FEFAF8"/>
          </w:tcPr>
          <w:p w14:paraId="6FD05E40" w14:textId="77777777" w:rsidR="00320E4E" w:rsidRPr="000F23E0" w:rsidRDefault="00320E4E" w:rsidP="00320E4E">
            <w:pPr>
              <w:pStyle w:val="TableTextLeft"/>
              <w:cnfStyle w:val="000000000000" w:firstRow="0" w:lastRow="0" w:firstColumn="0" w:lastColumn="0" w:oddVBand="0" w:evenVBand="0" w:oddHBand="0" w:evenHBand="0" w:firstRowFirstColumn="0" w:firstRowLastColumn="0" w:lastRowFirstColumn="0" w:lastRowLastColumn="0"/>
            </w:pPr>
          </w:p>
        </w:tc>
        <w:tc>
          <w:tcPr>
            <w:tcW w:w="1316" w:type="pct"/>
            <w:shd w:val="clear" w:color="auto" w:fill="FEFAF8"/>
            <w:vAlign w:val="center"/>
          </w:tcPr>
          <w:p w14:paraId="3E2B3D26" w14:textId="60BBB7BC" w:rsidR="00320E4E" w:rsidRPr="000F23E0" w:rsidRDefault="00320E4E" w:rsidP="00320E4E">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0F23E0">
              <w:t>Surface Water registered for environmental use (GL/y)</w:t>
            </w:r>
          </w:p>
        </w:tc>
        <w:tc>
          <w:tcPr>
            <w:tcW w:w="507" w:type="pct"/>
            <w:shd w:val="clear" w:color="auto" w:fill="FEFAF8"/>
            <w:vAlign w:val="center"/>
          </w:tcPr>
          <w:p w14:paraId="3D1C9C3D" w14:textId="5F0B9503" w:rsidR="00320E4E" w:rsidRPr="000F23E0" w:rsidRDefault="00320E4E" w:rsidP="00320E4E">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0F23E0">
              <w:t>26.9</w:t>
            </w:r>
          </w:p>
        </w:tc>
        <w:tc>
          <w:tcPr>
            <w:tcW w:w="354" w:type="pct"/>
            <w:shd w:val="clear" w:color="auto" w:fill="FEFAF8"/>
            <w:vAlign w:val="center"/>
          </w:tcPr>
          <w:p w14:paraId="3BC164DD" w14:textId="5A6085C1" w:rsidR="00320E4E" w:rsidRPr="000F23E0" w:rsidRDefault="00320E4E" w:rsidP="00320E4E">
            <w:pPr>
              <w:pStyle w:val="TableTextLeft"/>
              <w:cnfStyle w:val="000000000000" w:firstRow="0" w:lastRow="0" w:firstColumn="0" w:lastColumn="0" w:oddVBand="0" w:evenVBand="0" w:oddHBand="0" w:evenHBand="0" w:firstRowFirstColumn="0" w:firstRowLastColumn="0" w:lastRowFirstColumn="0" w:lastRowLastColumn="0"/>
              <w:rPr>
                <w:rFonts w:eastAsia="Calibri"/>
                <w:bCs/>
              </w:rPr>
            </w:pPr>
            <w:r w:rsidRPr="000F23E0">
              <w:t>Recorded</w:t>
            </w:r>
          </w:p>
        </w:tc>
        <w:tc>
          <w:tcPr>
            <w:tcW w:w="747" w:type="pct"/>
            <w:shd w:val="clear" w:color="auto" w:fill="FEFAF8"/>
            <w:vAlign w:val="center"/>
          </w:tcPr>
          <w:p w14:paraId="32E1BEB3" w14:textId="43F82C02" w:rsidR="00320E4E" w:rsidRPr="000F23E0" w:rsidRDefault="00320E4E" w:rsidP="00320E4E">
            <w:pPr>
              <w:pStyle w:val="TableTextLeft"/>
              <w:cnfStyle w:val="000000000000" w:firstRow="0" w:lastRow="0" w:firstColumn="0" w:lastColumn="0" w:oddVBand="0" w:evenVBand="0" w:oddHBand="0" w:evenHBand="0" w:firstRowFirstColumn="0" w:firstRowLastColumn="0" w:lastRowFirstColumn="0" w:lastRowLastColumn="0"/>
              <w:rPr>
                <w:rFonts w:eastAsia="Calibri"/>
                <w:bCs/>
              </w:rPr>
            </w:pPr>
            <w:r w:rsidRPr="000F23E0">
              <w:t>FY2024–25</w:t>
            </w:r>
          </w:p>
        </w:tc>
      </w:tr>
      <w:tr w:rsidR="00320E4E" w:rsidRPr="000F23E0" w14:paraId="18F83731" w14:textId="6A5DC8EE" w:rsidTr="00740BA0">
        <w:trPr>
          <w:trHeight w:val="175"/>
        </w:trPr>
        <w:tc>
          <w:tcPr>
            <w:cnfStyle w:val="001000000000" w:firstRow="0" w:lastRow="0" w:firstColumn="1" w:lastColumn="0" w:oddVBand="0" w:evenVBand="0" w:oddHBand="0" w:evenHBand="0" w:firstRowFirstColumn="0" w:firstRowLastColumn="0" w:lastRowFirstColumn="0" w:lastRowLastColumn="0"/>
            <w:tcW w:w="714" w:type="pct"/>
            <w:vMerge/>
            <w:shd w:val="clear" w:color="auto" w:fill="FAE5D4"/>
          </w:tcPr>
          <w:p w14:paraId="4D70F6AE" w14:textId="77777777" w:rsidR="00320E4E" w:rsidRPr="000F23E0" w:rsidRDefault="00320E4E" w:rsidP="00320E4E">
            <w:pPr>
              <w:pStyle w:val="TableColumnHeadingLeft"/>
              <w:rPr>
                <w:rFonts w:eastAsia="Calibri"/>
              </w:rPr>
            </w:pPr>
          </w:p>
        </w:tc>
        <w:tc>
          <w:tcPr>
            <w:tcW w:w="551" w:type="pct"/>
            <w:vMerge/>
            <w:shd w:val="clear" w:color="auto" w:fill="FDF0E7"/>
          </w:tcPr>
          <w:p w14:paraId="0FB77D5F" w14:textId="77777777" w:rsidR="00320E4E" w:rsidRPr="000F23E0" w:rsidRDefault="00320E4E" w:rsidP="00320E4E">
            <w:pPr>
              <w:pStyle w:val="TableColumnHeadingLeft"/>
              <w:cnfStyle w:val="000000000000" w:firstRow="0" w:lastRow="0" w:firstColumn="0" w:lastColumn="0" w:oddVBand="0" w:evenVBand="0" w:oddHBand="0" w:evenHBand="0" w:firstRowFirstColumn="0" w:firstRowLastColumn="0" w:lastRowFirstColumn="0" w:lastRowLastColumn="0"/>
            </w:pPr>
          </w:p>
        </w:tc>
        <w:tc>
          <w:tcPr>
            <w:tcW w:w="811" w:type="pct"/>
            <w:vMerge/>
            <w:shd w:val="clear" w:color="auto" w:fill="FEFAF8"/>
          </w:tcPr>
          <w:p w14:paraId="01B440A4" w14:textId="77777777" w:rsidR="00320E4E" w:rsidRPr="000F23E0" w:rsidRDefault="00320E4E" w:rsidP="00320E4E">
            <w:pPr>
              <w:pStyle w:val="TableTextLeft"/>
              <w:cnfStyle w:val="000000000000" w:firstRow="0" w:lastRow="0" w:firstColumn="0" w:lastColumn="0" w:oddVBand="0" w:evenVBand="0" w:oddHBand="0" w:evenHBand="0" w:firstRowFirstColumn="0" w:firstRowLastColumn="0" w:lastRowFirstColumn="0" w:lastRowLastColumn="0"/>
            </w:pPr>
          </w:p>
        </w:tc>
        <w:tc>
          <w:tcPr>
            <w:tcW w:w="1316" w:type="pct"/>
            <w:shd w:val="clear" w:color="auto" w:fill="FEFAF8"/>
            <w:vAlign w:val="center"/>
          </w:tcPr>
          <w:p w14:paraId="51431A55" w14:textId="4DB5C483" w:rsidR="00320E4E" w:rsidRPr="000F23E0" w:rsidRDefault="00320E4E" w:rsidP="00320E4E">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0F23E0">
              <w:t>Proportion of surface water allocation (in Commonwealth accounts) forfeited (per cent)</w:t>
            </w:r>
          </w:p>
        </w:tc>
        <w:tc>
          <w:tcPr>
            <w:tcW w:w="507" w:type="pct"/>
            <w:shd w:val="clear" w:color="auto" w:fill="FEFAF8"/>
            <w:vAlign w:val="center"/>
          </w:tcPr>
          <w:p w14:paraId="5C7AC665" w14:textId="4BE6F1BA" w:rsidR="00320E4E" w:rsidRPr="000F23E0" w:rsidRDefault="00320E4E" w:rsidP="00320E4E">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0F23E0">
              <w:t>&lt;5</w:t>
            </w:r>
          </w:p>
        </w:tc>
        <w:tc>
          <w:tcPr>
            <w:tcW w:w="354" w:type="pct"/>
            <w:shd w:val="clear" w:color="auto" w:fill="FEFAF8"/>
            <w:vAlign w:val="center"/>
          </w:tcPr>
          <w:p w14:paraId="40CF5E4A" w14:textId="75D45757" w:rsidR="00320E4E" w:rsidRPr="000F23E0" w:rsidRDefault="00320E4E" w:rsidP="00320E4E">
            <w:pPr>
              <w:pStyle w:val="TableTextLeft"/>
              <w:cnfStyle w:val="000000000000" w:firstRow="0" w:lastRow="0" w:firstColumn="0" w:lastColumn="0" w:oddVBand="0" w:evenVBand="0" w:oddHBand="0" w:evenHBand="0" w:firstRowFirstColumn="0" w:firstRowLastColumn="0" w:lastRowFirstColumn="0" w:lastRowLastColumn="0"/>
              <w:rPr>
                <w:rFonts w:eastAsia="Calibri"/>
                <w:bCs/>
              </w:rPr>
            </w:pPr>
            <w:r w:rsidRPr="000F23E0">
              <w:t>Recorded</w:t>
            </w:r>
          </w:p>
        </w:tc>
        <w:tc>
          <w:tcPr>
            <w:tcW w:w="747" w:type="pct"/>
            <w:shd w:val="clear" w:color="auto" w:fill="FEFAF8"/>
            <w:vAlign w:val="center"/>
          </w:tcPr>
          <w:p w14:paraId="2AF24853" w14:textId="6E279E96" w:rsidR="00320E4E" w:rsidRPr="000F23E0" w:rsidRDefault="00320E4E" w:rsidP="00320E4E">
            <w:pPr>
              <w:pStyle w:val="TableTextLeft"/>
              <w:cnfStyle w:val="000000000000" w:firstRow="0" w:lastRow="0" w:firstColumn="0" w:lastColumn="0" w:oddVBand="0" w:evenVBand="0" w:oddHBand="0" w:evenHBand="0" w:firstRowFirstColumn="0" w:firstRowLastColumn="0" w:lastRowFirstColumn="0" w:lastRowLastColumn="0"/>
              <w:rPr>
                <w:rFonts w:eastAsia="Calibri"/>
                <w:bCs/>
              </w:rPr>
            </w:pPr>
            <w:r w:rsidRPr="000F23E0">
              <w:t>FY2024–25</w:t>
            </w:r>
          </w:p>
        </w:tc>
      </w:tr>
      <w:tr w:rsidR="00320E4E" w:rsidRPr="000F23E0" w14:paraId="08934327" w14:textId="50786CF0" w:rsidTr="00740BA0">
        <w:trPr>
          <w:trHeight w:val="132"/>
        </w:trPr>
        <w:tc>
          <w:tcPr>
            <w:cnfStyle w:val="001000000000" w:firstRow="0" w:lastRow="0" w:firstColumn="1" w:lastColumn="0" w:oddVBand="0" w:evenVBand="0" w:oddHBand="0" w:evenHBand="0" w:firstRowFirstColumn="0" w:firstRowLastColumn="0" w:lastRowFirstColumn="0" w:lastRowLastColumn="0"/>
            <w:tcW w:w="714" w:type="pct"/>
            <w:vMerge w:val="restart"/>
            <w:shd w:val="clear" w:color="auto" w:fill="FAE5D4"/>
          </w:tcPr>
          <w:p w14:paraId="0B7A8A14" w14:textId="75134068" w:rsidR="00320E4E" w:rsidRPr="000F23E0" w:rsidRDefault="00320E4E" w:rsidP="00320E4E">
            <w:pPr>
              <w:pStyle w:val="TableColumnHeadingLeft"/>
              <w:rPr>
                <w:rFonts w:eastAsia="Calibri"/>
              </w:rPr>
            </w:pPr>
            <w:r w:rsidRPr="000F23E0">
              <w:rPr>
                <w:rFonts w:eastAsiaTheme="majorEastAsia"/>
              </w:rPr>
              <w:t>Circular Economy (waste management)</w:t>
            </w:r>
          </w:p>
        </w:tc>
        <w:tc>
          <w:tcPr>
            <w:tcW w:w="551" w:type="pct"/>
            <w:vMerge w:val="restart"/>
            <w:shd w:val="clear" w:color="auto" w:fill="FDF0E7"/>
          </w:tcPr>
          <w:p w14:paraId="5AD0A08A" w14:textId="05609049" w:rsidR="00320E4E" w:rsidRPr="000F23E0" w:rsidRDefault="00320E4E" w:rsidP="00320E4E">
            <w:pPr>
              <w:pStyle w:val="TableColumnHeadingLeft"/>
              <w:cnfStyle w:val="000000000000" w:firstRow="0" w:lastRow="0" w:firstColumn="0" w:lastColumn="0" w:oddVBand="0" w:evenVBand="0" w:oddHBand="0" w:evenHBand="0" w:firstRowFirstColumn="0" w:firstRowLastColumn="0" w:lastRowFirstColumn="0" w:lastRowLastColumn="0"/>
            </w:pPr>
            <w:r w:rsidRPr="000F23E0">
              <w:t>Improved Environmental Outcomes</w:t>
            </w:r>
          </w:p>
        </w:tc>
        <w:tc>
          <w:tcPr>
            <w:tcW w:w="811" w:type="pct"/>
            <w:vMerge w:val="restart"/>
            <w:shd w:val="clear" w:color="auto" w:fill="FEFAF8"/>
          </w:tcPr>
          <w:p w14:paraId="770FD0C4" w14:textId="2EB2CB92" w:rsidR="00320E4E" w:rsidRPr="000F23E0" w:rsidRDefault="00320E4E" w:rsidP="00320E4E">
            <w:pPr>
              <w:pStyle w:val="TableTextLeft"/>
              <w:cnfStyle w:val="000000000000" w:firstRow="0" w:lastRow="0" w:firstColumn="0" w:lastColumn="0" w:oddVBand="0" w:evenVBand="0" w:oddHBand="0" w:evenHBand="0" w:firstRowFirstColumn="0" w:firstRowLastColumn="0" w:lastRowFirstColumn="0" w:lastRowLastColumn="0"/>
            </w:pPr>
            <w:r w:rsidRPr="000F23E0">
              <w:t>Recycling Modernisation</w:t>
            </w:r>
            <w:r w:rsidR="00965251" w:rsidRPr="000F23E0">
              <w:t> </w:t>
            </w:r>
            <w:r w:rsidRPr="000F23E0">
              <w:t>Fund</w:t>
            </w:r>
          </w:p>
        </w:tc>
        <w:tc>
          <w:tcPr>
            <w:tcW w:w="1316" w:type="pct"/>
            <w:shd w:val="clear" w:color="auto" w:fill="FEFAF8"/>
          </w:tcPr>
          <w:p w14:paraId="6FEBBA1E" w14:textId="37DD64EB" w:rsidR="00320E4E" w:rsidRPr="000F23E0" w:rsidRDefault="00320E4E" w:rsidP="00320E4E">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0F23E0">
              <w:t>Number of waste management projects</w:t>
            </w:r>
            <w:r w:rsidR="009C3FE1" w:rsidRPr="000F23E0">
              <w:t> </w:t>
            </w:r>
            <w:r w:rsidRPr="000F23E0">
              <w:t>completed</w:t>
            </w:r>
          </w:p>
        </w:tc>
        <w:tc>
          <w:tcPr>
            <w:tcW w:w="507" w:type="pct"/>
            <w:shd w:val="clear" w:color="auto" w:fill="FEFAF8"/>
          </w:tcPr>
          <w:p w14:paraId="237FBAFE" w14:textId="2CB1210D" w:rsidR="00320E4E" w:rsidRPr="000F23E0" w:rsidRDefault="00320E4E" w:rsidP="00320E4E">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0F23E0">
              <w:t>22</w:t>
            </w:r>
          </w:p>
        </w:tc>
        <w:tc>
          <w:tcPr>
            <w:tcW w:w="354" w:type="pct"/>
            <w:shd w:val="clear" w:color="auto" w:fill="FEFAF8"/>
          </w:tcPr>
          <w:p w14:paraId="1E9942BF" w14:textId="224DC6DE" w:rsidR="00320E4E" w:rsidRPr="000F23E0" w:rsidRDefault="00320E4E" w:rsidP="00320E4E">
            <w:pPr>
              <w:pStyle w:val="TableTextLeft"/>
              <w:cnfStyle w:val="000000000000" w:firstRow="0" w:lastRow="0" w:firstColumn="0" w:lastColumn="0" w:oddVBand="0" w:evenVBand="0" w:oddHBand="0" w:evenHBand="0" w:firstRowFirstColumn="0" w:firstRowLastColumn="0" w:lastRowFirstColumn="0" w:lastRowLastColumn="0"/>
              <w:rPr>
                <w:rFonts w:eastAsia="Calibri"/>
                <w:bCs/>
              </w:rPr>
            </w:pPr>
            <w:r w:rsidRPr="000F23E0">
              <w:t>Recorded</w:t>
            </w:r>
          </w:p>
        </w:tc>
        <w:tc>
          <w:tcPr>
            <w:tcW w:w="747" w:type="pct"/>
            <w:shd w:val="clear" w:color="auto" w:fill="FEFAF8"/>
          </w:tcPr>
          <w:p w14:paraId="36F81892" w14:textId="1CD2EFA4" w:rsidR="00320E4E" w:rsidRPr="000F23E0" w:rsidRDefault="00320E4E" w:rsidP="00320E4E">
            <w:pPr>
              <w:pStyle w:val="TableTextLeft"/>
              <w:cnfStyle w:val="000000000000" w:firstRow="0" w:lastRow="0" w:firstColumn="0" w:lastColumn="0" w:oddVBand="0" w:evenVBand="0" w:oddHBand="0" w:evenHBand="0" w:firstRowFirstColumn="0" w:firstRowLastColumn="0" w:lastRowFirstColumn="0" w:lastRowLastColumn="0"/>
              <w:rPr>
                <w:rFonts w:eastAsia="Calibri"/>
                <w:bCs/>
              </w:rPr>
            </w:pPr>
            <w:r w:rsidRPr="000F23E0">
              <w:t>FY2024–25</w:t>
            </w:r>
          </w:p>
        </w:tc>
      </w:tr>
      <w:tr w:rsidR="00320E4E" w:rsidRPr="000F23E0" w14:paraId="3A047FAF" w14:textId="7E513065" w:rsidTr="00740BA0">
        <w:trPr>
          <w:trHeight w:val="131"/>
        </w:trPr>
        <w:tc>
          <w:tcPr>
            <w:cnfStyle w:val="001000000000" w:firstRow="0" w:lastRow="0" w:firstColumn="1" w:lastColumn="0" w:oddVBand="0" w:evenVBand="0" w:oddHBand="0" w:evenHBand="0" w:firstRowFirstColumn="0" w:firstRowLastColumn="0" w:lastRowFirstColumn="0" w:lastRowLastColumn="0"/>
            <w:tcW w:w="714" w:type="pct"/>
            <w:vMerge/>
            <w:shd w:val="clear" w:color="auto" w:fill="FAE5D4"/>
          </w:tcPr>
          <w:p w14:paraId="37D1074F" w14:textId="77777777" w:rsidR="005901F0" w:rsidRPr="000F23E0" w:rsidRDefault="005901F0" w:rsidP="00B6149B">
            <w:pPr>
              <w:pStyle w:val="TableTextLeft"/>
              <w:rPr>
                <w:rFonts w:eastAsiaTheme="majorEastAsia"/>
                <w:sz w:val="20"/>
              </w:rPr>
            </w:pPr>
          </w:p>
        </w:tc>
        <w:tc>
          <w:tcPr>
            <w:tcW w:w="551" w:type="pct"/>
            <w:vMerge/>
            <w:shd w:val="clear" w:color="auto" w:fill="FDF0E7"/>
          </w:tcPr>
          <w:p w14:paraId="0F928D2A" w14:textId="77777777" w:rsidR="002E73D4" w:rsidRPr="000F23E0" w:rsidRDefault="002E73D4" w:rsidP="002E73D4">
            <w:pPr>
              <w:pStyle w:val="TableTextLeft"/>
              <w:cnfStyle w:val="000000000000" w:firstRow="0" w:lastRow="0" w:firstColumn="0" w:lastColumn="0" w:oddVBand="0" w:evenVBand="0" w:oddHBand="0" w:evenHBand="0" w:firstRowFirstColumn="0" w:firstRowLastColumn="0" w:lastRowFirstColumn="0" w:lastRowLastColumn="0"/>
            </w:pPr>
          </w:p>
        </w:tc>
        <w:tc>
          <w:tcPr>
            <w:tcW w:w="811" w:type="pct"/>
            <w:vMerge/>
            <w:shd w:val="clear" w:color="auto" w:fill="FEFAF8"/>
          </w:tcPr>
          <w:p w14:paraId="69122103" w14:textId="77777777" w:rsidR="005901F0" w:rsidRPr="000F23E0" w:rsidRDefault="005901F0" w:rsidP="00B6149B">
            <w:pPr>
              <w:pStyle w:val="TableTextLeft"/>
              <w:cnfStyle w:val="000000000000" w:firstRow="0" w:lastRow="0" w:firstColumn="0" w:lastColumn="0" w:oddVBand="0" w:evenVBand="0" w:oddHBand="0" w:evenHBand="0" w:firstRowFirstColumn="0" w:firstRowLastColumn="0" w:lastRowFirstColumn="0" w:lastRowLastColumn="0"/>
            </w:pPr>
          </w:p>
        </w:tc>
        <w:tc>
          <w:tcPr>
            <w:tcW w:w="1316" w:type="pct"/>
            <w:shd w:val="clear" w:color="auto" w:fill="FEFAF8"/>
          </w:tcPr>
          <w:p w14:paraId="17205ECB" w14:textId="77557584" w:rsidR="00D9096C" w:rsidRPr="000F23E0" w:rsidRDefault="00D9096C" w:rsidP="00A559F3">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0F23E0">
              <w:t>Additional waste processing capacity (tonnes</w:t>
            </w:r>
            <w:r w:rsidR="009C3FE1" w:rsidRPr="000F23E0">
              <w:t> </w:t>
            </w:r>
            <w:r w:rsidRPr="000F23E0">
              <w:t>p.a.)</w:t>
            </w:r>
          </w:p>
        </w:tc>
        <w:tc>
          <w:tcPr>
            <w:tcW w:w="507" w:type="pct"/>
            <w:shd w:val="clear" w:color="auto" w:fill="FEFAF8"/>
          </w:tcPr>
          <w:p w14:paraId="7AE638F3" w14:textId="63403ADF" w:rsidR="00D9096C" w:rsidRPr="000F23E0" w:rsidRDefault="00D9096C" w:rsidP="00905F10">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0F23E0">
              <w:t>105,200</w:t>
            </w:r>
          </w:p>
        </w:tc>
        <w:tc>
          <w:tcPr>
            <w:tcW w:w="354" w:type="pct"/>
            <w:shd w:val="clear" w:color="auto" w:fill="FEFAF8"/>
          </w:tcPr>
          <w:p w14:paraId="5C60962A" w14:textId="321F641D" w:rsidR="005901F0" w:rsidRPr="000F23E0" w:rsidRDefault="00D9096C" w:rsidP="00B6149B">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0F23E0">
              <w:t>Projected</w:t>
            </w:r>
          </w:p>
        </w:tc>
        <w:tc>
          <w:tcPr>
            <w:tcW w:w="747" w:type="pct"/>
            <w:shd w:val="clear" w:color="auto" w:fill="FEFAF8"/>
          </w:tcPr>
          <w:p w14:paraId="0BBA7F7E" w14:textId="795083F9" w:rsidR="005901F0" w:rsidRPr="000F23E0" w:rsidRDefault="00D9096C" w:rsidP="00B6149B">
            <w:pPr>
              <w:pStyle w:val="TableTextLeft"/>
              <w:cnfStyle w:val="000000000000" w:firstRow="0" w:lastRow="0" w:firstColumn="0" w:lastColumn="0" w:oddVBand="0" w:evenVBand="0" w:oddHBand="0" w:evenHBand="0" w:firstRowFirstColumn="0" w:firstRowLastColumn="0" w:lastRowFirstColumn="0" w:lastRowLastColumn="0"/>
              <w:rPr>
                <w:rFonts w:eastAsia="Calibri"/>
              </w:rPr>
            </w:pPr>
            <w:r w:rsidRPr="000F23E0">
              <w:t>Once fully operational</w:t>
            </w:r>
          </w:p>
        </w:tc>
      </w:tr>
    </w:tbl>
    <w:p w14:paraId="37D1EDC1" w14:textId="4E8B4095" w:rsidR="00F905E5" w:rsidRPr="000F23E0" w:rsidRDefault="00C274B5" w:rsidP="00320E4E">
      <w:pPr>
        <w:pStyle w:val="ChartandTableFootnoteAlpha"/>
        <w:numPr>
          <w:ilvl w:val="0"/>
          <w:numId w:val="54"/>
        </w:numPr>
      </w:pPr>
      <w:r w:rsidRPr="000F23E0">
        <w:t>The projected number of dwellings with energy performance upgrades includes the over 20,000 recorded number of dwellings with energy performance upgrades.</w:t>
      </w:r>
    </w:p>
    <w:p w14:paraId="63457F6D" w14:textId="270ADA7E" w:rsidR="00C274B5" w:rsidRPr="000F23E0" w:rsidRDefault="009904B7" w:rsidP="00320E4E">
      <w:pPr>
        <w:pStyle w:val="ChartandTableFootnoteAlpha"/>
      </w:pPr>
      <w:r w:rsidRPr="000F23E0">
        <w:t>The projected anticipated km of rail built or upgraded includes the 72.0 km of recorded rail built or upgraded.</w:t>
      </w:r>
    </w:p>
    <w:p w14:paraId="3113D701" w14:textId="77777777" w:rsidR="00C274B5" w:rsidRPr="000F23E0" w:rsidRDefault="00C274B5" w:rsidP="00F905E5"/>
    <w:p w14:paraId="1483E711" w14:textId="13C58EB0" w:rsidR="00F905E5" w:rsidRPr="000F23E0" w:rsidRDefault="00F905E5" w:rsidP="00F905E5">
      <w:pPr>
        <w:sectPr w:rsidR="00F905E5" w:rsidRPr="000F23E0" w:rsidSect="00D77D9A">
          <w:footnotePr>
            <w:numFmt w:val="lowerLetter"/>
          </w:footnotePr>
          <w:endnotePr>
            <w:numFmt w:val="decimal"/>
          </w:endnotePr>
          <w:pgSz w:w="16838" w:h="11906" w:orient="landscape" w:code="9"/>
          <w:pgMar w:top="1418" w:right="1418" w:bottom="992" w:left="1418" w:header="709" w:footer="885" w:gutter="0"/>
          <w:pgNumType w:fmt="lowerRoman"/>
          <w:cols w:space="708"/>
          <w:docGrid w:linePitch="360"/>
        </w:sectPr>
      </w:pPr>
    </w:p>
    <w:p w14:paraId="6CD8C725" w14:textId="168A2322" w:rsidR="00133A98" w:rsidRPr="000F23E0" w:rsidRDefault="00D3586C" w:rsidP="00557D2D">
      <w:pPr>
        <w:pStyle w:val="Heading1"/>
      </w:pPr>
      <w:bookmarkStart w:id="47" w:name="_Toc225155732"/>
      <w:bookmarkEnd w:id="3"/>
      <w:bookmarkEnd w:id="4"/>
      <w:r w:rsidRPr="000F23E0">
        <w:lastRenderedPageBreak/>
        <w:t xml:space="preserve">Chapter 1: </w:t>
      </w:r>
      <w:r w:rsidR="00133A98" w:rsidRPr="000F23E0">
        <w:t>Australian context</w:t>
      </w:r>
      <w:bookmarkEnd w:id="47"/>
    </w:p>
    <w:p w14:paraId="2CA6F0BC" w14:textId="34ECC7AF" w:rsidR="002A4D54" w:rsidRPr="000F23E0" w:rsidRDefault="002A4D54" w:rsidP="002A4D54">
      <w:pPr>
        <w:shd w:val="clear" w:color="auto" w:fill="FFFFFF" w:themeFill="background1"/>
      </w:pPr>
      <w:r w:rsidRPr="000F23E0">
        <w:t>Australia</w:t>
      </w:r>
      <w:r w:rsidR="002C4475" w:rsidRPr="000F23E0">
        <w:t>’</w:t>
      </w:r>
      <w:r w:rsidRPr="000F23E0">
        <w:t>s environment is a vital part of its national identity</w:t>
      </w:r>
      <w:r w:rsidR="00E4073F" w:rsidRPr="000F23E0">
        <w:t xml:space="preserve"> and underpins our economy</w:t>
      </w:r>
      <w:r w:rsidR="00386657" w:rsidRPr="000F23E0">
        <w:t xml:space="preserve"> and wellbeing</w:t>
      </w:r>
      <w:r w:rsidRPr="000F23E0">
        <w:t xml:space="preserve">. </w:t>
      </w:r>
      <w:r w:rsidR="00AB6F0D" w:rsidRPr="000F23E0">
        <w:t>It</w:t>
      </w:r>
      <w:r w:rsidR="009704BE" w:rsidRPr="000F23E0">
        <w:t xml:space="preserve"> is the</w:t>
      </w:r>
      <w:r w:rsidRPr="000F23E0">
        <w:t xml:space="preserve"> habitat for nearly 600,000 native species </w:t>
      </w:r>
      <w:r w:rsidR="008679A5" w:rsidRPr="000F23E0">
        <w:t xml:space="preserve">and </w:t>
      </w:r>
      <w:r w:rsidRPr="000F23E0">
        <w:t>home to one of the oldest living cultures on earth. First Nations people have cared for Country</w:t>
      </w:r>
      <w:r w:rsidR="005D785A" w:rsidRPr="000F23E0">
        <w:t xml:space="preserve"> for over 60,000 years</w:t>
      </w:r>
      <w:r w:rsidRPr="000F23E0">
        <w:t xml:space="preserve">. </w:t>
      </w:r>
    </w:p>
    <w:p w14:paraId="37B351AB" w14:textId="47CD8A5B" w:rsidR="00864C2D" w:rsidRPr="000F23E0" w:rsidRDefault="002A4D54" w:rsidP="00864C2D">
      <w:pPr>
        <w:shd w:val="clear" w:color="auto" w:fill="FFFFFF" w:themeFill="background1"/>
      </w:pPr>
      <w:r w:rsidRPr="000F23E0">
        <w:t xml:space="preserve">The Australian Government </w:t>
      </w:r>
      <w:r w:rsidR="000E0B38" w:rsidRPr="000F23E0">
        <w:t xml:space="preserve">acknowledges </w:t>
      </w:r>
      <w:r w:rsidRPr="000F23E0">
        <w:t xml:space="preserve">the need to protect </w:t>
      </w:r>
      <w:r w:rsidR="002E482D" w:rsidRPr="000F23E0">
        <w:t xml:space="preserve">the </w:t>
      </w:r>
      <w:r w:rsidRPr="000F23E0">
        <w:t xml:space="preserve">environment from the impacts of climate change. </w:t>
      </w:r>
      <w:r w:rsidR="00C6214C" w:rsidRPr="000F23E0">
        <w:t>It</w:t>
      </w:r>
      <w:r w:rsidR="00DF05FD" w:rsidRPr="000F23E0">
        <w:t xml:space="preserve"> is</w:t>
      </w:r>
      <w:r w:rsidR="00A8345F" w:rsidRPr="000F23E0">
        <w:t xml:space="preserve"> committed</w:t>
      </w:r>
      <w:r w:rsidR="00DF05FD" w:rsidRPr="000F23E0">
        <w:t xml:space="preserve"> </w:t>
      </w:r>
      <w:r w:rsidR="00492598" w:rsidRPr="000F23E0">
        <w:t>to</w:t>
      </w:r>
      <w:r w:rsidR="00A8345F" w:rsidRPr="000F23E0">
        <w:t xml:space="preserve"> </w:t>
      </w:r>
      <w:r w:rsidR="00DF05FD" w:rsidRPr="000F23E0">
        <w:t xml:space="preserve">the Paris Agreement </w:t>
      </w:r>
      <w:r w:rsidR="00A8345F" w:rsidRPr="000F23E0">
        <w:t xml:space="preserve">goal of holding global average </w:t>
      </w:r>
      <w:r w:rsidR="00081CA0" w:rsidRPr="000F23E0">
        <w:t>temperature increase</w:t>
      </w:r>
      <w:r w:rsidR="00F14080" w:rsidRPr="000F23E0">
        <w:t>s</w:t>
      </w:r>
      <w:r w:rsidR="00081CA0" w:rsidRPr="000F23E0">
        <w:t xml:space="preserve"> </w:t>
      </w:r>
      <w:r w:rsidR="00E04E7F" w:rsidRPr="000F23E0">
        <w:t xml:space="preserve">to well below 2°C </w:t>
      </w:r>
      <w:r w:rsidR="00BA2FEE" w:rsidRPr="000F23E0">
        <w:t xml:space="preserve">above </w:t>
      </w:r>
      <w:r w:rsidR="00A8345F" w:rsidRPr="000F23E0">
        <w:t>pre</w:t>
      </w:r>
      <w:r w:rsidR="002C4475" w:rsidRPr="000F23E0">
        <w:noBreakHyphen/>
      </w:r>
      <w:r w:rsidR="00A8345F" w:rsidRPr="000F23E0">
        <w:t xml:space="preserve">industrial levels </w:t>
      </w:r>
      <w:r w:rsidR="00FE793F" w:rsidRPr="000F23E0">
        <w:t xml:space="preserve">and pursuing efforts to </w:t>
      </w:r>
      <w:r w:rsidR="00367AA9" w:rsidRPr="000F23E0">
        <w:t>limit the increase</w:t>
      </w:r>
      <w:r w:rsidR="00FE793F" w:rsidRPr="000F23E0">
        <w:t xml:space="preserve"> </w:t>
      </w:r>
      <w:r w:rsidR="00EB3357" w:rsidRPr="000F23E0">
        <w:t xml:space="preserve">to </w:t>
      </w:r>
      <w:r w:rsidR="00FE793F" w:rsidRPr="000F23E0">
        <w:t>1.5°C</w:t>
      </w:r>
      <w:r w:rsidRPr="000F23E0">
        <w:t xml:space="preserve">. </w:t>
      </w:r>
      <w:r w:rsidR="00634E28" w:rsidRPr="000F23E0">
        <w:t>It</w:t>
      </w:r>
      <w:r w:rsidR="00AC745A" w:rsidRPr="000F23E0">
        <w:t xml:space="preserve"> has committed to a 43</w:t>
      </w:r>
      <w:r w:rsidR="00557D2D" w:rsidRPr="000F23E0">
        <w:t> </w:t>
      </w:r>
      <w:r w:rsidR="00AC745A" w:rsidRPr="000F23E0">
        <w:t>per</w:t>
      </w:r>
      <w:r w:rsidR="00557D2D" w:rsidRPr="000F23E0">
        <w:t> </w:t>
      </w:r>
      <w:r w:rsidR="00AC745A" w:rsidRPr="000F23E0">
        <w:t>cent reduction below 2005 levels by 2030, and net zero by 2050</w:t>
      </w:r>
      <w:r w:rsidR="002C4475" w:rsidRPr="000F23E0">
        <w:t xml:space="preserve">. </w:t>
      </w:r>
      <w:r w:rsidR="009A1F20" w:rsidRPr="000F23E0">
        <w:t>I</w:t>
      </w:r>
      <w:r w:rsidR="00AC745A" w:rsidRPr="000F23E0">
        <w:t>n</w:t>
      </w:r>
      <w:r w:rsidR="00740BA0" w:rsidRPr="000F23E0">
        <w:t> </w:t>
      </w:r>
      <w:r w:rsidR="00AC745A" w:rsidRPr="000F23E0">
        <w:t xml:space="preserve">September 2025 Australia announced </w:t>
      </w:r>
      <w:r w:rsidR="00634E28" w:rsidRPr="000F23E0">
        <w:t>a</w:t>
      </w:r>
      <w:r w:rsidR="00AC745A" w:rsidRPr="000F23E0">
        <w:t xml:space="preserve"> 2035 emission reduction target of 62</w:t>
      </w:r>
      <w:r w:rsidR="000A2F3A" w:rsidRPr="000F23E0">
        <w:t xml:space="preserve"> to </w:t>
      </w:r>
      <w:r w:rsidR="00AC745A" w:rsidRPr="000F23E0">
        <w:t>70</w:t>
      </w:r>
      <w:r w:rsidR="00557D2D" w:rsidRPr="000F23E0">
        <w:t> </w:t>
      </w:r>
      <w:r w:rsidR="00AC745A" w:rsidRPr="000F23E0">
        <w:t>per</w:t>
      </w:r>
      <w:r w:rsidR="00557D2D" w:rsidRPr="000F23E0">
        <w:t> </w:t>
      </w:r>
      <w:r w:rsidR="00AC745A" w:rsidRPr="000F23E0">
        <w:t>cent below 2005</w:t>
      </w:r>
      <w:r w:rsidR="000A2F3A" w:rsidRPr="000F23E0">
        <w:t xml:space="preserve"> levels</w:t>
      </w:r>
      <w:r w:rsidR="00AC745A" w:rsidRPr="000F23E0">
        <w:t>.</w:t>
      </w:r>
      <w:r w:rsidR="00AC745A" w:rsidRPr="000F23E0">
        <w:rPr>
          <w:rStyle w:val="EndnoteReference"/>
        </w:rPr>
        <w:endnoteReference w:id="5"/>
      </w:r>
      <w:r w:rsidR="00AC745A" w:rsidRPr="000F23E0">
        <w:t xml:space="preserve"> </w:t>
      </w:r>
      <w:r w:rsidR="00864C2D" w:rsidRPr="000F23E0">
        <w:t xml:space="preserve">This target was informed by independent advice from the </w:t>
      </w:r>
      <w:hyperlink r:id="rId39" w:history="1">
        <w:r w:rsidR="00864C2D" w:rsidRPr="000F23E0">
          <w:rPr>
            <w:rStyle w:val="Hyperlink"/>
          </w:rPr>
          <w:t>Climate Change Authority</w:t>
        </w:r>
      </w:hyperlink>
      <w:r w:rsidR="00864C2D" w:rsidRPr="000F23E0">
        <w:t xml:space="preserve"> and Treasury modelling.</w:t>
      </w:r>
    </w:p>
    <w:p w14:paraId="0B6DEC4C" w14:textId="1841F938" w:rsidR="00D62532" w:rsidRPr="000F23E0" w:rsidRDefault="00D62532" w:rsidP="002A4D54">
      <w:pPr>
        <w:shd w:val="clear" w:color="auto" w:fill="FFFFFF" w:themeFill="background1"/>
      </w:pPr>
      <w:r w:rsidRPr="000F23E0">
        <w:t xml:space="preserve">Climate change impacts are already imposing social and economic costs on Australians and the environment. Over the past year, the evidence base of existing and projected impacts </w:t>
      </w:r>
      <w:r w:rsidR="00A427B5" w:rsidRPr="000F23E0">
        <w:t>has</w:t>
      </w:r>
      <w:r w:rsidR="00957237" w:rsidRPr="000F23E0">
        <w:t xml:space="preserve"> been improved </w:t>
      </w:r>
      <w:r w:rsidR="001301B3" w:rsidRPr="000F23E0">
        <w:t>with</w:t>
      </w:r>
      <w:r w:rsidRPr="000F23E0">
        <w:t xml:space="preserve"> publishing </w:t>
      </w:r>
      <w:r w:rsidR="001301B3" w:rsidRPr="000F23E0">
        <w:t xml:space="preserve">of </w:t>
      </w:r>
      <w:r w:rsidRPr="000F23E0">
        <w:t>the first National Climate Risk Assessment</w:t>
      </w:r>
      <w:r w:rsidR="00632CAA" w:rsidRPr="000F23E0">
        <w:t xml:space="preserve">. </w:t>
      </w:r>
      <w:r w:rsidR="006C2EBC" w:rsidRPr="000F23E0">
        <w:t>Publication of the first National Adaptation Plan will also help guide t</w:t>
      </w:r>
      <w:r w:rsidR="005848EF" w:rsidRPr="000F23E0">
        <w:t>he</w:t>
      </w:r>
      <w:r w:rsidR="009933C3" w:rsidRPr="000F23E0">
        <w:t xml:space="preserve"> government</w:t>
      </w:r>
      <w:r w:rsidR="002C4475" w:rsidRPr="000F23E0">
        <w:t>’</w:t>
      </w:r>
      <w:r w:rsidR="009933C3" w:rsidRPr="000F23E0">
        <w:t>s policy response</w:t>
      </w:r>
      <w:r w:rsidR="00717F35" w:rsidRPr="000F23E0">
        <w:t>s</w:t>
      </w:r>
      <w:r w:rsidRPr="000F23E0">
        <w:t xml:space="preserve">. </w:t>
      </w:r>
    </w:p>
    <w:p w14:paraId="49EDC052" w14:textId="1DC5F51A" w:rsidR="00337916" w:rsidRPr="000F23E0" w:rsidRDefault="00337916" w:rsidP="002A4D54">
      <w:pPr>
        <w:shd w:val="clear" w:color="auto" w:fill="FFFFFF" w:themeFill="background1"/>
      </w:pPr>
      <w:bookmarkStart w:id="48" w:name="tempbookmark"/>
      <w:r w:rsidRPr="000F23E0">
        <w:drawing>
          <wp:inline distT="0" distB="0" distL="0" distR="0" wp14:anchorId="4E589905" wp14:editId="6569B778">
            <wp:extent cx="5702398" cy="1267200"/>
            <wp:effectExtent l="0" t="0" r="0" b="9525"/>
            <wp:docPr id="148437655" name="Picture 4" descr="This infographic displays Australia's key climate objectives: Net zero greenhouse gas emissions; 62-70% reduction in emissions (compared to 2005 levels) by 2035; 82% renewable electricity in the National Electricity Market by 2030; 30% of Australia's landmass and marine areas protected and conserved by 2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37655" name="Picture 4" descr="This infographic displays Australia's key climate objectives: Net zero greenhouse gas emissions; 62-70% reduction in emissions (compared to 2005 levels) by 2035; 82% renewable electricity in the National Electricity Market by 2030; 30% of Australia's landmass and marine areas protected and conserved by 2030."/>
                    <pic:cNvPicPr>
                      <a:picLocks noChangeAspect="1" noChangeArrowheads="1"/>
                    </pic:cNvPicPr>
                  </pic:nvPicPr>
                  <pic:blipFill>
                    <a:blip r:embed="rId40" cstate="print">
                      <a:extLst>
                        <a:ext uri="{28A0092B-C50C-407E-A947-70E740481C1C}">
                          <a14:useLocalDpi xmlns:a14="http://schemas.microsoft.com/office/drawing/2010/main" val="0"/>
                        </a:ext>
                      </a:extLst>
                    </a:blip>
                    <a:stretch>
                      <a:fillRect/>
                    </a:stretch>
                  </pic:blipFill>
                  <pic:spPr bwMode="auto">
                    <a:xfrm>
                      <a:off x="0" y="0"/>
                      <a:ext cx="5702398" cy="1267200"/>
                    </a:xfrm>
                    <a:prstGeom prst="rect">
                      <a:avLst/>
                    </a:prstGeom>
                    <a:noFill/>
                    <a:ln>
                      <a:noFill/>
                    </a:ln>
                  </pic:spPr>
                </pic:pic>
              </a:graphicData>
            </a:graphic>
          </wp:inline>
        </w:drawing>
      </w:r>
      <w:bookmarkEnd w:id="48"/>
    </w:p>
    <w:p w14:paraId="6D7EB5A0" w14:textId="1F5372C0" w:rsidR="002A4D54" w:rsidRPr="000F23E0" w:rsidRDefault="002A4D54" w:rsidP="002A4D54">
      <w:pPr>
        <w:shd w:val="clear" w:color="auto" w:fill="FFFFFF" w:themeFill="background1"/>
      </w:pPr>
      <w:r w:rsidRPr="000F23E0">
        <w:t xml:space="preserve">Australia remains committed to limiting global warming and reducing climate impacts by </w:t>
      </w:r>
      <w:r w:rsidR="000A2AB8" w:rsidRPr="000F23E0">
        <w:t>leading negotiations for</w:t>
      </w:r>
      <w:r w:rsidR="00F8761E" w:rsidRPr="000F23E0">
        <w:t xml:space="preserve"> </w:t>
      </w:r>
      <w:r w:rsidRPr="000F23E0">
        <w:t>COP31, meeting its committed 2030 and 2035 emissions reductions targets and adapting to protect Australians</w:t>
      </w:r>
      <w:r w:rsidR="002C4475" w:rsidRPr="000F23E0">
        <w:t>’</w:t>
      </w:r>
      <w:r w:rsidRPr="000F23E0">
        <w:t xml:space="preserve"> way of life. Australia is committed to investing in targeted climate change mitigation and adaptation solutions, including the Net Zero Plan, </w:t>
      </w:r>
      <w:r w:rsidR="00496564" w:rsidRPr="000F23E0">
        <w:t xml:space="preserve">6 </w:t>
      </w:r>
      <w:r w:rsidRPr="000F23E0">
        <w:t xml:space="preserve">sectoral plans, and continuing to invest in the Future Made in Australia. </w:t>
      </w:r>
    </w:p>
    <w:p w14:paraId="310ABB7A" w14:textId="65601BFF" w:rsidR="002A4D54" w:rsidRPr="000F23E0" w:rsidRDefault="002A4D54" w:rsidP="002A4D54">
      <w:pPr>
        <w:shd w:val="clear" w:color="auto" w:fill="FFFFFF" w:themeFill="background1"/>
        <w:rPr>
          <w:shd w:val="clear" w:color="auto" w:fill="FFFFFF" w:themeFill="background1"/>
        </w:rPr>
      </w:pPr>
      <w:r w:rsidRPr="000F23E0">
        <w:t>Achieving Australia</w:t>
      </w:r>
      <w:r w:rsidR="002C4475" w:rsidRPr="000F23E0">
        <w:t>’</w:t>
      </w:r>
      <w:r w:rsidRPr="000F23E0">
        <w:t xml:space="preserve">s climate and </w:t>
      </w:r>
      <w:r w:rsidRPr="000F23E0">
        <w:rPr>
          <w:shd w:val="clear" w:color="auto" w:fill="FFFFFF" w:themeFill="background1"/>
        </w:rPr>
        <w:t>environmental objectives will require a significant amount of private and public investment.</w:t>
      </w:r>
      <w:r w:rsidR="00AA0E22" w:rsidRPr="000F23E0">
        <w:rPr>
          <w:shd w:val="clear" w:color="auto" w:fill="FFFFFF" w:themeFill="background1"/>
        </w:rPr>
        <w:t xml:space="preserve"> </w:t>
      </w:r>
      <w:r w:rsidR="00EB3E86" w:rsidRPr="000F23E0">
        <w:rPr>
          <w:shd w:val="clear" w:color="auto" w:fill="FFFFFF" w:themeFill="background1"/>
        </w:rPr>
        <w:t>O</w:t>
      </w:r>
      <w:r w:rsidR="00C33262" w:rsidRPr="000F23E0">
        <w:rPr>
          <w:shd w:val="clear" w:color="auto" w:fill="FFFFFF" w:themeFill="background1"/>
        </w:rPr>
        <w:t xml:space="preserve">ver </w:t>
      </w:r>
      <w:r w:rsidR="004E69A2" w:rsidRPr="000F23E0">
        <w:rPr>
          <w:shd w:val="clear" w:color="auto" w:fill="FFFFFF" w:themeFill="background1"/>
        </w:rPr>
        <w:t xml:space="preserve">130 </w:t>
      </w:r>
      <w:r w:rsidR="00C33262" w:rsidRPr="000F23E0">
        <w:rPr>
          <w:shd w:val="clear" w:color="auto" w:fill="FFFFFF" w:themeFill="background1"/>
        </w:rPr>
        <w:t>ASX200 companies have net zero commitments</w:t>
      </w:r>
      <w:r w:rsidR="00496564" w:rsidRPr="000F23E0">
        <w:rPr>
          <w:shd w:val="clear" w:color="auto" w:fill="FFFFFF" w:themeFill="background1"/>
        </w:rPr>
        <w:t>.</w:t>
      </w:r>
      <w:r w:rsidR="00B6180E" w:rsidRPr="000F23E0">
        <w:rPr>
          <w:rStyle w:val="EndnoteReference"/>
          <w:shd w:val="clear" w:color="auto" w:fill="FFFFFF" w:themeFill="background1"/>
        </w:rPr>
        <w:endnoteReference w:id="6"/>
      </w:r>
      <w:r w:rsidR="00066095" w:rsidRPr="000F23E0">
        <w:rPr>
          <w:shd w:val="clear" w:color="auto" w:fill="FFFFFF" w:themeFill="background1"/>
        </w:rPr>
        <w:t xml:space="preserve"> </w:t>
      </w:r>
      <w:r w:rsidRPr="000F23E0">
        <w:rPr>
          <w:shd w:val="clear" w:color="auto" w:fill="FFFFFF" w:themeFill="background1"/>
        </w:rPr>
        <w:t xml:space="preserve">Demand is growing from investors to drive decarbonisation, leverage the opportunities of a net zero economy, improve </w:t>
      </w:r>
      <w:r w:rsidR="00445AD4" w:rsidRPr="000F23E0">
        <w:rPr>
          <w:shd w:val="clear" w:color="auto" w:fill="FFFFFF" w:themeFill="background1"/>
        </w:rPr>
        <w:t>climate change adaptation</w:t>
      </w:r>
      <w:r w:rsidRPr="000F23E0">
        <w:rPr>
          <w:shd w:val="clear" w:color="auto" w:fill="FFFFFF" w:themeFill="background1"/>
        </w:rPr>
        <w:t xml:space="preserve"> measures and protect the environment. </w:t>
      </w:r>
    </w:p>
    <w:p w14:paraId="572CE1C7" w14:textId="4597B1F3" w:rsidR="00087B68" w:rsidRPr="000F23E0" w:rsidRDefault="00087B68" w:rsidP="00740BA0">
      <w:pPr>
        <w:pStyle w:val="Heading2"/>
        <w:keepLines/>
      </w:pPr>
      <w:bookmarkStart w:id="49" w:name="_Toc225155733"/>
      <w:r w:rsidRPr="000F23E0">
        <w:lastRenderedPageBreak/>
        <w:t xml:space="preserve">Sustainable </w:t>
      </w:r>
      <w:r w:rsidR="00024473" w:rsidRPr="000F23E0">
        <w:t>f</w:t>
      </w:r>
      <w:r w:rsidRPr="000F23E0">
        <w:t>inance in Australia</w:t>
      </w:r>
      <w:bookmarkEnd w:id="49"/>
    </w:p>
    <w:p w14:paraId="6FDE7258" w14:textId="440E0A5F" w:rsidR="00087B68" w:rsidRPr="000F23E0" w:rsidRDefault="00087B68" w:rsidP="00740BA0">
      <w:pPr>
        <w:keepNext/>
        <w:keepLines/>
        <w:shd w:val="clear" w:color="auto" w:fill="FFFFFF" w:themeFill="background1"/>
      </w:pPr>
      <w:r w:rsidRPr="000F23E0">
        <w:t xml:space="preserve">A strong sustainable finance framework helps </w:t>
      </w:r>
      <w:r w:rsidR="54BE1F63" w:rsidRPr="000F23E0">
        <w:t xml:space="preserve">remove barriers </w:t>
      </w:r>
      <w:r w:rsidRPr="000F23E0">
        <w:t xml:space="preserve">to private capital </w:t>
      </w:r>
      <w:r w:rsidR="53E87F16" w:rsidRPr="000F23E0">
        <w:t xml:space="preserve">flowing </w:t>
      </w:r>
      <w:r w:rsidRPr="000F23E0">
        <w:t>where it</w:t>
      </w:r>
      <w:r w:rsidR="002C4475" w:rsidRPr="000F23E0">
        <w:t>’</w:t>
      </w:r>
      <w:r w:rsidRPr="000F23E0">
        <w:t xml:space="preserve">s needed to achieve the net zero </w:t>
      </w:r>
      <w:r w:rsidR="1A88B98E" w:rsidRPr="000F23E0">
        <w:t>transforma</w:t>
      </w:r>
      <w:r w:rsidRPr="000F23E0">
        <w:t>tion. Sustainable finance reforms help investors and companies invest efficiently and take advantage of opportunities in the transition to net zero.</w:t>
      </w:r>
    </w:p>
    <w:p w14:paraId="43D59F1E" w14:textId="2C334CB5" w:rsidR="00087B68" w:rsidRPr="000F23E0" w:rsidRDefault="00087B68" w:rsidP="00740BA0">
      <w:pPr>
        <w:keepNext/>
        <w:keepLines/>
        <w:shd w:val="clear" w:color="auto" w:fill="FFFFFF" w:themeFill="background1"/>
      </w:pPr>
      <w:r w:rsidRPr="000F23E0">
        <w:t>The sustainable finance market in Australia continues to develop</w:t>
      </w:r>
      <w:r w:rsidR="00853108" w:rsidRPr="000F23E0">
        <w:t xml:space="preserve">, with the voluntary Australian </w:t>
      </w:r>
      <w:r w:rsidR="009A4F30" w:rsidRPr="000F23E0">
        <w:t xml:space="preserve">Sustainable Finance </w:t>
      </w:r>
      <w:r w:rsidR="007049CE" w:rsidRPr="000F23E0">
        <w:t>Taxonomy</w:t>
      </w:r>
      <w:r w:rsidR="00853108" w:rsidRPr="000F23E0">
        <w:t xml:space="preserve"> released </w:t>
      </w:r>
      <w:r w:rsidR="009B4438" w:rsidRPr="000F23E0">
        <w:t xml:space="preserve">in </w:t>
      </w:r>
      <w:r w:rsidR="00765608" w:rsidRPr="000F23E0">
        <w:t>June 2025</w:t>
      </w:r>
      <w:r w:rsidR="00853108" w:rsidRPr="000F23E0">
        <w:t xml:space="preserve">. </w:t>
      </w:r>
      <w:r w:rsidR="00864965" w:rsidRPr="000F23E0">
        <w:t>Sustainable</w:t>
      </w:r>
      <w:r w:rsidR="00375DBB" w:rsidRPr="000F23E0">
        <w:t xml:space="preserve"> finance</w:t>
      </w:r>
      <w:r w:rsidR="00114B4E" w:rsidRPr="000F23E0">
        <w:t xml:space="preserve"> issuance in the Australian market was $4</w:t>
      </w:r>
      <w:r w:rsidR="000E0F45" w:rsidRPr="000F23E0">
        <w:t>8</w:t>
      </w:r>
      <w:r w:rsidR="00114B4E" w:rsidRPr="000F23E0">
        <w:t>.</w:t>
      </w:r>
      <w:r w:rsidR="000E0F45" w:rsidRPr="000F23E0">
        <w:t>3</w:t>
      </w:r>
      <w:r w:rsidR="0062687C" w:rsidRPr="000F23E0">
        <w:t> </w:t>
      </w:r>
      <w:r w:rsidR="00114B4E" w:rsidRPr="000F23E0">
        <w:t xml:space="preserve">billion in 2024 and </w:t>
      </w:r>
      <w:r w:rsidR="0042674D" w:rsidRPr="000F23E0">
        <w:t>$37.4</w:t>
      </w:r>
      <w:r w:rsidR="0062687C" w:rsidRPr="000F23E0">
        <w:t> </w:t>
      </w:r>
      <w:r w:rsidR="0042674D" w:rsidRPr="000F23E0">
        <w:t>billion in 2025</w:t>
      </w:r>
      <w:r w:rsidR="00024473" w:rsidRPr="000F23E0">
        <w:t>.</w:t>
      </w:r>
      <w:r w:rsidR="006571CF" w:rsidRPr="000F23E0">
        <w:rPr>
          <w:rStyle w:val="EndnoteReference"/>
        </w:rPr>
        <w:endnoteReference w:id="7"/>
      </w:r>
      <w:r w:rsidR="0042674D" w:rsidRPr="000F23E0">
        <w:t xml:space="preserve"> </w:t>
      </w:r>
      <w:r w:rsidR="00C82A7F" w:rsidRPr="000F23E0">
        <w:t>Consistent levels of issuance show continued strong interest from both issuers and investors in accessing the Australian market through labelled products.</w:t>
      </w:r>
    </w:p>
    <w:p w14:paraId="2702B72E" w14:textId="12406D6B" w:rsidR="00087B68" w:rsidRPr="000F23E0" w:rsidRDefault="00087B68" w:rsidP="00417F17">
      <w:pPr>
        <w:shd w:val="clear" w:color="auto" w:fill="FFFFFF" w:themeFill="background1"/>
      </w:pPr>
      <w:r w:rsidRPr="000F23E0">
        <w:t>The Government is</w:t>
      </w:r>
      <w:r w:rsidR="002522CE" w:rsidRPr="000F23E0">
        <w:t xml:space="preserve"> also</w:t>
      </w:r>
      <w:r w:rsidRPr="000F23E0">
        <w:t xml:space="preserve"> delivering sustainable finance reforms outlined under the </w:t>
      </w:r>
      <w:hyperlink r:id="rId41">
        <w:r w:rsidRPr="000F23E0">
          <w:rPr>
            <w:rStyle w:val="Hyperlink"/>
          </w:rPr>
          <w:t>Sustainable Finance Roadmap</w:t>
        </w:r>
      </w:hyperlink>
      <w:r w:rsidRPr="000F23E0">
        <w:t xml:space="preserve"> (the Roadmap). Issuance of </w:t>
      </w:r>
      <w:r w:rsidR="00611CEF" w:rsidRPr="000F23E0">
        <w:t>GTB</w:t>
      </w:r>
      <w:r w:rsidRPr="000F23E0">
        <w:t>s is priority 9 of the Roadmap.</w:t>
      </w:r>
      <w:r w:rsidR="00417F17" w:rsidRPr="000F23E0">
        <w:t xml:space="preserve"> </w:t>
      </w:r>
      <w:r w:rsidR="00083773" w:rsidRPr="000F23E0">
        <w:t xml:space="preserve">Other Roadmap </w:t>
      </w:r>
      <w:r w:rsidRPr="000F23E0">
        <w:t>initiatives include</w:t>
      </w:r>
      <w:r w:rsidR="009859F7" w:rsidRPr="000F23E0">
        <w:t xml:space="preserve"> m</w:t>
      </w:r>
      <w:r w:rsidRPr="000F23E0">
        <w:t xml:space="preserve">andatory </w:t>
      </w:r>
      <w:r w:rsidR="009859F7" w:rsidRPr="000F23E0">
        <w:t>c</w:t>
      </w:r>
      <w:r w:rsidRPr="000F23E0">
        <w:t>limate</w:t>
      </w:r>
      <w:r w:rsidR="002C4475" w:rsidRPr="000F23E0">
        <w:noBreakHyphen/>
      </w:r>
      <w:r w:rsidR="009859F7" w:rsidRPr="000F23E0">
        <w:t>r</w:t>
      </w:r>
      <w:r w:rsidRPr="000F23E0">
        <w:t xml:space="preserve">elated </w:t>
      </w:r>
      <w:r w:rsidR="009859F7" w:rsidRPr="000F23E0">
        <w:t>f</w:t>
      </w:r>
      <w:r w:rsidRPr="000F23E0">
        <w:t xml:space="preserve">inancial </w:t>
      </w:r>
      <w:r w:rsidR="009859F7" w:rsidRPr="000F23E0">
        <w:t>d</w:t>
      </w:r>
      <w:r w:rsidRPr="000F23E0">
        <w:t>isclosures for large businesses and financial institutions</w:t>
      </w:r>
      <w:r w:rsidR="006C5B4F" w:rsidRPr="000F23E0">
        <w:t>,</w:t>
      </w:r>
      <w:r w:rsidRPr="000F23E0">
        <w:t xml:space="preserve"> </w:t>
      </w:r>
      <w:r w:rsidR="00E42B05" w:rsidRPr="000F23E0">
        <w:t xml:space="preserve">which </w:t>
      </w:r>
      <w:r w:rsidR="000E425A" w:rsidRPr="000F23E0">
        <w:t>phased</w:t>
      </w:r>
      <w:r w:rsidR="009E45F2" w:rsidRPr="000F23E0">
        <w:t xml:space="preserve"> in</w:t>
      </w:r>
      <w:r w:rsidR="000E425A" w:rsidRPr="000F23E0">
        <w:t xml:space="preserve"> </w:t>
      </w:r>
      <w:r w:rsidR="00CE0853" w:rsidRPr="000F23E0">
        <w:t xml:space="preserve">from </w:t>
      </w:r>
      <w:r w:rsidRPr="000F23E0">
        <w:t xml:space="preserve">1 January 2025. This requires large Australian businesses </w:t>
      </w:r>
      <w:r w:rsidR="6B3B0F3A" w:rsidRPr="000F23E0">
        <w:t>an</w:t>
      </w:r>
      <w:r w:rsidRPr="000F23E0">
        <w:t xml:space="preserve">d financial institutions to prepare a </w:t>
      </w:r>
      <w:r w:rsidR="002C4475" w:rsidRPr="000F23E0">
        <w:t>‘</w:t>
      </w:r>
      <w:r w:rsidRPr="000F23E0">
        <w:t>sustainability report</w:t>
      </w:r>
      <w:r w:rsidR="002C4475" w:rsidRPr="000F23E0">
        <w:t>’</w:t>
      </w:r>
      <w:r w:rsidRPr="000F23E0">
        <w:t xml:space="preserve"> which must follow reporting requirements in the Australian Sustainability Reporting Standards (AASB S2). The AASB S2 largely align</w:t>
      </w:r>
      <w:r w:rsidR="007E693D" w:rsidRPr="000F23E0">
        <w:t>s</w:t>
      </w:r>
      <w:r w:rsidRPr="000F23E0">
        <w:t xml:space="preserve"> with International Sustainability Standards Board</w:t>
      </w:r>
      <w:r w:rsidR="002C4475" w:rsidRPr="000F23E0">
        <w:t>’</w:t>
      </w:r>
      <w:r w:rsidRPr="000F23E0">
        <w:t xml:space="preserve">s IFRS S2 </w:t>
      </w:r>
      <w:r w:rsidR="00E42B05" w:rsidRPr="000F23E0">
        <w:t>c</w:t>
      </w:r>
      <w:r w:rsidRPr="000F23E0">
        <w:t>limate</w:t>
      </w:r>
      <w:r w:rsidR="002C4475" w:rsidRPr="000F23E0">
        <w:noBreakHyphen/>
      </w:r>
      <w:r w:rsidRPr="000F23E0">
        <w:t xml:space="preserve">related disclosures. </w:t>
      </w:r>
    </w:p>
    <w:p w14:paraId="00846590" w14:textId="6578B8D9" w:rsidR="0063549F" w:rsidRPr="000F23E0" w:rsidRDefault="0063549F" w:rsidP="0063549F">
      <w:pPr>
        <w:shd w:val="clear" w:color="auto" w:fill="FFFFFF" w:themeFill="background1"/>
      </w:pPr>
      <w:r w:rsidRPr="000F23E0">
        <w:t xml:space="preserve">The Roadmap also includes the Australian Sustainable Finance Taxonomy </w:t>
      </w:r>
      <w:r w:rsidR="00F64AFA" w:rsidRPr="000F23E0">
        <w:softHyphen/>
      </w:r>
      <w:r w:rsidRPr="000F23E0">
        <w:t xml:space="preserve"> a voluntary framework classifying economic activities that contribute to sustainability objectives, launched in June 2025. It</w:t>
      </w:r>
      <w:r w:rsidR="00D05E2B" w:rsidRPr="000F23E0">
        <w:t> </w:t>
      </w:r>
      <w:r w:rsidRPr="000F23E0">
        <w:t xml:space="preserve">defines </w:t>
      </w:r>
      <w:r w:rsidR="002C4475" w:rsidRPr="000F23E0">
        <w:t>‘</w:t>
      </w:r>
      <w:r w:rsidRPr="000F23E0">
        <w:t>green</w:t>
      </w:r>
      <w:r w:rsidR="002C4475" w:rsidRPr="000F23E0">
        <w:t>’</w:t>
      </w:r>
      <w:r w:rsidRPr="000F23E0">
        <w:t xml:space="preserve"> and </w:t>
      </w:r>
      <w:r w:rsidR="002C4475" w:rsidRPr="000F23E0">
        <w:t>‘</w:t>
      </w:r>
      <w:r w:rsidRPr="000F23E0">
        <w:t>transition</w:t>
      </w:r>
      <w:r w:rsidR="002C4475" w:rsidRPr="000F23E0">
        <w:t>’</w:t>
      </w:r>
      <w:r w:rsidRPr="000F23E0">
        <w:t xml:space="preserve"> activities to help guide private sector capital toward investments supporting the transition to net zero. </w:t>
      </w:r>
    </w:p>
    <w:p w14:paraId="585D6615" w14:textId="1F43924B" w:rsidR="00087B68" w:rsidRPr="000F23E0" w:rsidRDefault="0063549F" w:rsidP="0063549F">
      <w:r w:rsidRPr="000F23E0">
        <w:t>Voluntary best</w:t>
      </w:r>
      <w:r w:rsidR="002C4475" w:rsidRPr="000F23E0">
        <w:noBreakHyphen/>
      </w:r>
      <w:r w:rsidRPr="000F23E0">
        <w:t>practice guidance is under development for organisations considering climate</w:t>
      </w:r>
      <w:r w:rsidR="002C4475" w:rsidRPr="000F23E0">
        <w:noBreakHyphen/>
      </w:r>
      <w:r w:rsidRPr="000F23E0">
        <w:t xml:space="preserve">related transition plans and the government has undertaken consultation on a labelling regime for investment products marketed as </w:t>
      </w:r>
      <w:r w:rsidR="002C4475" w:rsidRPr="000F23E0">
        <w:t>‘</w:t>
      </w:r>
      <w:r w:rsidRPr="000F23E0">
        <w:t>sustainable</w:t>
      </w:r>
      <w:r w:rsidR="002C4475" w:rsidRPr="000F23E0">
        <w:t>’</w:t>
      </w:r>
      <w:r w:rsidRPr="000F23E0">
        <w:t xml:space="preserve"> or similar</w:t>
      </w:r>
      <w:r w:rsidR="00087B68" w:rsidRPr="000F23E0">
        <w:t>.</w:t>
      </w:r>
    </w:p>
    <w:p w14:paraId="214C68CE" w14:textId="18FFC5D3" w:rsidR="00AD059C" w:rsidRPr="000F23E0" w:rsidRDefault="00445AD4" w:rsidP="00B778E8">
      <w:pPr>
        <w:pStyle w:val="Heading2"/>
        <w:keepLines/>
      </w:pPr>
      <w:bookmarkStart w:id="50" w:name="_Toc225155734"/>
      <w:r w:rsidRPr="000F23E0">
        <w:lastRenderedPageBreak/>
        <w:t>Climate change mitigation</w:t>
      </w:r>
      <w:bookmarkEnd w:id="50"/>
      <w:r w:rsidR="00AD059C" w:rsidRPr="000F23E0">
        <w:t xml:space="preserve"> </w:t>
      </w:r>
    </w:p>
    <w:p w14:paraId="5E197B7C" w14:textId="78ADEBF7" w:rsidR="004E2680" w:rsidRPr="000F23E0" w:rsidRDefault="003E43A5" w:rsidP="00B778E8">
      <w:pPr>
        <w:keepNext/>
        <w:keepLines/>
        <w:shd w:val="clear" w:color="auto" w:fill="FFFFFF" w:themeFill="background1"/>
      </w:pPr>
      <w:r w:rsidRPr="000F23E0">
        <w:t>T</w:t>
      </w:r>
      <w:r w:rsidR="000F3A89" w:rsidRPr="000F23E0">
        <w:t xml:space="preserve">he world </w:t>
      </w:r>
      <w:r w:rsidRPr="000F23E0">
        <w:t xml:space="preserve">is </w:t>
      </w:r>
      <w:r w:rsidR="000F3A89" w:rsidRPr="000F23E0">
        <w:t xml:space="preserve">undergoing </w:t>
      </w:r>
      <w:r w:rsidR="009C0D70" w:rsidRPr="000F23E0">
        <w:t xml:space="preserve">its </w:t>
      </w:r>
      <w:r w:rsidR="000F3A89" w:rsidRPr="000F23E0">
        <w:t xml:space="preserve">biggest and fastest economic transformation since the Industrial Revolution. </w:t>
      </w:r>
      <w:r w:rsidR="00B606E8" w:rsidRPr="000F23E0">
        <w:t xml:space="preserve">The Australian </w:t>
      </w:r>
      <w:r w:rsidR="009E1BB7" w:rsidRPr="000F23E0">
        <w:t>G</w:t>
      </w:r>
      <w:r w:rsidR="00B606E8" w:rsidRPr="000F23E0">
        <w:t>overnment recognises the need to invest in climate change mitigation to</w:t>
      </w:r>
      <w:r w:rsidR="00B778E8" w:rsidRPr="000F23E0">
        <w:t> </w:t>
      </w:r>
      <w:r w:rsidR="00B606E8" w:rsidRPr="000F23E0">
        <w:t xml:space="preserve">reduce greenhouse gas emissions and move towards net zero. </w:t>
      </w:r>
      <w:r w:rsidR="000F3A89" w:rsidRPr="000F23E0">
        <w:t>Action to reduce emissions will help</w:t>
      </w:r>
      <w:r w:rsidR="00B778E8" w:rsidRPr="000F23E0">
        <w:t> </w:t>
      </w:r>
      <w:r w:rsidR="000F3A89" w:rsidRPr="000F23E0">
        <w:t>prevent the worst impacts</w:t>
      </w:r>
      <w:r w:rsidR="00E50F5D" w:rsidRPr="000F23E0">
        <w:t xml:space="preserve"> and costs</w:t>
      </w:r>
      <w:r w:rsidR="000F3A89" w:rsidRPr="000F23E0">
        <w:t xml:space="preserve"> of climate change</w:t>
      </w:r>
      <w:r w:rsidR="00224AF4" w:rsidRPr="000F23E0">
        <w:t xml:space="preserve">. </w:t>
      </w:r>
      <w:r w:rsidR="0054302B" w:rsidRPr="000F23E0">
        <w:t>Taking strong climate change action to</w:t>
      </w:r>
      <w:r w:rsidR="00B778E8" w:rsidRPr="000F23E0">
        <w:t> </w:t>
      </w:r>
      <w:r w:rsidR="0054302B" w:rsidRPr="000F23E0">
        <w:t xml:space="preserve">reach net zero emissions will help deliver a safer future and more prosperous economy. </w:t>
      </w:r>
    </w:p>
    <w:p w14:paraId="1D76E1C3" w14:textId="5229AEFA" w:rsidR="000F6CA5" w:rsidRPr="000F23E0" w:rsidRDefault="003E43A5" w:rsidP="00B778E8">
      <w:pPr>
        <w:keepNext/>
        <w:keepLines/>
        <w:shd w:val="clear" w:color="auto" w:fill="FFFFFF" w:themeFill="background1"/>
      </w:pPr>
      <w:r w:rsidRPr="000F23E0">
        <w:t xml:space="preserve">International cooperation is </w:t>
      </w:r>
      <w:r w:rsidR="009C1EB4" w:rsidRPr="000F23E0">
        <w:t>essential for</w:t>
      </w:r>
      <w:r w:rsidRPr="000F23E0">
        <w:t xml:space="preserve"> m</w:t>
      </w:r>
      <w:r w:rsidR="000F6CA5" w:rsidRPr="000F23E0">
        <w:t xml:space="preserve">anaging </w:t>
      </w:r>
      <w:r w:rsidRPr="000F23E0">
        <w:t xml:space="preserve">the collective challenge of </w:t>
      </w:r>
      <w:r w:rsidR="000F6CA5" w:rsidRPr="000F23E0">
        <w:t xml:space="preserve">climate change. </w:t>
      </w:r>
      <w:r w:rsidR="00EC23C6" w:rsidRPr="000F23E0">
        <w:t>The</w:t>
      </w:r>
      <w:r w:rsidR="00B778E8" w:rsidRPr="000F23E0">
        <w:t> </w:t>
      </w:r>
      <w:r w:rsidR="00EC23C6" w:rsidRPr="000F23E0">
        <w:t xml:space="preserve">world is </w:t>
      </w:r>
      <w:r w:rsidR="00864BEF" w:rsidRPr="000F23E0">
        <w:t>still</w:t>
      </w:r>
      <w:r w:rsidR="00EC23C6" w:rsidRPr="000F23E0">
        <w:t xml:space="preserve"> moving towards net zero</w:t>
      </w:r>
      <w:r w:rsidR="007139C2" w:rsidRPr="000F23E0">
        <w:t xml:space="preserve">. More </w:t>
      </w:r>
      <w:r w:rsidR="00EC23C6" w:rsidRPr="000F23E0">
        <w:t>than 84</w:t>
      </w:r>
      <w:r w:rsidR="003014F9" w:rsidRPr="000F23E0">
        <w:t xml:space="preserve"> per cent</w:t>
      </w:r>
      <w:r w:rsidR="00EC23C6" w:rsidRPr="000F23E0">
        <w:t xml:space="preserve"> of global GDP is covered by net</w:t>
      </w:r>
      <w:r w:rsidR="00B778E8" w:rsidRPr="000F23E0">
        <w:t> </w:t>
      </w:r>
      <w:r w:rsidR="00EC23C6" w:rsidRPr="000F23E0">
        <w:t>zero</w:t>
      </w:r>
      <w:r w:rsidR="00B778E8" w:rsidRPr="000F23E0">
        <w:t> </w:t>
      </w:r>
      <w:r w:rsidR="00EC23C6" w:rsidRPr="000F23E0">
        <w:t>commitments</w:t>
      </w:r>
      <w:r w:rsidR="00F76104" w:rsidRPr="000F23E0">
        <w:t>.</w:t>
      </w:r>
      <w:r w:rsidR="00065868" w:rsidRPr="000F23E0">
        <w:rPr>
          <w:rStyle w:val="EndnoteReference"/>
        </w:rPr>
        <w:endnoteReference w:id="8"/>
      </w:r>
      <w:r w:rsidR="00EC23C6" w:rsidRPr="000F23E0">
        <w:t xml:space="preserve"> </w:t>
      </w:r>
    </w:p>
    <w:p w14:paraId="4A4E07F2" w14:textId="359C78BA" w:rsidR="00AD059C" w:rsidRPr="000F23E0" w:rsidRDefault="00AD059C" w:rsidP="00B778E8">
      <w:pPr>
        <w:keepNext/>
        <w:keepLines/>
      </w:pPr>
      <w:r w:rsidRPr="000F23E0">
        <w:t>For a comprehensive overview of Australia</w:t>
      </w:r>
      <w:r w:rsidR="002C4475" w:rsidRPr="000F23E0">
        <w:t>’</w:t>
      </w:r>
      <w:r w:rsidRPr="000F23E0">
        <w:t>s decarbonisation progress and reporting on the Government</w:t>
      </w:r>
      <w:r w:rsidR="002C4475" w:rsidRPr="000F23E0">
        <w:t>’</w:t>
      </w:r>
      <w:r w:rsidRPr="000F23E0">
        <w:t>s initiatives, programs and plans to support Australia</w:t>
      </w:r>
      <w:r w:rsidR="002C4475" w:rsidRPr="000F23E0">
        <w:t>’</w:t>
      </w:r>
      <w:r w:rsidRPr="000F23E0">
        <w:t>s path to net zero emissions, please</w:t>
      </w:r>
      <w:r w:rsidR="00B778E8" w:rsidRPr="000F23E0">
        <w:t> </w:t>
      </w:r>
      <w:r w:rsidRPr="000F23E0">
        <w:t xml:space="preserve">see the </w:t>
      </w:r>
      <w:r w:rsidR="002F3C28" w:rsidRPr="000F23E0">
        <w:t>Annual Climate Change Statement 2025</w:t>
      </w:r>
      <w:r w:rsidRPr="000F23E0">
        <w:t>.</w:t>
      </w:r>
      <w:r w:rsidRPr="000F23E0">
        <w:rPr>
          <w:rStyle w:val="EndnoteReference"/>
        </w:rPr>
        <w:endnoteReference w:id="9"/>
      </w:r>
      <w:r w:rsidRPr="000F23E0">
        <w:t xml:space="preserve"> </w:t>
      </w:r>
    </w:p>
    <w:tbl>
      <w:tblPr>
        <w:tblW w:w="0" w:type="auto"/>
        <w:shd w:val="clear" w:color="auto" w:fill="FDF0E7"/>
        <w:tblCellMar>
          <w:top w:w="170" w:type="dxa"/>
          <w:left w:w="284" w:type="dxa"/>
          <w:bottom w:w="227" w:type="dxa"/>
          <w:right w:w="284" w:type="dxa"/>
        </w:tblCellMar>
        <w:tblLook w:val="04A0" w:firstRow="1" w:lastRow="0" w:firstColumn="1" w:lastColumn="0" w:noHBand="0" w:noVBand="1"/>
      </w:tblPr>
      <w:tblGrid>
        <w:gridCol w:w="9070"/>
      </w:tblGrid>
      <w:tr w:rsidR="00D05E2B" w:rsidRPr="000F23E0" w14:paraId="40171C3E" w14:textId="77777777" w:rsidTr="00D05E2B">
        <w:tc>
          <w:tcPr>
            <w:tcW w:w="9070" w:type="dxa"/>
            <w:shd w:val="clear" w:color="auto" w:fill="FDF0E7"/>
          </w:tcPr>
          <w:p w14:paraId="697DBDEA" w14:textId="77777777" w:rsidR="00D05E2B" w:rsidRPr="000F23E0" w:rsidRDefault="00D05E2B" w:rsidP="00B778E8">
            <w:pPr>
              <w:pStyle w:val="BoxHeading"/>
              <w:keepLines/>
            </w:pPr>
            <w:r w:rsidRPr="000F23E0">
              <w:t>Climate change commitments</w:t>
            </w:r>
          </w:p>
          <w:p w14:paraId="17EB9832" w14:textId="77777777" w:rsidR="00D05E2B" w:rsidRPr="000F23E0" w:rsidRDefault="00D05E2B" w:rsidP="00B778E8">
            <w:pPr>
              <w:pStyle w:val="BoxText"/>
              <w:keepNext/>
              <w:keepLines/>
            </w:pPr>
            <w:r w:rsidRPr="000F23E0">
              <w:t>Australia is committed to:</w:t>
            </w:r>
          </w:p>
          <w:p w14:paraId="443A7601" w14:textId="5000B708" w:rsidR="00D05E2B" w:rsidRPr="000F23E0" w:rsidRDefault="00D05E2B" w:rsidP="00B778E8">
            <w:pPr>
              <w:pStyle w:val="Boxbullet"/>
              <w:keepNext/>
              <w:keepLines/>
            </w:pPr>
            <w:r w:rsidRPr="000F23E0">
              <w:t>a single year target to reduce greenhouse gas emissions to 43 per cent below 2005 levels by</w:t>
            </w:r>
            <w:r w:rsidR="00CE0F49" w:rsidRPr="000F23E0">
              <w:t> </w:t>
            </w:r>
            <w:r w:rsidRPr="000F23E0">
              <w:t>2030, and a multi-year emissions budget of 4,353 Mt carbon dioxide-equivalent (CO2-e) between 2021 and 2030</w:t>
            </w:r>
          </w:p>
          <w:p w14:paraId="11CDD4EA" w14:textId="0A42BA9A" w:rsidR="00D05E2B" w:rsidRPr="000F23E0" w:rsidRDefault="00D05E2B" w:rsidP="00B778E8">
            <w:pPr>
              <w:pStyle w:val="Boxbullet"/>
              <w:keepNext/>
              <w:keepLines/>
            </w:pPr>
            <w:r w:rsidRPr="000F23E0">
              <w:t>a reduction of 62</w:t>
            </w:r>
            <w:r w:rsidR="00C0156B" w:rsidRPr="000F23E0">
              <w:t>–</w:t>
            </w:r>
            <w:r w:rsidRPr="000F23E0">
              <w:t>70 per cent below 2005 levels by 2035 and a multi-year budget consistent with this target (indicative values of 1,248 to 1,395 Mt CO2-e over the period 2031</w:t>
            </w:r>
            <w:r w:rsidR="00C0156B" w:rsidRPr="000F23E0">
              <w:t>–</w:t>
            </w:r>
            <w:r w:rsidRPr="000F23E0">
              <w:t>35)</w:t>
            </w:r>
          </w:p>
          <w:p w14:paraId="317A68E6" w14:textId="206DD29A" w:rsidR="00D05E2B" w:rsidRPr="000F23E0" w:rsidRDefault="00D05E2B" w:rsidP="005F45A1">
            <w:pPr>
              <w:pStyle w:val="Bullet"/>
            </w:pPr>
            <w:r w:rsidRPr="000F23E0">
              <w:t>net zero by 2050.</w:t>
            </w:r>
          </w:p>
        </w:tc>
      </w:tr>
    </w:tbl>
    <w:p w14:paraId="6EFFBBA7" w14:textId="77777777" w:rsidR="00557D2D" w:rsidRPr="000F23E0" w:rsidRDefault="00557D2D" w:rsidP="00557D2D">
      <w:r w:rsidRPr="000F23E0">
        <w:br w:type="page"/>
      </w:r>
    </w:p>
    <w:p w14:paraId="477DCFBD" w14:textId="6059C5A2" w:rsidR="007303AC" w:rsidRPr="000F23E0" w:rsidRDefault="004D75CD" w:rsidP="004F07D8">
      <w:pPr>
        <w:pStyle w:val="Heading3"/>
      </w:pPr>
      <w:r w:rsidRPr="000F23E0">
        <w:lastRenderedPageBreak/>
        <w:t>P</w:t>
      </w:r>
      <w:r w:rsidR="007303AC" w:rsidRPr="000F23E0">
        <w:t>rogress towards climate change commitments</w:t>
      </w:r>
    </w:p>
    <w:p w14:paraId="40976D83" w14:textId="4B57440D" w:rsidR="007303AC" w:rsidRPr="000F23E0" w:rsidRDefault="007303AC" w:rsidP="002C3C6B">
      <w:r w:rsidRPr="000F23E0">
        <w:rPr>
          <w:i/>
        </w:rPr>
        <w:t>Australia</w:t>
      </w:r>
      <w:r w:rsidR="002C4475" w:rsidRPr="000F23E0">
        <w:rPr>
          <w:i/>
        </w:rPr>
        <w:t>’</w:t>
      </w:r>
      <w:r w:rsidRPr="000F23E0">
        <w:rPr>
          <w:i/>
        </w:rPr>
        <w:t>s Emissions Projections 202</w:t>
      </w:r>
      <w:r w:rsidR="0009542B" w:rsidRPr="000F23E0">
        <w:rPr>
          <w:i/>
        </w:rPr>
        <w:t>5</w:t>
      </w:r>
      <w:r w:rsidRPr="000F23E0">
        <w:t xml:space="preserve"> show that emissions in 202</w:t>
      </w:r>
      <w:r w:rsidR="0013007D" w:rsidRPr="000F23E0">
        <w:t>5</w:t>
      </w:r>
      <w:r w:rsidRPr="000F23E0">
        <w:t xml:space="preserve"> were 4</w:t>
      </w:r>
      <w:r w:rsidR="00D615D2" w:rsidRPr="000F23E0">
        <w:t>37</w:t>
      </w:r>
      <w:r w:rsidRPr="000F23E0">
        <w:t xml:space="preserve"> Mt CO</w:t>
      </w:r>
      <w:r w:rsidRPr="000F23E0">
        <w:rPr>
          <w:vertAlign w:val="subscript"/>
        </w:rPr>
        <w:t>2</w:t>
      </w:r>
      <w:r w:rsidR="002C4475" w:rsidRPr="000F23E0">
        <w:noBreakHyphen/>
      </w:r>
      <w:r w:rsidRPr="000F23E0">
        <w:t xml:space="preserve">e, </w:t>
      </w:r>
      <w:r w:rsidR="00B63D5D" w:rsidRPr="000F23E0">
        <w:t>29</w:t>
      </w:r>
      <w:r w:rsidR="00557D2D" w:rsidRPr="000F23E0">
        <w:t> </w:t>
      </w:r>
      <w:r w:rsidRPr="000F23E0">
        <w:t>per</w:t>
      </w:r>
      <w:r w:rsidR="00557D2D" w:rsidRPr="000F23E0">
        <w:t> </w:t>
      </w:r>
      <w:r w:rsidRPr="000F23E0">
        <w:t>cent below 2005 levels.</w:t>
      </w:r>
      <w:r w:rsidR="00353B84" w:rsidRPr="000F23E0">
        <w:rPr>
          <w:rStyle w:val="EndnoteReference"/>
        </w:rPr>
        <w:endnoteReference w:id="10"/>
      </w:r>
      <w:r w:rsidRPr="000F23E0">
        <w:t xml:space="preserve"> </w:t>
      </w:r>
      <w:r w:rsidR="0013007D" w:rsidRPr="000F23E0">
        <w:t>Australia</w:t>
      </w:r>
      <w:r w:rsidR="002C4475" w:rsidRPr="000F23E0">
        <w:t>’</w:t>
      </w:r>
      <w:r w:rsidR="0013007D" w:rsidRPr="000F23E0">
        <w:t>s emissions in 2024 were 446 Mt CO</w:t>
      </w:r>
      <w:r w:rsidR="0013007D" w:rsidRPr="000F23E0">
        <w:rPr>
          <w:vertAlign w:val="subscript"/>
        </w:rPr>
        <w:t>2</w:t>
      </w:r>
      <w:r w:rsidR="002C4475" w:rsidRPr="000F23E0">
        <w:noBreakHyphen/>
      </w:r>
      <w:r w:rsidR="0013007D" w:rsidRPr="000F23E0">
        <w:t>e</w:t>
      </w:r>
      <w:r w:rsidRPr="000F23E0">
        <w:t>.</w:t>
      </w:r>
      <w:r w:rsidRPr="000F23E0">
        <w:rPr>
          <w:rStyle w:val="EndnoteReference"/>
        </w:rPr>
        <w:endnoteReference w:id="11"/>
      </w:r>
      <w:r w:rsidRPr="000F23E0">
        <w:t xml:space="preserve"> </w:t>
      </w:r>
    </w:p>
    <w:p w14:paraId="0C510AFE" w14:textId="5D85AD7C" w:rsidR="007303AC" w:rsidRPr="000F23E0" w:rsidRDefault="002E41FD" w:rsidP="002C3C6B">
      <w:r w:rsidRPr="000F23E0">
        <w:t>Th</w:t>
      </w:r>
      <w:r w:rsidR="007303AC" w:rsidRPr="000F23E0">
        <w:t>e baseline projections, which include policies that have been implemented, project Australia</w:t>
      </w:r>
      <w:r w:rsidR="002C4475" w:rsidRPr="000F23E0">
        <w:t>’</w:t>
      </w:r>
      <w:r w:rsidR="007303AC" w:rsidRPr="000F23E0">
        <w:t>s emissions will be 42</w:t>
      </w:r>
      <w:r w:rsidR="00557D2D" w:rsidRPr="000F23E0">
        <w:t> </w:t>
      </w:r>
      <w:r w:rsidR="007303AC" w:rsidRPr="000F23E0">
        <w:t>per</w:t>
      </w:r>
      <w:r w:rsidR="00557D2D" w:rsidRPr="000F23E0">
        <w:t> </w:t>
      </w:r>
      <w:r w:rsidR="007303AC" w:rsidRPr="000F23E0">
        <w:t>cent below 2005 levels in 2030 – just shy of the national point</w:t>
      </w:r>
      <w:r w:rsidR="002C4475" w:rsidRPr="000F23E0">
        <w:noBreakHyphen/>
      </w:r>
      <w:r w:rsidR="007303AC" w:rsidRPr="000F23E0">
        <w:t>in</w:t>
      </w:r>
      <w:r w:rsidR="002C4475" w:rsidRPr="000F23E0">
        <w:noBreakHyphen/>
      </w:r>
      <w:r w:rsidR="007303AC" w:rsidRPr="000F23E0">
        <w:t>time target of 43</w:t>
      </w:r>
      <w:r w:rsidR="00557D2D" w:rsidRPr="000F23E0">
        <w:t> </w:t>
      </w:r>
      <w:r w:rsidR="007303AC" w:rsidRPr="000F23E0">
        <w:t>per</w:t>
      </w:r>
      <w:r w:rsidR="00557D2D" w:rsidRPr="000F23E0">
        <w:t> </w:t>
      </w:r>
      <w:r w:rsidR="007303AC" w:rsidRPr="000F23E0">
        <w:t>cent. Thi</w:t>
      </w:r>
      <w:r w:rsidRPr="000F23E0">
        <w:t xml:space="preserve">s represents a slight </w:t>
      </w:r>
      <w:r w:rsidR="000A4B43" w:rsidRPr="000F23E0">
        <w:t>decrease compared to 2024</w:t>
      </w:r>
      <w:r w:rsidR="002C4475" w:rsidRPr="000F23E0">
        <w:t>’</w:t>
      </w:r>
      <w:r w:rsidR="000A4B43" w:rsidRPr="000F23E0">
        <w:t>s Emissions Projections which</w:t>
      </w:r>
      <w:r w:rsidR="007303AC" w:rsidRPr="000F23E0">
        <w:t xml:space="preserve"> projected </w:t>
      </w:r>
      <w:r w:rsidR="008805C6" w:rsidRPr="000F23E0">
        <w:t>a 42.6</w:t>
      </w:r>
      <w:r w:rsidR="00557D2D" w:rsidRPr="000F23E0">
        <w:t> </w:t>
      </w:r>
      <w:r w:rsidR="008805C6" w:rsidRPr="000F23E0">
        <w:t>per</w:t>
      </w:r>
      <w:r w:rsidR="00557D2D" w:rsidRPr="000F23E0">
        <w:t> </w:t>
      </w:r>
      <w:r w:rsidR="008805C6" w:rsidRPr="000F23E0">
        <w:t xml:space="preserve">cent decline on </w:t>
      </w:r>
      <w:r w:rsidR="007303AC" w:rsidRPr="000F23E0">
        <w:t>2005 levels in 2030</w:t>
      </w:r>
      <w:r w:rsidR="008805C6" w:rsidRPr="000F23E0">
        <w:t>.</w:t>
      </w:r>
      <w:r w:rsidR="008805C6" w:rsidRPr="000F23E0">
        <w:rPr>
          <w:rStyle w:val="EndnoteReference"/>
        </w:rPr>
        <w:endnoteReference w:id="12"/>
      </w:r>
      <w:r w:rsidR="007303AC" w:rsidRPr="000F23E0">
        <w:t xml:space="preserve"> Australia</w:t>
      </w:r>
      <w:r w:rsidR="002C4475" w:rsidRPr="000F23E0">
        <w:t>’</w:t>
      </w:r>
      <w:r w:rsidR="007303AC" w:rsidRPr="000F23E0">
        <w:t xml:space="preserve">s emissions outlook </w:t>
      </w:r>
      <w:r w:rsidR="2553F595" w:rsidRPr="000F23E0">
        <w:t>will</w:t>
      </w:r>
      <w:r w:rsidR="007303AC" w:rsidRPr="000F23E0">
        <w:t xml:space="preserve"> continue to improve as more significant </w:t>
      </w:r>
      <w:r w:rsidR="00445AD4" w:rsidRPr="000F23E0">
        <w:t>climate change mitigation</w:t>
      </w:r>
      <w:r w:rsidR="007303AC" w:rsidRPr="000F23E0">
        <w:t xml:space="preserve"> policies are implemented.</w:t>
      </w:r>
    </w:p>
    <w:p w14:paraId="1C1F61EE" w14:textId="13CA3861" w:rsidR="00866C35" w:rsidRPr="000F23E0" w:rsidRDefault="00866C35" w:rsidP="00551F72">
      <w:pPr>
        <w:pStyle w:val="ChartMainHeading"/>
      </w:pPr>
      <w:bookmarkStart w:id="51" w:name="_Toc220610584"/>
      <w:bookmarkStart w:id="52" w:name="_Toc220597354"/>
      <w:bookmarkStart w:id="53" w:name="_Toc224637784"/>
      <w:bookmarkStart w:id="54" w:name="_Toc224642448"/>
      <w:bookmarkStart w:id="55" w:name="_Toc225153424"/>
      <w:bookmarkStart w:id="56" w:name="_Toc225154470"/>
      <w:bookmarkStart w:id="57" w:name="_Toc225155735"/>
      <w:r w:rsidRPr="000F23E0">
        <w:t xml:space="preserve">Figure </w:t>
      </w:r>
      <w:r w:rsidR="00AB41A7" w:rsidRPr="000F23E0">
        <w:t>4</w:t>
      </w:r>
      <w:r w:rsidR="00A63192" w:rsidRPr="000F23E0">
        <w:t>:</w:t>
      </w:r>
      <w:r w:rsidRPr="000F23E0">
        <w:t xml:space="preserve"> Tracking against the 2030 target, </w:t>
      </w:r>
      <w:r w:rsidR="00122EC8" w:rsidRPr="000F23E0">
        <w:t>2035 target</w:t>
      </w:r>
      <w:r w:rsidR="00325AAB" w:rsidRPr="000F23E0">
        <w:t xml:space="preserve">, </w:t>
      </w:r>
      <w:r w:rsidRPr="000F23E0">
        <w:t>2005 to 2050</w:t>
      </w:r>
      <w:bookmarkEnd w:id="51"/>
      <w:bookmarkEnd w:id="52"/>
      <w:bookmarkEnd w:id="53"/>
      <w:bookmarkEnd w:id="54"/>
      <w:bookmarkEnd w:id="55"/>
      <w:bookmarkEnd w:id="56"/>
      <w:bookmarkEnd w:id="57"/>
    </w:p>
    <w:p w14:paraId="7AFCAF04" w14:textId="08567541" w:rsidR="007303AC" w:rsidRPr="000F23E0" w:rsidRDefault="00497473" w:rsidP="00CB3822">
      <w:pPr>
        <w:pStyle w:val="ChartGraphic"/>
      </w:pPr>
      <w:r w:rsidRPr="000F23E0">
        <w:drawing>
          <wp:inline distT="0" distB="0" distL="0" distR="0" wp14:anchorId="77DCE38D" wp14:editId="538661FB">
            <wp:extent cx="5758717" cy="4157330"/>
            <wp:effectExtent l="0" t="0" r="0" b="0"/>
            <wp:docPr id="852328974" name="Picture 1" descr="Figure 4 shows Australia’s greenhouse gas emissions from 2005 to 2050, measured in million tonnes of CO₂‑e. Historical emissions decline gradually from above 600 Mt CO₂‑e in 2005 to just over 500 Mt CO₂‑e by 2020. From 2020, emissions trajectories are shown against targets, including a 43 per cent reduction by 2030 and reductions of 62 to 70 per cent by 2035. Shaded areas indicate cumulative emissions budgets for 2021–30 and 2031–35. A single point at 2050 marks the net zero emissions targ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328974" name="Picture 1" descr="Figure 4 shows Australia’s greenhouse gas emissions from 2005 to 2050, measured in million tonnes of CO₂‑e. Historical emissions decline gradually from above 600 Mt CO₂‑e in 2005 to just over 500 Mt CO₂‑e by 2020. From 2020, emissions trajectories are shown against targets, including a 43 per cent reduction by 2030 and reductions of 62 to 70 per cent by 2035. Shaded areas indicate cumulative emissions budgets for 2021–30 and 2031–35. A single point at 2050 marks the net zero emissions target."/>
                    <pic:cNvPicPr/>
                  </pic:nvPicPr>
                  <pic:blipFill rotWithShape="1">
                    <a:blip r:embed="rId42" cstate="print">
                      <a:extLst>
                        <a:ext uri="{28A0092B-C50C-407E-A947-70E740481C1C}">
                          <a14:useLocalDpi xmlns:a14="http://schemas.microsoft.com/office/drawing/2010/main" val="0"/>
                        </a:ext>
                      </a:extLst>
                    </a:blip>
                    <a:srcRect b="-2137"/>
                    <a:stretch>
                      <a:fillRect/>
                    </a:stretch>
                  </pic:blipFill>
                  <pic:spPr bwMode="auto">
                    <a:xfrm>
                      <a:off x="0" y="0"/>
                      <a:ext cx="5759450" cy="4157859"/>
                    </a:xfrm>
                    <a:prstGeom prst="rect">
                      <a:avLst/>
                    </a:prstGeom>
                    <a:ln>
                      <a:noFill/>
                    </a:ln>
                    <a:extLst>
                      <a:ext uri="{53640926-AAD7-44D8-BBD7-CCE9431645EC}">
                        <a14:shadowObscured xmlns:a14="http://schemas.microsoft.com/office/drawing/2010/main"/>
                      </a:ext>
                    </a:extLst>
                  </pic:spPr>
                </pic:pic>
              </a:graphicData>
            </a:graphic>
          </wp:inline>
        </w:drawing>
      </w:r>
    </w:p>
    <w:p w14:paraId="4AD31833" w14:textId="3371F9AC" w:rsidR="007303AC" w:rsidRPr="000F23E0" w:rsidRDefault="007303AC" w:rsidP="00EB55E2">
      <w:pPr>
        <w:pStyle w:val="ChartorTableNote"/>
      </w:pPr>
      <w:r w:rsidRPr="000F23E0">
        <w:t>Source: DCCEEW (202</w:t>
      </w:r>
      <w:r w:rsidR="0014086F" w:rsidRPr="000F23E0">
        <w:t>5</w:t>
      </w:r>
      <w:r w:rsidRPr="000F23E0">
        <w:t>)</w:t>
      </w:r>
      <w:r w:rsidR="00B1000F" w:rsidRPr="000F23E0">
        <w:t xml:space="preserve">, </w:t>
      </w:r>
      <w:r w:rsidR="008E28A9" w:rsidRPr="000F23E0">
        <w:rPr>
          <w:i/>
          <w:iCs/>
        </w:rPr>
        <w:t>Australia</w:t>
      </w:r>
      <w:r w:rsidR="002C4475" w:rsidRPr="000F23E0">
        <w:rPr>
          <w:i/>
          <w:iCs/>
        </w:rPr>
        <w:t>’</w:t>
      </w:r>
      <w:r w:rsidR="008E28A9" w:rsidRPr="000F23E0">
        <w:rPr>
          <w:i/>
          <w:iCs/>
        </w:rPr>
        <w:t xml:space="preserve">s Emissions Projections </w:t>
      </w:r>
      <w:r w:rsidR="00B1000F" w:rsidRPr="000F23E0">
        <w:rPr>
          <w:i/>
          <w:iCs/>
        </w:rPr>
        <w:t>2025</w:t>
      </w:r>
    </w:p>
    <w:p w14:paraId="7DE1785E" w14:textId="5E03F08C" w:rsidR="007303AC" w:rsidRPr="000F23E0" w:rsidRDefault="005A5126" w:rsidP="0019534E">
      <w:pPr>
        <w:spacing w:before="360"/>
      </w:pPr>
      <w:r w:rsidRPr="000F23E0">
        <w:t xml:space="preserve">The projections </w:t>
      </w:r>
      <w:r w:rsidR="00794DF9" w:rsidRPr="000F23E0">
        <w:t xml:space="preserve">show that under the baseline scenario, </w:t>
      </w:r>
      <w:r w:rsidR="007E15E5" w:rsidRPr="000F23E0">
        <w:t xml:space="preserve">Australia </w:t>
      </w:r>
      <w:r w:rsidR="002264DE" w:rsidRPr="000F23E0">
        <w:t xml:space="preserve">is on track to meet its 2030 target on an emissions budget basis (equivalent to total emissions over a period of time). </w:t>
      </w:r>
      <w:r w:rsidR="006F3266" w:rsidRPr="000F23E0">
        <w:t xml:space="preserve">To meet </w:t>
      </w:r>
      <w:r w:rsidR="002D44A1" w:rsidRPr="000F23E0">
        <w:t xml:space="preserve">its ambitious but achievable 2035 target on a budget </w:t>
      </w:r>
      <w:r w:rsidR="008B4485" w:rsidRPr="000F23E0">
        <w:t xml:space="preserve">basis, </w:t>
      </w:r>
      <w:r w:rsidR="002C3C6B" w:rsidRPr="000F23E0">
        <w:t>Australia will need to further reduce its emissions over 2031</w:t>
      </w:r>
      <w:r w:rsidR="00965251" w:rsidRPr="000F23E0">
        <w:t>–</w:t>
      </w:r>
      <w:r w:rsidR="002C3C6B" w:rsidRPr="000F23E0">
        <w:t>2035 by 283</w:t>
      </w:r>
      <w:r w:rsidR="002C4475" w:rsidRPr="000F23E0">
        <w:noBreakHyphen/>
      </w:r>
      <w:r w:rsidR="002C3C6B" w:rsidRPr="000F23E0">
        <w:t>429 Mt CO</w:t>
      </w:r>
      <w:r w:rsidR="002C3C6B" w:rsidRPr="000F23E0">
        <w:rPr>
          <w:vertAlign w:val="subscript"/>
        </w:rPr>
        <w:t>2</w:t>
      </w:r>
      <w:r w:rsidR="002C4475" w:rsidRPr="000F23E0">
        <w:noBreakHyphen/>
      </w:r>
      <w:r w:rsidR="002C3C6B" w:rsidRPr="000F23E0">
        <w:t>e.</w:t>
      </w:r>
    </w:p>
    <w:p w14:paraId="12A184D8" w14:textId="31EE1B27" w:rsidR="00A47433" w:rsidRPr="000F23E0" w:rsidRDefault="006922CF" w:rsidP="00557D2D">
      <w:pPr>
        <w:pStyle w:val="Heading3"/>
        <w:keepLines/>
      </w:pPr>
      <w:r w:rsidRPr="000F23E0">
        <w:lastRenderedPageBreak/>
        <w:t xml:space="preserve">The </w:t>
      </w:r>
      <w:r w:rsidR="00A47433" w:rsidRPr="000F23E0">
        <w:t xml:space="preserve">Net </w:t>
      </w:r>
      <w:r w:rsidR="009E1BB7" w:rsidRPr="000F23E0">
        <w:t>Z</w:t>
      </w:r>
      <w:r w:rsidR="00A47433" w:rsidRPr="000F23E0">
        <w:t>ero</w:t>
      </w:r>
      <w:r w:rsidR="008554B8" w:rsidRPr="000F23E0">
        <w:t xml:space="preserve"> Plan</w:t>
      </w:r>
    </w:p>
    <w:p w14:paraId="59720844" w14:textId="045B2105" w:rsidR="00A47433" w:rsidRPr="000F23E0" w:rsidRDefault="00117F33" w:rsidP="00557D2D">
      <w:pPr>
        <w:keepNext/>
        <w:keepLines/>
        <w:shd w:val="clear" w:color="auto" w:fill="FFFFFF" w:themeFill="background1"/>
      </w:pPr>
      <w:r w:rsidRPr="000F23E0">
        <w:t xml:space="preserve">In September 2025, the </w:t>
      </w:r>
      <w:r w:rsidR="00A47433" w:rsidRPr="000F23E0">
        <w:t xml:space="preserve">Australian Government </w:t>
      </w:r>
      <w:r w:rsidRPr="000F23E0">
        <w:t xml:space="preserve">released the </w:t>
      </w:r>
      <w:hyperlink r:id="rId43" w:history="1">
        <w:r w:rsidR="00A47433" w:rsidRPr="000F23E0">
          <w:rPr>
            <w:rStyle w:val="Hyperlink"/>
          </w:rPr>
          <w:t>Net Zero Plan</w:t>
        </w:r>
      </w:hyperlink>
      <w:r w:rsidR="007C2EF3" w:rsidRPr="000F23E0">
        <w:t xml:space="preserve"> (the Plan)</w:t>
      </w:r>
      <w:r w:rsidR="00A47433" w:rsidRPr="000F23E0">
        <w:t xml:space="preserve"> along with </w:t>
      </w:r>
      <w:r w:rsidR="0061798A" w:rsidRPr="000F23E0">
        <w:t>6</w:t>
      </w:r>
      <w:r w:rsidR="007F486F" w:rsidRPr="000F23E0">
        <w:t> </w:t>
      </w:r>
      <w:r w:rsidR="00A47433" w:rsidRPr="000F23E0">
        <w:t>sectoral plans, to pursue the opportunities in and guide Australia</w:t>
      </w:r>
      <w:r w:rsidR="002C4475" w:rsidRPr="000F23E0">
        <w:t>’</w:t>
      </w:r>
      <w:r w:rsidR="00A47433" w:rsidRPr="000F23E0">
        <w:t xml:space="preserve">s transition to net zero. All sectors must reduce emissions from current levels for Australia to reach net zero. </w:t>
      </w:r>
    </w:p>
    <w:p w14:paraId="42D3B47E" w14:textId="77777777" w:rsidR="00A47433" w:rsidRPr="000F23E0" w:rsidRDefault="00A47433" w:rsidP="00557D2D">
      <w:pPr>
        <w:keepNext/>
        <w:keepLines/>
      </w:pPr>
      <w:r w:rsidRPr="000F23E0">
        <w:t>The Plan identifies 5 decarbonisation priorities for Australia to achieve net zero:</w:t>
      </w:r>
    </w:p>
    <w:p w14:paraId="4EC01F9D" w14:textId="61D7082B" w:rsidR="00A47433" w:rsidRPr="000F23E0" w:rsidRDefault="007C2EF3" w:rsidP="00557D2D">
      <w:pPr>
        <w:pStyle w:val="Bullet"/>
        <w:keepNext/>
        <w:keepLines/>
      </w:pPr>
      <w:r w:rsidRPr="000F23E0">
        <w:t>c</w:t>
      </w:r>
      <w:r w:rsidR="00A47433" w:rsidRPr="000F23E0">
        <w:t>lean electricity across the economy</w:t>
      </w:r>
    </w:p>
    <w:p w14:paraId="3B899BB5" w14:textId="7E080630" w:rsidR="00A47433" w:rsidRPr="000F23E0" w:rsidRDefault="007C2EF3" w:rsidP="00557D2D">
      <w:pPr>
        <w:pStyle w:val="Bullet"/>
        <w:keepNext/>
        <w:keepLines/>
      </w:pPr>
      <w:r w:rsidRPr="000F23E0">
        <w:t>l</w:t>
      </w:r>
      <w:r w:rsidR="00A47433" w:rsidRPr="000F23E0">
        <w:t>owering emissions by electrification and efficiency</w:t>
      </w:r>
    </w:p>
    <w:p w14:paraId="29274825" w14:textId="637937F9" w:rsidR="00A47433" w:rsidRPr="000F23E0" w:rsidRDefault="007C2EF3" w:rsidP="00557D2D">
      <w:pPr>
        <w:pStyle w:val="Bullet"/>
        <w:keepNext/>
        <w:keepLines/>
      </w:pPr>
      <w:r w:rsidRPr="000F23E0">
        <w:t>e</w:t>
      </w:r>
      <w:r w:rsidR="00A47433" w:rsidRPr="000F23E0">
        <w:t>xpanding clean fuel use</w:t>
      </w:r>
    </w:p>
    <w:p w14:paraId="630781AA" w14:textId="1CAAEB7B" w:rsidR="00A47433" w:rsidRPr="000F23E0" w:rsidRDefault="007C2EF3" w:rsidP="00557D2D">
      <w:pPr>
        <w:pStyle w:val="Bullet"/>
        <w:keepNext/>
        <w:keepLines/>
      </w:pPr>
      <w:r w:rsidRPr="000F23E0">
        <w:t>a</w:t>
      </w:r>
      <w:r w:rsidR="00A47433" w:rsidRPr="000F23E0">
        <w:t>ccelerating new technologies</w:t>
      </w:r>
    </w:p>
    <w:p w14:paraId="7493B9BF" w14:textId="29DE0553" w:rsidR="002610EF" w:rsidRPr="000F23E0" w:rsidRDefault="007C2EF3" w:rsidP="00557D2D">
      <w:pPr>
        <w:pStyle w:val="Bullet"/>
        <w:keepNext/>
        <w:keepLines/>
      </w:pPr>
      <w:r w:rsidRPr="000F23E0">
        <w:t>n</w:t>
      </w:r>
      <w:r w:rsidR="00A47433" w:rsidRPr="000F23E0">
        <w:t>et carbon removals scaled up</w:t>
      </w:r>
      <w:r w:rsidRPr="000F23E0">
        <w:t>.</w:t>
      </w:r>
      <w:r w:rsidR="00BC52D3" w:rsidRPr="000F23E0">
        <w:rPr>
          <w:rStyle w:val="EndnoteReference"/>
        </w:rPr>
        <w:endnoteReference w:id="13"/>
      </w:r>
    </w:p>
    <w:p w14:paraId="599A90D1" w14:textId="3CFFE10F" w:rsidR="00124367" w:rsidRPr="000F23E0" w:rsidRDefault="00124367" w:rsidP="00551F72">
      <w:pPr>
        <w:pStyle w:val="ChartMainHeading"/>
      </w:pPr>
      <w:bookmarkStart w:id="58" w:name="_Toc220610585"/>
      <w:bookmarkStart w:id="59" w:name="_Toc220597355"/>
      <w:bookmarkStart w:id="60" w:name="_Toc224637785"/>
      <w:bookmarkStart w:id="61" w:name="_Toc224642449"/>
      <w:bookmarkStart w:id="62" w:name="_Toc225153425"/>
      <w:bookmarkStart w:id="63" w:name="_Toc225154471"/>
      <w:bookmarkStart w:id="64" w:name="_Toc225155736"/>
      <w:r w:rsidRPr="000F23E0">
        <w:t xml:space="preserve">Figure </w:t>
      </w:r>
      <w:r w:rsidR="00AB41A7" w:rsidRPr="000F23E0">
        <w:t>5</w:t>
      </w:r>
      <w:r w:rsidR="00E17878" w:rsidRPr="000F23E0">
        <w:t>:</w:t>
      </w:r>
      <w:r w:rsidRPr="000F23E0">
        <w:t xml:space="preserve"> Australia</w:t>
      </w:r>
      <w:r w:rsidR="002C4475" w:rsidRPr="000F23E0">
        <w:t>’</w:t>
      </w:r>
      <w:r w:rsidRPr="000F23E0">
        <w:t>s net zero priorities</w:t>
      </w:r>
      <w:bookmarkEnd w:id="58"/>
      <w:bookmarkEnd w:id="59"/>
      <w:bookmarkEnd w:id="60"/>
      <w:bookmarkEnd w:id="61"/>
      <w:bookmarkEnd w:id="62"/>
      <w:bookmarkEnd w:id="63"/>
      <w:bookmarkEnd w:id="64"/>
    </w:p>
    <w:p w14:paraId="39721B14" w14:textId="407CC77F" w:rsidR="009D0EB8" w:rsidRPr="000F23E0" w:rsidRDefault="00C470BA" w:rsidP="00CB3822">
      <w:pPr>
        <w:pStyle w:val="ChartGraphic"/>
      </w:pPr>
      <w:r w:rsidRPr="000F23E0">
        <w:drawing>
          <wp:inline distT="0" distB="0" distL="0" distR="0" wp14:anchorId="0DFE3705" wp14:editId="1F8649EE">
            <wp:extent cx="5117123" cy="2013550"/>
            <wp:effectExtent l="0" t="0" r="7620" b="0"/>
            <wp:docPr id="1081378177" name="Picture 8" descr="Figure 5 presents Australia’s net zero priorities, shown as five focus areas supported by policies including the Safeguard Mechanism and the Capacity Investment Scheme. The priorities are: decarbonising and expanding the electricity network; electrifying and improving energy and materials performance; switching to low‑carbon fuels; innovating to expand emissions reduction options; and scaling up carbon removals to balance residual emiss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378177" name="Picture 8" descr="Figure 5 presents Australia’s net zero priorities, shown as five focus areas supported by policies including the Safeguard Mechanism and the Capacity Investment Scheme. The priorities are: decarbonising and expanding the electricity network; electrifying and improving energy and materials performance; switching to low‑carbon fuels; innovating to expand emissions reduction options; and scaling up carbon removals to balance residual emissions."/>
                    <pic:cNvPicPr/>
                  </pic:nvPicPr>
                  <pic:blipFill rotWithShape="1">
                    <a:blip r:embed="rId44" cstate="print">
                      <a:extLst>
                        <a:ext uri="{28A0092B-C50C-407E-A947-70E740481C1C}">
                          <a14:useLocalDpi xmlns:a14="http://schemas.microsoft.com/office/drawing/2010/main" val="0"/>
                        </a:ext>
                      </a:extLst>
                    </a:blip>
                    <a:srcRect/>
                    <a:stretch>
                      <a:fillRect/>
                    </a:stretch>
                  </pic:blipFill>
                  <pic:spPr bwMode="auto">
                    <a:xfrm>
                      <a:off x="0" y="0"/>
                      <a:ext cx="5118157" cy="2013957"/>
                    </a:xfrm>
                    <a:prstGeom prst="rect">
                      <a:avLst/>
                    </a:prstGeom>
                    <a:ln>
                      <a:noFill/>
                    </a:ln>
                    <a:extLst>
                      <a:ext uri="{53640926-AAD7-44D8-BBD7-CCE9431645EC}">
                        <a14:shadowObscured xmlns:a14="http://schemas.microsoft.com/office/drawing/2010/main"/>
                      </a:ext>
                    </a:extLst>
                  </pic:spPr>
                </pic:pic>
              </a:graphicData>
            </a:graphic>
          </wp:inline>
        </w:drawing>
      </w:r>
    </w:p>
    <w:p w14:paraId="4F6920DD" w14:textId="2D600F7A" w:rsidR="00BE3035" w:rsidRPr="000F23E0" w:rsidRDefault="00A47433" w:rsidP="00BE3035">
      <w:pPr>
        <w:shd w:val="clear" w:color="auto" w:fill="FFFFFF" w:themeFill="background1"/>
      </w:pPr>
      <w:r w:rsidRPr="000F23E0">
        <w:t>The 2035 target and the Government</w:t>
      </w:r>
      <w:r w:rsidR="002C4475" w:rsidRPr="000F23E0">
        <w:t>’</w:t>
      </w:r>
      <w:r w:rsidRPr="000F23E0">
        <w:t xml:space="preserve">s Net Zero Plan </w:t>
      </w:r>
      <w:r w:rsidR="7098082C" w:rsidRPr="000F23E0">
        <w:t>are</w:t>
      </w:r>
      <w:r w:rsidRPr="000F23E0">
        <w:t xml:space="preserve"> underpinned by </w:t>
      </w:r>
      <w:r w:rsidR="00705BA6" w:rsidRPr="000F23E0">
        <w:t xml:space="preserve">6 </w:t>
      </w:r>
      <w:r w:rsidRPr="000F23E0">
        <w:t>sectoral decarbonisation plans</w:t>
      </w:r>
      <w:r w:rsidR="00F70D14" w:rsidRPr="000F23E0">
        <w:t xml:space="preserve">. </w:t>
      </w:r>
      <w:r w:rsidR="00BE3035" w:rsidRPr="000F23E0">
        <w:t xml:space="preserve">The pathway for each sector </w:t>
      </w:r>
      <w:r w:rsidR="2786950B" w:rsidRPr="000F23E0">
        <w:t>differ</w:t>
      </w:r>
      <w:r w:rsidR="2E38648B" w:rsidRPr="000F23E0">
        <w:t>s</w:t>
      </w:r>
      <w:r w:rsidR="2786950B" w:rsidRPr="000F23E0">
        <w:t>.</w:t>
      </w:r>
      <w:r w:rsidR="00BE3035" w:rsidRPr="000F23E0">
        <w:t xml:space="preserve"> Some sectors will use tried and tested solutions that require coordinated action, other sectors need innovation and investment.</w:t>
      </w:r>
    </w:p>
    <w:p w14:paraId="7FD5C359" w14:textId="44A21BF0" w:rsidR="00B529BB" w:rsidRPr="000F23E0" w:rsidRDefault="00A47433" w:rsidP="007F486F">
      <w:pPr>
        <w:spacing w:before="0" w:after="160" w:line="259" w:lineRule="auto"/>
      </w:pPr>
      <w:r w:rsidRPr="000F23E0">
        <w:t xml:space="preserve">The heavy lifting </w:t>
      </w:r>
      <w:r w:rsidR="00BE3035" w:rsidRPr="000F23E0">
        <w:t>for emiss</w:t>
      </w:r>
      <w:r w:rsidR="003178B4" w:rsidRPr="000F23E0">
        <w:t>ions reduction</w:t>
      </w:r>
      <w:r w:rsidRPr="000F23E0">
        <w:t xml:space="preserve"> </w:t>
      </w:r>
      <w:r w:rsidR="00FF70E8" w:rsidRPr="000F23E0">
        <w:t xml:space="preserve">is </w:t>
      </w:r>
      <w:r w:rsidR="009105C1" w:rsidRPr="000F23E0">
        <w:t>occur</w:t>
      </w:r>
      <w:r w:rsidR="004731F5" w:rsidRPr="000F23E0">
        <w:t>r</w:t>
      </w:r>
      <w:r w:rsidR="00FF70E8" w:rsidRPr="000F23E0">
        <w:t>ing</w:t>
      </w:r>
      <w:r w:rsidR="009105C1" w:rsidRPr="000F23E0">
        <w:t xml:space="preserve"> in the decarbonisation of the energy sector,</w:t>
      </w:r>
      <w:r w:rsidR="00C470BA" w:rsidRPr="000F23E0">
        <w:t> </w:t>
      </w:r>
      <w:r w:rsidR="009105C1" w:rsidRPr="000F23E0">
        <w:t>which will assist other sectors to decarbonise as they electrify</w:t>
      </w:r>
      <w:r w:rsidR="003A1D99" w:rsidRPr="000F23E0">
        <w:t xml:space="preserve"> or shift to clean fuel </w:t>
      </w:r>
      <w:r w:rsidR="007D11E2" w:rsidRPr="000F23E0">
        <w:t>or new</w:t>
      </w:r>
      <w:r w:rsidR="00C470BA" w:rsidRPr="000F23E0">
        <w:t> </w:t>
      </w:r>
      <w:r w:rsidR="007D11E2" w:rsidRPr="000F23E0">
        <w:t xml:space="preserve">technologies. </w:t>
      </w:r>
    </w:p>
    <w:p w14:paraId="0CF4384A" w14:textId="61D7D9C9" w:rsidR="00A47433" w:rsidRPr="000F23E0" w:rsidRDefault="00BD5A01" w:rsidP="00EB55E2">
      <w:r w:rsidRPr="000F23E0">
        <w:t xml:space="preserve">The </w:t>
      </w:r>
      <w:r w:rsidR="008F3514" w:rsidRPr="000F23E0">
        <w:t xml:space="preserve">6 </w:t>
      </w:r>
      <w:r w:rsidR="00E406E3" w:rsidRPr="000F23E0">
        <w:t>sector emissions reduction plans support</w:t>
      </w:r>
      <w:r w:rsidR="008F3514" w:rsidRPr="000F23E0">
        <w:t>ing</w:t>
      </w:r>
      <w:r w:rsidR="00E406E3" w:rsidRPr="000F23E0">
        <w:t xml:space="preserve"> the Net Zero Plan</w:t>
      </w:r>
      <w:r w:rsidRPr="000F23E0">
        <w:t xml:space="preserve"> are:</w:t>
      </w:r>
      <w:r w:rsidR="00A47433" w:rsidRPr="000F23E0">
        <w:t xml:space="preserve"> </w:t>
      </w:r>
    </w:p>
    <w:p w14:paraId="10201E2A" w14:textId="23162424" w:rsidR="00A47433" w:rsidRPr="000F23E0" w:rsidRDefault="009E1BB7" w:rsidP="00EB55E2">
      <w:pPr>
        <w:pStyle w:val="Bullet"/>
        <w:tabs>
          <w:tab w:val="clear" w:pos="520"/>
        </w:tabs>
      </w:pPr>
      <w:r w:rsidRPr="000F23E0">
        <w:t>e</w:t>
      </w:r>
      <w:r w:rsidR="00A47433" w:rsidRPr="000F23E0">
        <w:t>lectricity and energy</w:t>
      </w:r>
    </w:p>
    <w:p w14:paraId="3B31FC56" w14:textId="0260EEB8" w:rsidR="00A47433" w:rsidRPr="000F23E0" w:rsidRDefault="009E1BB7" w:rsidP="00EB55E2">
      <w:pPr>
        <w:pStyle w:val="Bullet"/>
        <w:tabs>
          <w:tab w:val="clear" w:pos="520"/>
        </w:tabs>
      </w:pPr>
      <w:hyperlink r:id="rId45" w:history="1">
        <w:r w:rsidRPr="000F23E0">
          <w:t>a</w:t>
        </w:r>
        <w:r w:rsidR="00A47433" w:rsidRPr="000F23E0">
          <w:t>griculture and land</w:t>
        </w:r>
      </w:hyperlink>
    </w:p>
    <w:p w14:paraId="07AA493C" w14:textId="6008C7EA" w:rsidR="00A47433" w:rsidRPr="000F23E0" w:rsidRDefault="009E1BB7" w:rsidP="00EB55E2">
      <w:pPr>
        <w:pStyle w:val="Bullet"/>
        <w:tabs>
          <w:tab w:val="clear" w:pos="520"/>
        </w:tabs>
      </w:pPr>
      <w:r w:rsidRPr="000F23E0">
        <w:t>t</w:t>
      </w:r>
      <w:r w:rsidR="00A47433" w:rsidRPr="000F23E0">
        <w:t>he built environment</w:t>
      </w:r>
    </w:p>
    <w:p w14:paraId="2AC83C0B" w14:textId="0AD007F4" w:rsidR="00A47433" w:rsidRPr="000F23E0" w:rsidRDefault="009E1BB7" w:rsidP="00EB55E2">
      <w:pPr>
        <w:pStyle w:val="Bullet"/>
        <w:tabs>
          <w:tab w:val="clear" w:pos="520"/>
        </w:tabs>
      </w:pPr>
      <w:hyperlink r:id="rId46" w:history="1">
        <w:r w:rsidRPr="000F23E0">
          <w:t>i</w:t>
        </w:r>
        <w:r w:rsidR="00A47433" w:rsidRPr="000F23E0">
          <w:t>ndustry</w:t>
        </w:r>
      </w:hyperlink>
    </w:p>
    <w:p w14:paraId="5EB44324" w14:textId="608AF3D8" w:rsidR="00A47433" w:rsidRPr="000F23E0" w:rsidRDefault="009E1BB7" w:rsidP="00EB55E2">
      <w:pPr>
        <w:pStyle w:val="Bullet"/>
        <w:tabs>
          <w:tab w:val="clear" w:pos="520"/>
        </w:tabs>
      </w:pPr>
      <w:r w:rsidRPr="000F23E0">
        <w:t>r</w:t>
      </w:r>
      <w:r w:rsidR="00A47433" w:rsidRPr="000F23E0">
        <w:t>esources</w:t>
      </w:r>
    </w:p>
    <w:p w14:paraId="4480B16A" w14:textId="7B105C58" w:rsidR="00A47433" w:rsidRPr="000F23E0" w:rsidRDefault="009E1BB7" w:rsidP="00EB55E2">
      <w:pPr>
        <w:pStyle w:val="Bullet"/>
        <w:tabs>
          <w:tab w:val="clear" w:pos="520"/>
        </w:tabs>
      </w:pPr>
      <w:hyperlink r:id="rId47" w:history="1">
        <w:r w:rsidRPr="000F23E0">
          <w:t>t</w:t>
        </w:r>
        <w:r w:rsidR="00A47433" w:rsidRPr="000F23E0">
          <w:t>ransport</w:t>
        </w:r>
      </w:hyperlink>
      <w:r w:rsidR="00A47433" w:rsidRPr="000F23E0">
        <w:t xml:space="preserve">. </w:t>
      </w:r>
    </w:p>
    <w:p w14:paraId="45C6A0EB" w14:textId="77777777" w:rsidR="00234CF8" w:rsidRPr="000F23E0" w:rsidRDefault="00234CF8" w:rsidP="00B778E8">
      <w:pPr>
        <w:pStyle w:val="Heading3"/>
        <w:keepLines/>
      </w:pPr>
      <w:r w:rsidRPr="000F23E0">
        <w:lastRenderedPageBreak/>
        <w:t>Safeguard Mechanism</w:t>
      </w:r>
    </w:p>
    <w:p w14:paraId="70181F3A" w14:textId="28583B23" w:rsidR="00234CF8" w:rsidRPr="000F23E0" w:rsidRDefault="00234CF8" w:rsidP="00B778E8">
      <w:pPr>
        <w:keepNext/>
        <w:keepLines/>
      </w:pPr>
      <w:r w:rsidRPr="000F23E0">
        <w:t>The Safeguard Mechanism is the Australian Government</w:t>
      </w:r>
      <w:r w:rsidR="002C4475" w:rsidRPr="000F23E0">
        <w:t>’</w:t>
      </w:r>
      <w:r w:rsidRPr="000F23E0">
        <w:t>s policy for reducing emissions at Australia</w:t>
      </w:r>
      <w:r w:rsidR="002C4475" w:rsidRPr="000F23E0">
        <w:t>’</w:t>
      </w:r>
      <w:r w:rsidRPr="000F23E0">
        <w:t>s largest industrial facilities. The Safeguard Mechanism applies to industrial facilities emitting more than 100,000 tonnes of CO</w:t>
      </w:r>
      <w:r w:rsidRPr="000F23E0">
        <w:rPr>
          <w:vertAlign w:val="subscript"/>
        </w:rPr>
        <w:t>2</w:t>
      </w:r>
      <w:r w:rsidR="002C4475" w:rsidRPr="000F23E0">
        <w:noBreakHyphen/>
      </w:r>
      <w:r w:rsidRPr="000F23E0">
        <w:t>e per year. </w:t>
      </w:r>
    </w:p>
    <w:p w14:paraId="6872D553" w14:textId="6F9A0C3B" w:rsidR="009403D8" w:rsidRPr="000F23E0" w:rsidRDefault="00234CF8" w:rsidP="00B778E8">
      <w:pPr>
        <w:keepNext/>
        <w:keepLines/>
      </w:pPr>
      <w:r w:rsidRPr="000F23E0">
        <w:t>It sets legislated limits</w:t>
      </w:r>
      <w:r w:rsidR="00E10FFA" w:rsidRPr="000F23E0">
        <w:t xml:space="preserve"> – </w:t>
      </w:r>
      <w:r w:rsidRPr="000F23E0">
        <w:t>known as baselines</w:t>
      </w:r>
      <w:r w:rsidR="00E10FFA" w:rsidRPr="000F23E0">
        <w:t xml:space="preserve"> – </w:t>
      </w:r>
      <w:r w:rsidRPr="000F23E0">
        <w:t>on the greenhouse gas emissions of these facilities. The</w:t>
      </w:r>
      <w:r w:rsidR="00740BA0" w:rsidRPr="000F23E0">
        <w:t> </w:t>
      </w:r>
      <w:r w:rsidRPr="000F23E0">
        <w:t>emissions limits decline predictably and gradually. These limits will help achieve Australia</w:t>
      </w:r>
      <w:r w:rsidR="002C4475" w:rsidRPr="000F23E0">
        <w:t>’</w:t>
      </w:r>
      <w:r w:rsidRPr="000F23E0">
        <w:t>s emission reduction targets and net zero by 2050.</w:t>
      </w:r>
    </w:p>
    <w:p w14:paraId="2F29A957" w14:textId="39B119D8" w:rsidR="00FF77DE" w:rsidRPr="000F23E0" w:rsidRDefault="00FF77DE" w:rsidP="00B778E8">
      <w:pPr>
        <w:keepNext/>
        <w:keepLines/>
      </w:pPr>
      <w:r w:rsidRPr="000F23E0">
        <w:t>Over the 2024</w:t>
      </w:r>
      <w:r w:rsidR="003E68A8" w:rsidRPr="000F23E0">
        <w:t>–</w:t>
      </w:r>
      <w:r w:rsidRPr="000F23E0">
        <w:t xml:space="preserve">25 </w:t>
      </w:r>
      <w:r w:rsidR="000D7C8A" w:rsidRPr="000F23E0">
        <w:t>compliance perio</w:t>
      </w:r>
      <w:r w:rsidR="00DA39EC" w:rsidRPr="000F23E0">
        <w:t xml:space="preserve">d, 207 facilities were covered by the Safeguard Mechanism. </w:t>
      </w:r>
      <w:r w:rsidR="002F1F85" w:rsidRPr="000F23E0">
        <w:t>C</w:t>
      </w:r>
      <w:r w:rsidR="004008B8" w:rsidRPr="000F23E0">
        <w:t>overed emissions reduced by 2.4</w:t>
      </w:r>
      <w:r w:rsidR="00557D2D" w:rsidRPr="000F23E0">
        <w:t> </w:t>
      </w:r>
      <w:r w:rsidR="00753C30" w:rsidRPr="000F23E0">
        <w:t>per</w:t>
      </w:r>
      <w:r w:rsidR="00557D2D" w:rsidRPr="000F23E0">
        <w:t> </w:t>
      </w:r>
      <w:r w:rsidR="00753C30" w:rsidRPr="000F23E0">
        <w:t xml:space="preserve">cent </w:t>
      </w:r>
      <w:r w:rsidR="004008B8" w:rsidRPr="000F23E0">
        <w:t xml:space="preserve">from 135.9 million </w:t>
      </w:r>
      <w:r w:rsidR="00FB5FE6" w:rsidRPr="000F23E0">
        <w:t xml:space="preserve">tonnes of </w:t>
      </w:r>
      <w:r w:rsidR="00CF468B" w:rsidRPr="000F23E0">
        <w:t xml:space="preserve">carbon </w:t>
      </w:r>
      <w:r w:rsidR="00EF02F0" w:rsidRPr="000F23E0">
        <w:t>dioxide equivalent (M</w:t>
      </w:r>
      <w:r w:rsidR="00DD64D6" w:rsidRPr="000F23E0">
        <w:t>tCO2</w:t>
      </w:r>
      <w:r w:rsidR="002C4475" w:rsidRPr="000F23E0">
        <w:noBreakHyphen/>
      </w:r>
      <w:r w:rsidR="00DD64D6" w:rsidRPr="000F23E0">
        <w:t>e) in 2023</w:t>
      </w:r>
      <w:r w:rsidR="0076093D" w:rsidRPr="000F23E0">
        <w:t>–</w:t>
      </w:r>
      <w:r w:rsidR="00DD64D6" w:rsidRPr="000F23E0">
        <w:t>24</w:t>
      </w:r>
      <w:r w:rsidR="00244CE1" w:rsidRPr="000F23E0">
        <w:t xml:space="preserve"> to 13</w:t>
      </w:r>
      <w:r w:rsidR="00EC12B1" w:rsidRPr="000F23E0">
        <w:t>2.7 MtCO2</w:t>
      </w:r>
      <w:r w:rsidR="002C4475" w:rsidRPr="000F23E0">
        <w:noBreakHyphen/>
      </w:r>
      <w:r w:rsidR="00EC12B1" w:rsidRPr="000F23E0">
        <w:t>e in 2024</w:t>
      </w:r>
      <w:r w:rsidR="0076093D" w:rsidRPr="000F23E0">
        <w:t>–</w:t>
      </w:r>
      <w:r w:rsidR="00EC12B1" w:rsidRPr="000F23E0">
        <w:t>25.</w:t>
      </w:r>
      <w:r w:rsidR="00A3543B" w:rsidRPr="000F23E0">
        <w:rPr>
          <w:rStyle w:val="EndnoteReference"/>
        </w:rPr>
        <w:endnoteReference w:id="14"/>
      </w:r>
    </w:p>
    <w:p w14:paraId="186EC8AA" w14:textId="274EACF0" w:rsidR="00234CF8" w:rsidRPr="000F23E0" w:rsidRDefault="00340966" w:rsidP="00B778E8">
      <w:pPr>
        <w:keepNext/>
        <w:keepLines/>
      </w:pPr>
      <w:r w:rsidRPr="000F23E0">
        <w:t xml:space="preserve">The </w:t>
      </w:r>
      <w:r w:rsidR="00927D3D" w:rsidRPr="000F23E0">
        <w:t xml:space="preserve">Safeguard </w:t>
      </w:r>
      <w:r w:rsidR="00F21967" w:rsidRPr="000F23E0">
        <w:t xml:space="preserve">Mechanism is </w:t>
      </w:r>
      <w:r w:rsidR="00866960" w:rsidRPr="000F23E0">
        <w:t xml:space="preserve">administered by the Clean Energy </w:t>
      </w:r>
      <w:r w:rsidR="00F21967" w:rsidRPr="000F23E0">
        <w:t>Regulator</w:t>
      </w:r>
      <w:r w:rsidR="00866960" w:rsidRPr="000F23E0">
        <w:t xml:space="preserve"> </w:t>
      </w:r>
      <w:r w:rsidR="005C7907" w:rsidRPr="000F23E0">
        <w:t xml:space="preserve">which </w:t>
      </w:r>
      <w:r w:rsidR="00F21967" w:rsidRPr="000F23E0">
        <w:t xml:space="preserve">has reported the scheme is </w:t>
      </w:r>
      <w:r w:rsidRPr="000F23E0">
        <w:t>operating as intended to encourage safeguard facilities to progressively reduce their industrial emissions at source.</w:t>
      </w:r>
      <w:r w:rsidR="00224DD8" w:rsidRPr="000F23E0">
        <w:rPr>
          <w:rStyle w:val="EndnoteReference"/>
        </w:rPr>
        <w:endnoteReference w:id="15"/>
      </w:r>
      <w:r w:rsidR="00A3543B" w:rsidRPr="000F23E0">
        <w:t xml:space="preserve"> </w:t>
      </w:r>
      <w:r w:rsidR="00234CF8" w:rsidRPr="000F23E0">
        <w:t>The Safeguard Mechanism is due for review in 2026</w:t>
      </w:r>
      <w:r w:rsidR="00D51ECB" w:rsidRPr="000F23E0">
        <w:t>–</w:t>
      </w:r>
      <w:r w:rsidR="00234CF8" w:rsidRPr="000F23E0">
        <w:t>27.</w:t>
      </w:r>
    </w:p>
    <w:p w14:paraId="2BA8D069" w14:textId="77777777" w:rsidR="00292A73" w:rsidRPr="000F23E0" w:rsidRDefault="00292A73" w:rsidP="00292A73">
      <w:pPr>
        <w:pStyle w:val="Heading3"/>
      </w:pPr>
      <w:r w:rsidRPr="000F23E0">
        <w:t xml:space="preserve">Future industries </w:t>
      </w:r>
    </w:p>
    <w:p w14:paraId="06502563" w14:textId="4E041347" w:rsidR="00292A73" w:rsidRPr="000F23E0" w:rsidRDefault="00292A73" w:rsidP="00A17260">
      <w:r w:rsidRPr="000F23E0">
        <w:t>In addition to domestic decarbonisation policies, Australia has an important role in the global transition to net zero and is in a strong position to benefit from the opportunities it presents. Most</w:t>
      </w:r>
      <w:r w:rsidR="4FD43503" w:rsidRPr="000F23E0">
        <w:t xml:space="preserve"> of</w:t>
      </w:r>
      <w:r w:rsidR="00557D2D" w:rsidRPr="000F23E0">
        <w:t> </w:t>
      </w:r>
      <w:r w:rsidRPr="000F23E0">
        <w:t>Australia</w:t>
      </w:r>
      <w:r w:rsidR="002C4475" w:rsidRPr="000F23E0">
        <w:t>’</w:t>
      </w:r>
      <w:r w:rsidRPr="000F23E0">
        <w:t xml:space="preserve">s exports go to economies with net zero commitments, and competition to attract investment in net zero industries is increasing. </w:t>
      </w:r>
    </w:p>
    <w:p w14:paraId="4BB70741" w14:textId="7AAFE2E4" w:rsidR="00292A73" w:rsidRPr="000F23E0" w:rsidRDefault="00292A73" w:rsidP="00A17260">
      <w:r w:rsidRPr="000F23E0">
        <w:t>World</w:t>
      </w:r>
      <w:r w:rsidR="002C4475" w:rsidRPr="000F23E0">
        <w:noBreakHyphen/>
      </w:r>
      <w:r w:rsidRPr="000F23E0">
        <w:t xml:space="preserve">class renewable energy and mineral resources, a highly skilled population and a track record as a reliable trading partner, position Australia well to be a major beneficiary of these global shifts and become a renewable energy superpower. </w:t>
      </w:r>
    </w:p>
    <w:p w14:paraId="5652CB67" w14:textId="26A6855A" w:rsidR="00171317" w:rsidRPr="000F23E0" w:rsidRDefault="00292A73" w:rsidP="00A859D0">
      <w:r w:rsidRPr="000F23E0">
        <w:t>The Future Made in Australia agenda takes steps to encourage the significant private sector investment needed to harness global net zero transformation opportunities and ensure Australia</w:t>
      </w:r>
      <w:r w:rsidR="002C4475" w:rsidRPr="000F23E0">
        <w:t>’</w:t>
      </w:r>
      <w:r w:rsidRPr="000F23E0">
        <w:t xml:space="preserve">s future prosperity (see Box 1: </w:t>
      </w:r>
      <w:r w:rsidR="00593434" w:rsidRPr="000F23E0">
        <w:t xml:space="preserve">A </w:t>
      </w:r>
      <w:r w:rsidRPr="000F23E0">
        <w:t>Future Made in Australia).</w:t>
      </w:r>
    </w:p>
    <w:p w14:paraId="622E8270" w14:textId="65696A0D" w:rsidR="00A859D0" w:rsidRPr="000F23E0" w:rsidRDefault="00A859D0" w:rsidP="00A859D0">
      <w:pPr>
        <w:pStyle w:val="ChartGraphic"/>
        <w:keepNext w:val="0"/>
      </w:pPr>
      <w:r w:rsidRPr="000F23E0">
        <w:drawing>
          <wp:inline distT="0" distB="0" distL="0" distR="0" wp14:anchorId="18166EC9" wp14:editId="6D423208">
            <wp:extent cx="5755005" cy="2743200"/>
            <wp:effectExtent l="0" t="0" r="0" b="0"/>
            <wp:docPr id="882171263" name="Picture 14" descr="A renewable energy engineering class outdoors in Western Australia learning about solar dish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171263" name="Picture 14" descr="A renewable energy engineering class outdoors in Western Australia learning about solar dishes."/>
                    <pic:cNvPicPr/>
                  </pic:nvPicPr>
                  <pic:blipFill rotWithShape="1">
                    <a:blip r:embed="rId48" cstate="print">
                      <a:extLst>
                        <a:ext uri="{28A0092B-C50C-407E-A947-70E740481C1C}">
                          <a14:useLocalDpi xmlns:a14="http://schemas.microsoft.com/office/drawing/2010/main" val="0"/>
                        </a:ext>
                      </a:extLst>
                    </a:blip>
                    <a:srcRect/>
                    <a:stretch>
                      <a:fillRect/>
                    </a:stretch>
                  </pic:blipFill>
                  <pic:spPr bwMode="auto">
                    <a:xfrm>
                      <a:off x="0" y="0"/>
                      <a:ext cx="5757191" cy="2744242"/>
                    </a:xfrm>
                    <a:prstGeom prst="rect">
                      <a:avLst/>
                    </a:prstGeom>
                    <a:ln>
                      <a:noFill/>
                    </a:ln>
                    <a:extLst>
                      <a:ext uri="{53640926-AAD7-44D8-BBD7-CCE9431645EC}">
                        <a14:shadowObscured xmlns:a14="http://schemas.microsoft.com/office/drawing/2010/main"/>
                      </a:ext>
                    </a:extLst>
                  </pic:spPr>
                </pic:pic>
              </a:graphicData>
            </a:graphic>
          </wp:inline>
        </w:drawing>
      </w:r>
    </w:p>
    <w:p w14:paraId="0AE8EDB9" w14:textId="4B500239" w:rsidR="00A859D0" w:rsidRPr="000F23E0" w:rsidRDefault="00A859D0" w:rsidP="00BE7985">
      <w:pPr>
        <w:pStyle w:val="SingleParagraph"/>
      </w:pPr>
    </w:p>
    <w:tbl>
      <w:tblPr>
        <w:tblW w:w="5000" w:type="pct"/>
        <w:shd w:val="clear" w:color="auto" w:fill="FDF0E7"/>
        <w:tblCellMar>
          <w:top w:w="113" w:type="dxa"/>
          <w:left w:w="284" w:type="dxa"/>
          <w:bottom w:w="113" w:type="dxa"/>
          <w:right w:w="284" w:type="dxa"/>
        </w:tblCellMar>
        <w:tblLook w:val="04A0" w:firstRow="1" w:lastRow="0" w:firstColumn="1" w:lastColumn="0" w:noHBand="0" w:noVBand="1"/>
      </w:tblPr>
      <w:tblGrid>
        <w:gridCol w:w="9070"/>
      </w:tblGrid>
      <w:tr w:rsidR="00171317" w:rsidRPr="000F23E0" w14:paraId="3DE2CA76" w14:textId="77777777" w:rsidTr="00C470BA">
        <w:tc>
          <w:tcPr>
            <w:tcW w:w="5000" w:type="pct"/>
            <w:shd w:val="clear" w:color="auto" w:fill="FDF0E7"/>
            <w:hideMark/>
          </w:tcPr>
          <w:p w14:paraId="4152069C" w14:textId="3D298C21" w:rsidR="00171317" w:rsidRPr="000F23E0" w:rsidRDefault="00171317" w:rsidP="00A859D0">
            <w:pPr>
              <w:pStyle w:val="BoxHeading"/>
              <w:keepNext w:val="0"/>
              <w:rPr>
                <w:sz w:val="28"/>
                <w:szCs w:val="28"/>
              </w:rPr>
            </w:pPr>
            <w:r w:rsidRPr="000F23E0">
              <w:rPr>
                <w:sz w:val="28"/>
                <w:szCs w:val="28"/>
              </w:rPr>
              <w:t>Box 1: A Future Made in Australia</w:t>
            </w:r>
          </w:p>
          <w:p w14:paraId="072A25DC" w14:textId="77777777" w:rsidR="00171317" w:rsidRPr="000F23E0" w:rsidRDefault="00171317" w:rsidP="00A859D0">
            <w:pPr>
              <w:pStyle w:val="BoxText"/>
            </w:pPr>
            <w:r w:rsidRPr="000F23E0">
              <w:t xml:space="preserve">In the 2024–25 Budget, the Government announced $22.7 billion for a Future Made in Australia agenda. The focus is on attracting private sector investment to maximise the economic and industrial benefits of the move to net zero and secure Australia’s place in a changing global economic and strategic landscape. </w:t>
            </w:r>
          </w:p>
          <w:p w14:paraId="76FB22D7" w14:textId="0322ACE7" w:rsidR="00171317" w:rsidRPr="000F23E0" w:rsidRDefault="00171317" w:rsidP="00A859D0">
            <w:pPr>
              <w:pStyle w:val="BoxText"/>
            </w:pPr>
            <w:r w:rsidRPr="000F23E0">
              <w:t xml:space="preserve">The </w:t>
            </w:r>
            <w:r w:rsidRPr="000F23E0">
              <w:rPr>
                <w:i/>
                <w:iCs/>
              </w:rPr>
              <w:t>Future Made in Australia Act 2024</w:t>
            </w:r>
            <w:r w:rsidRPr="000F23E0">
              <w:t xml:space="preserve"> (the Act) commenced on 10 December 2024. The Act establishes a National Interest Framework to support the Australian Government’s consideration and decision-making in relation to significant public investment that unlocks private investment in the national interest. </w:t>
            </w:r>
          </w:p>
          <w:p w14:paraId="2886A91A" w14:textId="23C5D960" w:rsidR="00171317" w:rsidRPr="000F23E0" w:rsidRDefault="00171317" w:rsidP="00A859D0">
            <w:pPr>
              <w:pStyle w:val="BoxText"/>
            </w:pPr>
            <w:r w:rsidRPr="000F23E0">
              <w:t>The National Interest Framework’s ‘net zero transformation’ stream relates to industries that:</w:t>
            </w:r>
          </w:p>
          <w:p w14:paraId="47E57C7A" w14:textId="1A45C84D" w:rsidR="00171317" w:rsidRPr="000F23E0" w:rsidRDefault="00171317" w:rsidP="00A859D0">
            <w:pPr>
              <w:pStyle w:val="Boxbullet"/>
            </w:pPr>
            <w:r w:rsidRPr="000F23E0">
              <w:t>are expected to have a sustained comparative advantage in a net zero global economy</w:t>
            </w:r>
          </w:p>
          <w:p w14:paraId="49E529E3" w14:textId="339AD1CF" w:rsidR="00171317" w:rsidRPr="000F23E0" w:rsidRDefault="00171317" w:rsidP="00A859D0">
            <w:pPr>
              <w:pStyle w:val="Boxbullet"/>
            </w:pPr>
            <w:r w:rsidRPr="000F23E0">
              <w:t>where public investment is likely to be needed for the sector to make a significant contribution to emissions reduction at an efficient cost.</w:t>
            </w:r>
          </w:p>
          <w:p w14:paraId="7784D3EF" w14:textId="77777777" w:rsidR="00171317" w:rsidRPr="000F23E0" w:rsidRDefault="00171317" w:rsidP="00A859D0">
            <w:pPr>
              <w:pStyle w:val="BoxText"/>
            </w:pPr>
            <w:r w:rsidRPr="000F23E0">
              <w:t>Four industries have been identified as being aligned with the net zero transformation stream:</w:t>
            </w:r>
          </w:p>
          <w:p w14:paraId="3DC37C4C" w14:textId="02CDAD60" w:rsidR="00171317" w:rsidRPr="000F23E0" w:rsidRDefault="00171317" w:rsidP="00A859D0">
            <w:pPr>
              <w:pStyle w:val="Boxbullet"/>
            </w:pPr>
            <w:r w:rsidRPr="000F23E0">
              <w:t>Renewable hydrogen</w:t>
            </w:r>
          </w:p>
          <w:p w14:paraId="0F844ED9" w14:textId="0ED7558F" w:rsidR="00171317" w:rsidRPr="000F23E0" w:rsidRDefault="00171317" w:rsidP="00A859D0">
            <w:pPr>
              <w:pStyle w:val="Boxbullet"/>
            </w:pPr>
            <w:r w:rsidRPr="000F23E0">
              <w:t>Green metals</w:t>
            </w:r>
          </w:p>
          <w:p w14:paraId="61D18923" w14:textId="420C75BC" w:rsidR="00171317" w:rsidRPr="000F23E0" w:rsidRDefault="00171317" w:rsidP="00A859D0">
            <w:pPr>
              <w:pStyle w:val="Boxbullet"/>
            </w:pPr>
            <w:r w:rsidRPr="000F23E0">
              <w:t>Low carbon liquid fuels</w:t>
            </w:r>
          </w:p>
          <w:p w14:paraId="45C8E44D" w14:textId="77777777" w:rsidR="00171317" w:rsidRPr="000F23E0" w:rsidRDefault="00171317" w:rsidP="00A859D0">
            <w:pPr>
              <w:pStyle w:val="Boxbullet"/>
            </w:pPr>
            <w:r w:rsidRPr="000F23E0">
              <w:t>Clean energy manufacturing (including battery and solar panel supply chains).</w:t>
            </w:r>
          </w:p>
          <w:p w14:paraId="6A6FE4E4" w14:textId="77777777" w:rsidR="00D63801" w:rsidRPr="000F23E0" w:rsidRDefault="00D63801" w:rsidP="00A859D0">
            <w:pPr>
              <w:pStyle w:val="BoxText"/>
            </w:pPr>
            <w:r w:rsidRPr="000F23E0">
              <w:t>The Australian Government has also established a new front door for investors with major transformational investment proposals related to Future Made in Australia. This will make it simpler to invest in Australia and will help attract more global and domestic capital.</w:t>
            </w:r>
          </w:p>
          <w:p w14:paraId="3D0D2F77" w14:textId="599B59D7" w:rsidR="00F26CB8" w:rsidRPr="000F23E0" w:rsidRDefault="00850F4A" w:rsidP="00A859D0">
            <w:pPr>
              <w:pStyle w:val="BoxText"/>
            </w:pPr>
            <w:r w:rsidRPr="000F23E0">
              <w:t xml:space="preserve">The Sustainable Finance Roadmap also </w:t>
            </w:r>
            <w:r w:rsidR="00502367" w:rsidRPr="000F23E0">
              <w:t xml:space="preserve">supports private capital flows </w:t>
            </w:r>
            <w:r w:rsidR="00736C72" w:rsidRPr="000F23E0">
              <w:t>aligned with a strong net</w:t>
            </w:r>
            <w:r w:rsidR="005F45A1" w:rsidRPr="000F23E0">
              <w:t> </w:t>
            </w:r>
            <w:r w:rsidR="00736C72" w:rsidRPr="000F23E0">
              <w:t>zero future.</w:t>
            </w:r>
          </w:p>
        </w:tc>
      </w:tr>
    </w:tbl>
    <w:p w14:paraId="407DEFBA" w14:textId="77777777" w:rsidR="00171317" w:rsidRPr="000F23E0" w:rsidRDefault="00171317" w:rsidP="003074FE">
      <w:pPr>
        <w:pStyle w:val="SingleParagraph"/>
      </w:pPr>
    </w:p>
    <w:p w14:paraId="6B3C820B" w14:textId="06B387E6" w:rsidR="00CE7C8D" w:rsidRPr="000F23E0" w:rsidRDefault="00437D5B" w:rsidP="00B778E8">
      <w:pPr>
        <w:pStyle w:val="Heading2"/>
        <w:keepLines/>
        <w:shd w:val="clear" w:color="auto" w:fill="FFFFFF" w:themeFill="background1"/>
      </w:pPr>
      <w:bookmarkStart w:id="65" w:name="_Toc225155737"/>
      <w:r w:rsidRPr="000F23E0">
        <w:lastRenderedPageBreak/>
        <w:t>C</w:t>
      </w:r>
      <w:r w:rsidR="00CE7C8D" w:rsidRPr="000F23E0">
        <w:t>limate change adaptation</w:t>
      </w:r>
      <w:bookmarkEnd w:id="65"/>
      <w:r w:rsidR="00CE7C8D" w:rsidRPr="000F23E0">
        <w:t xml:space="preserve"> </w:t>
      </w:r>
    </w:p>
    <w:p w14:paraId="31498855" w14:textId="4FA32226" w:rsidR="003F2A43" w:rsidRPr="000F23E0" w:rsidRDefault="003F2A43" w:rsidP="00B778E8">
      <w:pPr>
        <w:keepNext/>
        <w:keepLines/>
        <w:shd w:val="clear" w:color="auto" w:fill="FFFFFF" w:themeFill="background1"/>
        <w:spacing w:after="120"/>
      </w:pPr>
      <w:r w:rsidRPr="000F23E0">
        <w:t>Even with strong global action to reduce emissions, the impacts of climate change are already being felt and will continue to increase over the coming decades due to past greenhouse gas</w:t>
      </w:r>
      <w:r w:rsidR="00D32282" w:rsidRPr="000F23E0">
        <w:t xml:space="preserve"> emissions</w:t>
      </w:r>
      <w:r w:rsidRPr="000F23E0">
        <w:t>.</w:t>
      </w:r>
    </w:p>
    <w:p w14:paraId="15E2E723" w14:textId="3ADE9B91" w:rsidR="00CB3BD2" w:rsidRPr="000F23E0" w:rsidRDefault="003F2A43" w:rsidP="00B778E8">
      <w:pPr>
        <w:keepNext/>
        <w:keepLines/>
        <w:shd w:val="clear" w:color="auto" w:fill="FFFFFF" w:themeFill="background1"/>
        <w:tabs>
          <w:tab w:val="right" w:pos="9070"/>
        </w:tabs>
        <w:spacing w:after="120"/>
      </w:pPr>
      <w:r w:rsidRPr="000F23E0">
        <w:t xml:space="preserve">To </w:t>
      </w:r>
      <w:r w:rsidR="00FF02FD" w:rsidRPr="000F23E0">
        <w:t>help</w:t>
      </w:r>
      <w:r w:rsidRPr="000F23E0">
        <w:t xml:space="preserve"> manage increasing risks arising from climate change, Australia needs to </w:t>
      </w:r>
      <w:r w:rsidR="00FF02FD" w:rsidRPr="000F23E0">
        <w:t>consider</w:t>
      </w:r>
      <w:r w:rsidRPr="000F23E0">
        <w:t xml:space="preserve"> adaptation action</w:t>
      </w:r>
      <w:r w:rsidR="00FF02FD" w:rsidRPr="000F23E0">
        <w:t>s</w:t>
      </w:r>
      <w:r w:rsidRPr="000F23E0">
        <w:t>, enable</w:t>
      </w:r>
      <w:r w:rsidR="000C0487" w:rsidRPr="000F23E0">
        <w:t xml:space="preserve"> more</w:t>
      </w:r>
      <w:r w:rsidRPr="000F23E0">
        <w:t xml:space="preserve"> private sector investment and support people and communities in disproportionately vulnerable situations. </w:t>
      </w:r>
    </w:p>
    <w:p w14:paraId="7FACDAD2" w14:textId="58F21D93" w:rsidR="003F2A43" w:rsidRPr="000F23E0" w:rsidRDefault="003F2A43" w:rsidP="00B778E8">
      <w:pPr>
        <w:keepNext/>
        <w:keepLines/>
        <w:shd w:val="clear" w:color="auto" w:fill="FFFFFF" w:themeFill="background1"/>
        <w:tabs>
          <w:tab w:val="right" w:pos="9070"/>
        </w:tabs>
        <w:spacing w:after="120"/>
      </w:pPr>
      <w:r w:rsidRPr="000F23E0">
        <w:t xml:space="preserve">Successful </w:t>
      </w:r>
      <w:r w:rsidR="00445AD4" w:rsidRPr="000F23E0">
        <w:t>climate change adaptation</w:t>
      </w:r>
      <w:r w:rsidRPr="000F23E0">
        <w:t xml:space="preserve"> should be place</w:t>
      </w:r>
      <w:r w:rsidR="002C4475" w:rsidRPr="000F23E0">
        <w:noBreakHyphen/>
      </w:r>
      <w:r w:rsidRPr="000F23E0">
        <w:t>based, community</w:t>
      </w:r>
      <w:r w:rsidR="002C4475" w:rsidRPr="000F23E0">
        <w:noBreakHyphen/>
      </w:r>
      <w:r w:rsidRPr="000F23E0">
        <w:t>led and values</w:t>
      </w:r>
      <w:r w:rsidR="002C4475" w:rsidRPr="000F23E0">
        <w:noBreakHyphen/>
      </w:r>
      <w:r w:rsidRPr="000F23E0">
        <w:t xml:space="preserve">driven. Governments, households, businesses, and community organisations all have a role, and decisions should be underpinned by science and analysis. </w:t>
      </w:r>
    </w:p>
    <w:p w14:paraId="25539D75" w14:textId="179CFE4F" w:rsidR="003F2A43" w:rsidRPr="000F23E0" w:rsidRDefault="00553F26" w:rsidP="00B778E8">
      <w:pPr>
        <w:keepNext/>
        <w:keepLines/>
        <w:shd w:val="clear" w:color="auto" w:fill="FFFFFF" w:themeFill="background1"/>
        <w:spacing w:after="120"/>
      </w:pPr>
      <w:r w:rsidRPr="000F23E0">
        <w:t>D</w:t>
      </w:r>
      <w:r w:rsidR="003F2A43" w:rsidRPr="000F23E0">
        <w:t xml:space="preserve">omestic </w:t>
      </w:r>
      <w:r w:rsidR="00445AD4" w:rsidRPr="000F23E0">
        <w:t>climate change adaptation</w:t>
      </w:r>
      <w:r w:rsidR="003F2A43" w:rsidRPr="000F23E0">
        <w:t xml:space="preserve"> action takes many forms</w:t>
      </w:r>
      <w:r w:rsidRPr="000F23E0">
        <w:t xml:space="preserve"> that can</w:t>
      </w:r>
      <w:r w:rsidR="003F2A43" w:rsidRPr="000F23E0">
        <w:t xml:space="preserve"> include:</w:t>
      </w:r>
    </w:p>
    <w:p w14:paraId="13CC4C07" w14:textId="05EF8B8A" w:rsidR="003F2A43" w:rsidRPr="000F23E0" w:rsidRDefault="00553F26" w:rsidP="005F45A1">
      <w:pPr>
        <w:pStyle w:val="Bullet"/>
      </w:pPr>
      <w:r w:rsidRPr="000F23E0">
        <w:t>p</w:t>
      </w:r>
      <w:r w:rsidR="003F2A43" w:rsidRPr="000F23E0">
        <w:t xml:space="preserve">rotecting species and managing resources so </w:t>
      </w:r>
      <w:r w:rsidRPr="000F23E0">
        <w:t>the</w:t>
      </w:r>
      <w:r w:rsidR="003F2A43" w:rsidRPr="000F23E0">
        <w:t xml:space="preserve"> natural environment can endure and overcome </w:t>
      </w:r>
      <w:r w:rsidRPr="000F23E0">
        <w:t xml:space="preserve">climate change </w:t>
      </w:r>
      <w:r w:rsidR="003F2A43" w:rsidRPr="000F23E0">
        <w:t>impacts</w:t>
      </w:r>
    </w:p>
    <w:p w14:paraId="1F8D56B3" w14:textId="2540511C" w:rsidR="003F2A43" w:rsidRPr="000F23E0" w:rsidRDefault="00553F26" w:rsidP="005F45A1">
      <w:pPr>
        <w:pStyle w:val="Bullet"/>
      </w:pPr>
      <w:r w:rsidRPr="000F23E0">
        <w:t>u</w:t>
      </w:r>
      <w:r w:rsidR="003F2A43" w:rsidRPr="000F23E0">
        <w:t>pgrading infrastructure, including buildings and transport systems, to better withstand heatwaves and extreme weather events</w:t>
      </w:r>
    </w:p>
    <w:p w14:paraId="0C43E6AD" w14:textId="2F746143" w:rsidR="003F2A43" w:rsidRPr="000F23E0" w:rsidRDefault="00553F26" w:rsidP="005F45A1">
      <w:pPr>
        <w:pStyle w:val="Bullet"/>
      </w:pPr>
      <w:r w:rsidRPr="000F23E0">
        <w:t>s</w:t>
      </w:r>
      <w:r w:rsidR="003F2A43" w:rsidRPr="000F23E0">
        <w:t>upporting the wellbeing of Australians most impacted by climate change, especially those who face increasing disasters, extreme temperatures and severe weather events.</w:t>
      </w:r>
    </w:p>
    <w:p w14:paraId="0B55C23B" w14:textId="35085B61" w:rsidR="00CE7C8D" w:rsidRPr="000F23E0" w:rsidRDefault="00122396" w:rsidP="00B778E8">
      <w:pPr>
        <w:keepNext/>
        <w:keepLines/>
        <w:shd w:val="clear" w:color="auto" w:fill="FFFFFF" w:themeFill="background1"/>
        <w:tabs>
          <w:tab w:val="right" w:pos="9070"/>
        </w:tabs>
        <w:spacing w:after="120"/>
      </w:pPr>
      <w:r w:rsidRPr="000F23E0">
        <w:t>T</w:t>
      </w:r>
      <w:r w:rsidR="00CE7C8D" w:rsidRPr="000F23E0">
        <w:t xml:space="preserve">he Australian Government released its first National Climate Risk Assessment and </w:t>
      </w:r>
      <w:hyperlink r:id="rId49">
        <w:r w:rsidR="00CE7C8D" w:rsidRPr="000F23E0">
          <w:rPr>
            <w:rStyle w:val="Hyperlink"/>
          </w:rPr>
          <w:t>National Adaptation Plan</w:t>
        </w:r>
      </w:hyperlink>
      <w:r w:rsidR="00CE7C8D" w:rsidRPr="000F23E0">
        <w:t xml:space="preserve"> in September 2025. The</w:t>
      </w:r>
      <w:r w:rsidR="59A4799D" w:rsidRPr="000F23E0">
        <w:t>se</w:t>
      </w:r>
      <w:r w:rsidR="00CE7C8D" w:rsidRPr="000F23E0">
        <w:t xml:space="preserve"> provide a framework to guide decisions </w:t>
      </w:r>
      <w:r w:rsidR="00243A54" w:rsidRPr="000F23E0">
        <w:t>about</w:t>
      </w:r>
      <w:r w:rsidR="00CE7C8D" w:rsidRPr="000F23E0">
        <w:t xml:space="preserve"> adapt</w:t>
      </w:r>
      <w:r w:rsidR="00243A54" w:rsidRPr="000F23E0">
        <w:t>ing</w:t>
      </w:r>
      <w:r w:rsidR="00CE7C8D" w:rsidRPr="000F23E0">
        <w:t xml:space="preserve"> to</w:t>
      </w:r>
      <w:r w:rsidR="00C0156B" w:rsidRPr="000F23E0">
        <w:t> </w:t>
      </w:r>
      <w:r w:rsidR="00CE7C8D" w:rsidRPr="000F23E0">
        <w:t xml:space="preserve">increasing climate risks. </w:t>
      </w:r>
    </w:p>
    <w:p w14:paraId="408FA31C" w14:textId="4A6258A6" w:rsidR="008E0D70" w:rsidRPr="000F23E0" w:rsidRDefault="00243A54" w:rsidP="00344609">
      <w:pPr>
        <w:spacing w:after="120"/>
      </w:pPr>
      <w:r w:rsidRPr="000F23E0">
        <w:t xml:space="preserve">The </w:t>
      </w:r>
      <w:r w:rsidR="008E0D70" w:rsidRPr="000F23E0">
        <w:t>Australian</w:t>
      </w:r>
      <w:r w:rsidRPr="000F23E0">
        <w:t>,</w:t>
      </w:r>
      <w:r w:rsidR="008E0D70" w:rsidRPr="000F23E0">
        <w:t xml:space="preserve"> state</w:t>
      </w:r>
      <w:r w:rsidRPr="000F23E0">
        <w:t xml:space="preserve"> and </w:t>
      </w:r>
      <w:r w:rsidR="008E0D70" w:rsidRPr="000F23E0">
        <w:t>territory</w:t>
      </w:r>
      <w:r w:rsidRPr="000F23E0">
        <w:t>,</w:t>
      </w:r>
      <w:r w:rsidR="008E0D70" w:rsidRPr="000F23E0">
        <w:t xml:space="preserve"> and local governments are taking steps to advance adaptation actions. All Australian states and territories have progressed adaptation plans, either as standalone strategies or part of a broader climate plan. State and</w:t>
      </w:r>
      <w:r w:rsidR="008E0D70" w:rsidRPr="000F23E0" w:rsidDel="00E633EE">
        <w:t xml:space="preserve"> </w:t>
      </w:r>
      <w:r w:rsidR="008E0D70" w:rsidRPr="000F23E0">
        <w:t>territory governments are primarily responsible for delivering adaptation responses in service delivery and infrastructure, including emergency services, health system</w:t>
      </w:r>
      <w:r w:rsidR="00AF0A89" w:rsidRPr="000F23E0">
        <w:t>s</w:t>
      </w:r>
      <w:r w:rsidR="008E0D70" w:rsidRPr="000F23E0">
        <w:t>, the natural environment, planning and transport.</w:t>
      </w:r>
    </w:p>
    <w:p w14:paraId="2FA9DE31" w14:textId="1F5B4DBD" w:rsidR="005E5263" w:rsidRPr="000F23E0" w:rsidRDefault="005E5263" w:rsidP="005E5263">
      <w:pPr>
        <w:spacing w:after="120"/>
      </w:pPr>
      <w:r w:rsidRPr="000F23E0">
        <w:t>The Australian Government is funding action to respond to future climate risks, with $3.6</w:t>
      </w:r>
      <w:r w:rsidR="00965251" w:rsidRPr="000F23E0">
        <w:t> </w:t>
      </w:r>
      <w:r w:rsidRPr="000F23E0">
        <w:t>billion committed to adaptation and resilience measures since 2022 and around $9 billion out to 2030.</w:t>
      </w:r>
      <w:r w:rsidR="00F81561" w:rsidRPr="000F23E0">
        <w:rPr>
          <w:rStyle w:val="EndnoteReference"/>
        </w:rPr>
        <w:endnoteReference w:id="16"/>
      </w:r>
      <w:r w:rsidRPr="000F23E0">
        <w:t xml:space="preserve"> Key</w:t>
      </w:r>
      <w:r w:rsidR="00557D2D" w:rsidRPr="000F23E0">
        <w:t> </w:t>
      </w:r>
      <w:r w:rsidR="00445AD4" w:rsidRPr="000F23E0">
        <w:t>adaptation</w:t>
      </w:r>
      <w:r w:rsidR="002B7A29" w:rsidRPr="000F23E0">
        <w:t xml:space="preserve"> programs</w:t>
      </w:r>
      <w:r w:rsidRPr="000F23E0">
        <w:t xml:space="preserve"> already underway include:</w:t>
      </w:r>
    </w:p>
    <w:p w14:paraId="22BDCCA1" w14:textId="722B718F" w:rsidR="005E5263" w:rsidRPr="000F23E0" w:rsidRDefault="005E5263" w:rsidP="005E5263">
      <w:pPr>
        <w:pStyle w:val="Bullet"/>
      </w:pPr>
      <w:r w:rsidRPr="000F23E0">
        <w:t>the Disaster Ready Fund</w:t>
      </w:r>
      <w:r w:rsidR="001E1A16" w:rsidRPr="000F23E0">
        <w:t xml:space="preserve"> is </w:t>
      </w:r>
      <w:r w:rsidRPr="000F23E0">
        <w:t>the government</w:t>
      </w:r>
      <w:r w:rsidR="002C4475" w:rsidRPr="000F23E0">
        <w:t>’</w:t>
      </w:r>
      <w:r w:rsidRPr="000F23E0">
        <w:t xml:space="preserve">s </w:t>
      </w:r>
      <w:r w:rsidR="001E1A16" w:rsidRPr="000F23E0">
        <w:t>program</w:t>
      </w:r>
      <w:r w:rsidRPr="000F23E0">
        <w:t xml:space="preserve"> for disaster resilience and risk reduction</w:t>
      </w:r>
      <w:r w:rsidR="00CC131A" w:rsidRPr="000F23E0">
        <w:t>,</w:t>
      </w:r>
      <w:r w:rsidRPr="000F23E0">
        <w:t xml:space="preserve"> providing up to $1 billion over five years from July 2023 to 2028. The program aims to support projects that address the physical and social impacts of disasters on Australian communities. In 2023–24 and 2024–25, up to $400 million was invested in projects around Australia, with another $200 million to be invested in 2025</w:t>
      </w:r>
      <w:r w:rsidR="00965251" w:rsidRPr="000F23E0">
        <w:t>–</w:t>
      </w:r>
      <w:r w:rsidRPr="000F23E0">
        <w:t>26.</w:t>
      </w:r>
    </w:p>
    <w:p w14:paraId="665FF342" w14:textId="0D00713C" w:rsidR="005E5263" w:rsidRPr="000F23E0" w:rsidRDefault="005E5263" w:rsidP="005E5263">
      <w:pPr>
        <w:pStyle w:val="Bullet"/>
        <w:spacing w:after="120"/>
      </w:pPr>
      <w:r w:rsidRPr="000F23E0">
        <w:t xml:space="preserve">continuing the Regional Investment Corporation (RIC) </w:t>
      </w:r>
      <w:r w:rsidR="00B1366D" w:rsidRPr="000F23E0">
        <w:t>with</w:t>
      </w:r>
      <w:r w:rsidRPr="000F23E0">
        <w:t xml:space="preserve"> an additional $1</w:t>
      </w:r>
      <w:r w:rsidR="00965251" w:rsidRPr="000F23E0">
        <w:t> </w:t>
      </w:r>
      <w:r w:rsidRPr="000F23E0">
        <w:t>billion in loan funding</w:t>
      </w:r>
      <w:r w:rsidR="00557D2D" w:rsidRPr="000F23E0">
        <w:t> </w:t>
      </w:r>
      <w:r w:rsidRPr="000F23E0">
        <w:t>and broadening the RIC</w:t>
      </w:r>
      <w:r w:rsidR="002C4475" w:rsidRPr="000F23E0">
        <w:t>’</w:t>
      </w:r>
      <w:r w:rsidRPr="000F23E0">
        <w:t xml:space="preserve">s loan scope to include assistance for improving climate resilience, boosting sector productivity, and supporting agriculture </w:t>
      </w:r>
      <w:r w:rsidR="00690780" w:rsidRPr="000F23E0">
        <w:t>in the</w:t>
      </w:r>
      <w:r w:rsidRPr="000F23E0">
        <w:t xml:space="preserve"> net zero transition.</w:t>
      </w:r>
    </w:p>
    <w:p w14:paraId="0A0422B7" w14:textId="3A2D053B" w:rsidR="005E5263" w:rsidRPr="000F23E0" w:rsidRDefault="005E5263" w:rsidP="00EE2DB9">
      <w:pPr>
        <w:pStyle w:val="Bullet"/>
        <w:spacing w:after="120"/>
      </w:pPr>
      <w:r w:rsidRPr="000F23E0">
        <w:t>investing $250 million in the Saving Australia</w:t>
      </w:r>
      <w:r w:rsidR="002C4475" w:rsidRPr="000F23E0">
        <w:t>’</w:t>
      </w:r>
      <w:r w:rsidRPr="000F23E0">
        <w:t>s Bushland Program over the next 5 years to boost conservation, contributing to the 30 by 30 target.</w:t>
      </w:r>
    </w:p>
    <w:p w14:paraId="66E1D5BB" w14:textId="37730142" w:rsidR="00283A9D" w:rsidRPr="000F23E0" w:rsidRDefault="005E5263" w:rsidP="0086144C">
      <w:pPr>
        <w:spacing w:after="120"/>
      </w:pPr>
      <w:r w:rsidRPr="000F23E0">
        <w:t xml:space="preserve">The Australian Government is also providing international finance to support adaptation. This funding </w:t>
      </w:r>
      <w:r w:rsidR="008B7BE2" w:rsidRPr="000F23E0">
        <w:t xml:space="preserve">is laid out </w:t>
      </w:r>
      <w:r w:rsidRPr="000F23E0">
        <w:t xml:space="preserve">through the </w:t>
      </w:r>
      <w:r w:rsidR="00445AD4" w:rsidRPr="000F23E0">
        <w:t>climate change adaptation</w:t>
      </w:r>
      <w:r w:rsidRPr="000F23E0">
        <w:t xml:space="preserve"> category of the 2024</w:t>
      </w:r>
      <w:r w:rsidR="00965251" w:rsidRPr="000F23E0">
        <w:t>–</w:t>
      </w:r>
      <w:r w:rsidRPr="000F23E0">
        <w:t xml:space="preserve">25 GTB </w:t>
      </w:r>
      <w:r w:rsidR="008B7BE2" w:rsidRPr="000F23E0">
        <w:t>Allocation and Impact Report</w:t>
      </w:r>
      <w:r w:rsidRPr="000F23E0">
        <w:t xml:space="preserve"> has been directed to supporting our near</w:t>
      </w:r>
      <w:r w:rsidR="002C4475" w:rsidRPr="000F23E0">
        <w:noBreakHyphen/>
      </w:r>
      <w:r w:rsidRPr="000F23E0">
        <w:t xml:space="preserve">neighbours to address </w:t>
      </w:r>
      <w:r w:rsidR="00EF00DC" w:rsidRPr="000F23E0">
        <w:t xml:space="preserve">their </w:t>
      </w:r>
      <w:r w:rsidRPr="000F23E0">
        <w:t>climate challenges</w:t>
      </w:r>
      <w:r w:rsidR="00EF00DC" w:rsidRPr="000F23E0">
        <w:t>.</w:t>
      </w:r>
    </w:p>
    <w:p w14:paraId="46EC6A9B" w14:textId="77777777" w:rsidR="00D53469" w:rsidRPr="000F23E0" w:rsidRDefault="00D53469" w:rsidP="003074FE">
      <w:pPr>
        <w:pStyle w:val="SingleParagraph"/>
      </w:pPr>
    </w:p>
    <w:tbl>
      <w:tblPr>
        <w:tblW w:w="5000" w:type="pct"/>
        <w:shd w:val="clear" w:color="auto" w:fill="FDF0E7"/>
        <w:tblCellMar>
          <w:top w:w="113" w:type="dxa"/>
          <w:left w:w="284" w:type="dxa"/>
          <w:bottom w:w="113" w:type="dxa"/>
          <w:right w:w="284" w:type="dxa"/>
        </w:tblCellMar>
        <w:tblLook w:val="04A0" w:firstRow="1" w:lastRow="0" w:firstColumn="1" w:lastColumn="0" w:noHBand="0" w:noVBand="1"/>
      </w:tblPr>
      <w:tblGrid>
        <w:gridCol w:w="9070"/>
      </w:tblGrid>
      <w:tr w:rsidR="00D53469" w:rsidRPr="000F23E0" w14:paraId="71A943C2" w14:textId="77777777" w:rsidTr="00B778E8">
        <w:tc>
          <w:tcPr>
            <w:tcW w:w="5000" w:type="pct"/>
            <w:shd w:val="clear" w:color="auto" w:fill="FDF0E7"/>
            <w:hideMark/>
          </w:tcPr>
          <w:p w14:paraId="76C2A86D" w14:textId="7F52CF5A" w:rsidR="00D53469" w:rsidRPr="000F23E0" w:rsidRDefault="00D53469">
            <w:pPr>
              <w:pStyle w:val="BoxHeading"/>
              <w:rPr>
                <w:sz w:val="28"/>
                <w:szCs w:val="28"/>
              </w:rPr>
            </w:pPr>
            <w:r w:rsidRPr="000F23E0">
              <w:rPr>
                <w:sz w:val="28"/>
                <w:szCs w:val="28"/>
              </w:rPr>
              <w:t>Box 2: National Climate Risk Assessment and National Adaptation Plan</w:t>
            </w:r>
          </w:p>
          <w:p w14:paraId="24C461EC" w14:textId="2B55577C" w:rsidR="00D53469" w:rsidRPr="000F23E0" w:rsidRDefault="004A7D11" w:rsidP="00D05E2B">
            <w:pPr>
              <w:pStyle w:val="BoxText"/>
            </w:pPr>
            <w:r w:rsidRPr="000F23E0">
              <w:t>The National Climate Risk Assessment (the Assessment) details the ongoing and intensifying impact climate change will have on Australian communities and ecosystems. It provides an objective evidence base for decision making to help government, industry and communities conduct their own climate risk assessments and take adaptation actions.</w:t>
            </w:r>
          </w:p>
          <w:p w14:paraId="6F586CF6" w14:textId="77777777" w:rsidR="004A7D11" w:rsidRPr="000F23E0" w:rsidRDefault="004A7D11" w:rsidP="00D05E2B">
            <w:pPr>
              <w:pStyle w:val="BoxText"/>
            </w:pPr>
            <w:r w:rsidRPr="000F23E0">
              <w:t xml:space="preserve">The Assessment found: </w:t>
            </w:r>
          </w:p>
          <w:p w14:paraId="2C1B85F6" w14:textId="77777777" w:rsidR="004A7D11" w:rsidRPr="000F23E0" w:rsidRDefault="004A7D11" w:rsidP="00D05E2B">
            <w:pPr>
              <w:pStyle w:val="Boxbullet"/>
            </w:pPr>
            <w:r w:rsidRPr="000F23E0">
              <w:t xml:space="preserve">droughts are expected to increase in frequency and severity </w:t>
            </w:r>
          </w:p>
          <w:p w14:paraId="05DFA228" w14:textId="6B20911D" w:rsidR="004A7D11" w:rsidRPr="000F23E0" w:rsidRDefault="004A7D11" w:rsidP="00D05E2B">
            <w:pPr>
              <w:pStyle w:val="Boxbullet"/>
            </w:pPr>
            <w:r w:rsidRPr="000F23E0">
              <w:t>fire seasons will continue to increase in duration and severity, particularly in south</w:t>
            </w:r>
            <w:r w:rsidR="00B778E8" w:rsidRPr="000F23E0">
              <w:noBreakHyphen/>
            </w:r>
            <w:r w:rsidRPr="000F23E0">
              <w:t>east</w:t>
            </w:r>
            <w:r w:rsidR="00B778E8" w:rsidRPr="000F23E0">
              <w:t> </w:t>
            </w:r>
            <w:r w:rsidRPr="000F23E0">
              <w:t xml:space="preserve">Australia </w:t>
            </w:r>
          </w:p>
          <w:p w14:paraId="44ECC518" w14:textId="46B7340F" w:rsidR="004A7D11" w:rsidRPr="000F23E0" w:rsidRDefault="004A7D11" w:rsidP="00D05E2B">
            <w:pPr>
              <w:pStyle w:val="Boxbullet"/>
            </w:pPr>
            <w:r w:rsidRPr="000F23E0">
              <w:t>sea-levels around Australia will continue to rise, worsening coastal flooding and erosion.</w:t>
            </w:r>
            <w:r w:rsidR="009B3A43" w:rsidRPr="000F23E0">
              <w:rPr>
                <w:rStyle w:val="EndnoteReference"/>
              </w:rPr>
              <w:endnoteReference w:id="17"/>
            </w:r>
            <w:r w:rsidRPr="000F23E0">
              <w:t xml:space="preserve"> </w:t>
            </w:r>
          </w:p>
          <w:p w14:paraId="4A520AE7" w14:textId="77777777" w:rsidR="004A7D11" w:rsidRPr="000F23E0" w:rsidRDefault="004A7D11" w:rsidP="00D05E2B">
            <w:pPr>
              <w:pStyle w:val="BoxText"/>
            </w:pPr>
            <w:r w:rsidRPr="000F23E0">
              <w:t>The National Adaptation Plan establishes a framework for adapting to these risks. It provides guidance on how Australia can adapt to climate risks and build national resilience to climate impacts. The Plan creates the framework to drive change by responding to climate risks in key areas by:</w:t>
            </w:r>
          </w:p>
          <w:p w14:paraId="487909F2" w14:textId="0491A212" w:rsidR="004A7D11" w:rsidRPr="000F23E0" w:rsidRDefault="004A7D11" w:rsidP="00D05E2B">
            <w:pPr>
              <w:pStyle w:val="Boxbullet"/>
            </w:pPr>
            <w:r w:rsidRPr="000F23E0">
              <w:t>‘mainstreaming’ adaptation action</w:t>
            </w:r>
          </w:p>
          <w:p w14:paraId="667F746F" w14:textId="4933C99E" w:rsidR="004A7D11" w:rsidRPr="000F23E0" w:rsidRDefault="004A7D11" w:rsidP="00D05E2B">
            <w:pPr>
              <w:pStyle w:val="Boxbullet"/>
            </w:pPr>
            <w:r w:rsidRPr="000F23E0">
              <w:t>driving private sector investment</w:t>
            </w:r>
          </w:p>
          <w:p w14:paraId="42A2B944" w14:textId="13668AB7" w:rsidR="004A7D11" w:rsidRPr="000F23E0" w:rsidRDefault="004A7D11" w:rsidP="00D05E2B">
            <w:pPr>
              <w:pStyle w:val="Boxbullet"/>
            </w:pPr>
            <w:r w:rsidRPr="000F23E0">
              <w:t>supporting people and communities in disproportionately vulnerable situations.</w:t>
            </w:r>
          </w:p>
          <w:p w14:paraId="75344789" w14:textId="16CCC09F" w:rsidR="00D53469" w:rsidRPr="000F23E0" w:rsidRDefault="004A7D11" w:rsidP="00D05E2B">
            <w:pPr>
              <w:pStyle w:val="BoxText"/>
            </w:pPr>
            <w:r w:rsidRPr="000F23E0">
              <w:t>The Plan also helps further embed management of climate risks as part of business-as-usual work in government, organisations and communities and by individuals across Australia.</w:t>
            </w:r>
          </w:p>
        </w:tc>
      </w:tr>
    </w:tbl>
    <w:p w14:paraId="033A3F12" w14:textId="77777777" w:rsidR="00557D2D" w:rsidRPr="000F23E0" w:rsidRDefault="00557D2D" w:rsidP="00557D2D">
      <w:r w:rsidRPr="000F23E0">
        <w:br w:type="page"/>
      </w:r>
    </w:p>
    <w:p w14:paraId="08CB05CB" w14:textId="551AE118" w:rsidR="00CE7C8D" w:rsidRPr="000F23E0" w:rsidRDefault="000C0BBB" w:rsidP="00557D2D">
      <w:pPr>
        <w:pStyle w:val="Heading2"/>
        <w:keepLines/>
      </w:pPr>
      <w:bookmarkStart w:id="66" w:name="_Toc225155738"/>
      <w:r w:rsidRPr="000F23E0">
        <w:lastRenderedPageBreak/>
        <w:t>E</w:t>
      </w:r>
      <w:r w:rsidR="00CE7C8D" w:rsidRPr="000F23E0">
        <w:t>nvironmental policies and programs</w:t>
      </w:r>
      <w:bookmarkEnd w:id="66"/>
    </w:p>
    <w:p w14:paraId="6FA9F83D" w14:textId="4B68D5B8" w:rsidR="00CE7C8D" w:rsidRPr="000F23E0" w:rsidRDefault="00CE7C8D" w:rsidP="00557D2D">
      <w:pPr>
        <w:keepNext/>
        <w:keepLines/>
        <w:shd w:val="clear" w:color="auto" w:fill="FFFFFF" w:themeFill="background1"/>
      </w:pPr>
      <w:r w:rsidRPr="000F23E0">
        <w:t xml:space="preserve">Australia is committed to protecting and conserving its unique biodiversity and ecosystems through key reforms and programs. </w:t>
      </w:r>
      <w:r w:rsidR="001E2681" w:rsidRPr="000F23E0">
        <w:t>Australia</w:t>
      </w:r>
      <w:r w:rsidR="002C4475" w:rsidRPr="000F23E0">
        <w:t>’</w:t>
      </w:r>
      <w:r w:rsidR="001E2681" w:rsidRPr="000F23E0">
        <w:t>s natural environment and iconic places are under increasing threat. The pressures on the environment are significant – including land</w:t>
      </w:r>
      <w:r w:rsidR="002C4475" w:rsidRPr="000F23E0">
        <w:noBreakHyphen/>
      </w:r>
      <w:r w:rsidR="001E2681" w:rsidRPr="000F23E0">
        <w:t>use change, habitat loss and degradation, feral animals and invasive plant species. The impact of climate change on the environment will exacerbate pressures and contribute to further decline.</w:t>
      </w:r>
    </w:p>
    <w:p w14:paraId="0EB85AEB" w14:textId="45485695" w:rsidR="0061254A" w:rsidRPr="000F23E0" w:rsidRDefault="00C47A8F" w:rsidP="00557D2D">
      <w:pPr>
        <w:keepNext/>
        <w:keepLines/>
        <w:shd w:val="clear" w:color="auto" w:fill="FFFFFF" w:themeFill="background1"/>
      </w:pPr>
      <w:r w:rsidRPr="000F23E0">
        <w:t>Healthy ecosystems help to regulate climate and supply the food, fibres and medicines essential for our health, wellbeing and livelihoods. The Australian Government is committing funding across a broad range of programs that build a strong foundation for ecosystem resilience and restoration. These programs include the Threatened Species Action Plan 2022</w:t>
      </w:r>
      <w:r w:rsidR="00965251" w:rsidRPr="000F23E0">
        <w:t>–</w:t>
      </w:r>
      <w:r w:rsidRPr="000F23E0">
        <w:t>2032, Saving Native Species, the Nature Repair Market, the Murray</w:t>
      </w:r>
      <w:r w:rsidR="002C4475" w:rsidRPr="000F23E0">
        <w:noBreakHyphen/>
      </w:r>
      <w:r w:rsidRPr="000F23E0">
        <w:t>Darling Basin Plan and the Reef 2050 Long</w:t>
      </w:r>
      <w:r w:rsidR="002C4475" w:rsidRPr="000F23E0">
        <w:noBreakHyphen/>
      </w:r>
      <w:r w:rsidRPr="000F23E0">
        <w:t>term Sustainability.</w:t>
      </w:r>
    </w:p>
    <w:p w14:paraId="66A51E8A" w14:textId="7EB940E1" w:rsidR="00CE7C8D" w:rsidRPr="000F23E0" w:rsidRDefault="00CE7C8D" w:rsidP="00557D2D">
      <w:pPr>
        <w:keepNext/>
        <w:keepLines/>
        <w:shd w:val="clear" w:color="auto" w:fill="FFFFFF" w:themeFill="background1"/>
      </w:pPr>
      <w:r w:rsidRPr="000F23E0">
        <w:t>Australia</w:t>
      </w:r>
      <w:r w:rsidR="002C4475" w:rsidRPr="000F23E0">
        <w:t>’</w:t>
      </w:r>
      <w:r w:rsidRPr="000F23E0">
        <w:t xml:space="preserve">s main national environmental legislation, the </w:t>
      </w:r>
      <w:r w:rsidRPr="000F23E0">
        <w:rPr>
          <w:i/>
          <w:iCs/>
        </w:rPr>
        <w:t>Environment Protection and Biodiversity Conservation Act 1999</w:t>
      </w:r>
      <w:r w:rsidRPr="000F23E0">
        <w:t xml:space="preserve"> (EPBC Act), provides the legal framework to help protect and manage matters of national environmental significance. </w:t>
      </w:r>
    </w:p>
    <w:p w14:paraId="67918100" w14:textId="6F261D5D" w:rsidR="00CE7C8D" w:rsidRPr="000F23E0" w:rsidRDefault="00CE7C8D" w:rsidP="00557D2D">
      <w:pPr>
        <w:keepNext/>
        <w:keepLines/>
        <w:shd w:val="clear" w:color="auto" w:fill="FFFFFF" w:themeFill="background1"/>
      </w:pPr>
      <w:r w:rsidRPr="000F23E0">
        <w:t xml:space="preserve">The Australian </w:t>
      </w:r>
      <w:r w:rsidR="00B94BD2" w:rsidRPr="000F23E0">
        <w:t>G</w:t>
      </w:r>
      <w:r w:rsidRPr="000F23E0">
        <w:t>overnment</w:t>
      </w:r>
      <w:r w:rsidR="002C4475" w:rsidRPr="000F23E0">
        <w:t>’</w:t>
      </w:r>
      <w:r w:rsidR="00B94BD2" w:rsidRPr="000F23E0">
        <w:t>s</w:t>
      </w:r>
      <w:r w:rsidRPr="000F23E0">
        <w:t xml:space="preserve"> reform</w:t>
      </w:r>
      <w:r w:rsidR="00B94BD2" w:rsidRPr="000F23E0">
        <w:t>s</w:t>
      </w:r>
      <w:r w:rsidRPr="000F23E0">
        <w:t xml:space="preserve"> </w:t>
      </w:r>
      <w:r w:rsidR="00B94BD2" w:rsidRPr="000F23E0">
        <w:t xml:space="preserve">to </w:t>
      </w:r>
      <w:r w:rsidRPr="000F23E0">
        <w:t xml:space="preserve">the EPBC Act </w:t>
      </w:r>
      <w:r w:rsidR="00D10C30" w:rsidRPr="000F23E0">
        <w:t xml:space="preserve">will </w:t>
      </w:r>
      <w:r w:rsidRPr="000F23E0">
        <w:t>deliver:</w:t>
      </w:r>
    </w:p>
    <w:p w14:paraId="540EDA47" w14:textId="77777777" w:rsidR="00CE7C8D" w:rsidRPr="000F23E0" w:rsidRDefault="00CE7C8D" w:rsidP="00557D2D">
      <w:pPr>
        <w:pStyle w:val="Bullet"/>
        <w:keepNext/>
        <w:keepLines/>
        <w:spacing w:before="240" w:after="240"/>
      </w:pPr>
      <w:r w:rsidRPr="000F23E0">
        <w:t>stronger environmental protection and restoration</w:t>
      </w:r>
    </w:p>
    <w:p w14:paraId="58D8CA9B" w14:textId="77777777" w:rsidR="00CE7C8D" w:rsidRPr="000F23E0" w:rsidRDefault="00CE7C8D" w:rsidP="00557D2D">
      <w:pPr>
        <w:pStyle w:val="Bullet"/>
        <w:keepNext/>
        <w:keepLines/>
        <w:spacing w:before="240" w:after="240"/>
      </w:pPr>
      <w:r w:rsidRPr="000F23E0">
        <w:t>more efficient and robust project assessments</w:t>
      </w:r>
    </w:p>
    <w:p w14:paraId="0FE17CF8" w14:textId="77777777" w:rsidR="00CE7C8D" w:rsidRPr="000F23E0" w:rsidRDefault="00CE7C8D" w:rsidP="00557D2D">
      <w:pPr>
        <w:pStyle w:val="Bullet"/>
        <w:keepNext/>
        <w:keepLines/>
        <w:spacing w:before="240" w:after="240"/>
      </w:pPr>
      <w:r w:rsidRPr="000F23E0">
        <w:t>greater accountability and transparency in decision making.</w:t>
      </w:r>
    </w:p>
    <w:p w14:paraId="5883F5B5" w14:textId="7B81199F" w:rsidR="00CE7C8D" w:rsidRPr="000F23E0" w:rsidRDefault="00CE7C8D" w:rsidP="00557D2D">
      <w:pPr>
        <w:keepNext/>
        <w:keepLines/>
      </w:pPr>
      <w:r w:rsidRPr="000F23E0">
        <w:t>This will better protect Australia</w:t>
      </w:r>
      <w:r w:rsidR="002C4475" w:rsidRPr="000F23E0">
        <w:t>’</w:t>
      </w:r>
      <w:r w:rsidRPr="000F23E0">
        <w:t>s natural environment whil</w:t>
      </w:r>
      <w:r w:rsidR="406E206F" w:rsidRPr="000F23E0">
        <w:t>e</w:t>
      </w:r>
      <w:r w:rsidRPr="000F23E0">
        <w:t xml:space="preserve"> supporting national priorities such as improving productivity and delivering homes, jobs, clean energy and economic prosperity. </w:t>
      </w:r>
    </w:p>
    <w:p w14:paraId="597602C2" w14:textId="5CB64910" w:rsidR="00CE7C8D" w:rsidRPr="000F23E0" w:rsidRDefault="00CE7C8D" w:rsidP="00557D2D">
      <w:pPr>
        <w:keepNext/>
        <w:keepLines/>
      </w:pPr>
      <w:r w:rsidRPr="000F23E0">
        <w:t xml:space="preserve">These reforms will also create a </w:t>
      </w:r>
      <w:r w:rsidR="00A67D12" w:rsidRPr="000F23E0">
        <w:t>National Environmental Protection Agency (National EPA)</w:t>
      </w:r>
      <w:r w:rsidRPr="000F23E0">
        <w:t>. This will bring together regulatory functions of Australia</w:t>
      </w:r>
      <w:r w:rsidR="002C4475" w:rsidRPr="000F23E0">
        <w:t>’</w:t>
      </w:r>
      <w:r w:rsidRPr="000F23E0">
        <w:t>s national environmental laws, including aspects of the updated EPBC Act, into one independent organisation.</w:t>
      </w:r>
    </w:p>
    <w:p w14:paraId="469BC024" w14:textId="5D88913C" w:rsidR="004F5043" w:rsidRPr="000F23E0" w:rsidRDefault="004F5043" w:rsidP="00842D33">
      <w:r w:rsidRPr="000F23E0">
        <w:t xml:space="preserve">Environment Information Australia (EIA) was established </w:t>
      </w:r>
      <w:r w:rsidR="00BD580D" w:rsidRPr="000F23E0">
        <w:t>as</w:t>
      </w:r>
      <w:r w:rsidR="003339CA" w:rsidRPr="000F23E0">
        <w:t xml:space="preserve"> a division in DCCEEW</w:t>
      </w:r>
      <w:r w:rsidRPr="000F23E0">
        <w:t xml:space="preserve"> in 2023 to improve </w:t>
      </w:r>
      <w:r w:rsidR="003339CA" w:rsidRPr="000F23E0">
        <w:t xml:space="preserve">the availability and quality of </w:t>
      </w:r>
      <w:r w:rsidRPr="000F23E0">
        <w:t xml:space="preserve">information, data and reporting. EIA works with experts and partners across Australia, including government, industry, researchers and First Nations people. </w:t>
      </w:r>
    </w:p>
    <w:p w14:paraId="60270057" w14:textId="342517D9" w:rsidR="004F5043" w:rsidRPr="000F23E0" w:rsidRDefault="004F5043" w:rsidP="003460A1">
      <w:pPr>
        <w:shd w:val="clear" w:color="auto" w:fill="FFFFFF" w:themeFill="background1"/>
      </w:pPr>
      <w:r w:rsidRPr="000F23E0">
        <w:t>Under the reforms, the Head of EIA will have legislated responsibilities</w:t>
      </w:r>
      <w:r w:rsidR="00506AF5" w:rsidRPr="000F23E0">
        <w:t xml:space="preserve"> and</w:t>
      </w:r>
      <w:r w:rsidRPr="000F23E0">
        <w:t xml:space="preserve"> be responsible for:</w:t>
      </w:r>
    </w:p>
    <w:p w14:paraId="53450396" w14:textId="2C3788BB" w:rsidR="004F5043" w:rsidRPr="000F23E0" w:rsidRDefault="004F5043" w:rsidP="003460A1">
      <w:pPr>
        <w:pStyle w:val="Bullet"/>
        <w:spacing w:before="240" w:after="240"/>
      </w:pPr>
      <w:r w:rsidRPr="000F23E0">
        <w:t>providing and facilitating access to environmental data from a range of sources for use by the National EPA, the minister and the public</w:t>
      </w:r>
    </w:p>
    <w:p w14:paraId="19A7869C" w14:textId="088CB22A" w:rsidR="004F5043" w:rsidRPr="000F23E0" w:rsidRDefault="004F5043" w:rsidP="003460A1">
      <w:pPr>
        <w:pStyle w:val="Bullet"/>
        <w:spacing w:before="240" w:after="240"/>
      </w:pPr>
      <w:r w:rsidRPr="000F23E0">
        <w:t>independently reporting on Australia</w:t>
      </w:r>
      <w:r w:rsidR="002C4475" w:rsidRPr="000F23E0">
        <w:t>’</w:t>
      </w:r>
      <w:r w:rsidRPr="000F23E0">
        <w:t>s state of the environment every 2 years</w:t>
      </w:r>
    </w:p>
    <w:p w14:paraId="05CBEFA0" w14:textId="5FC87D62" w:rsidR="00842D33" w:rsidRPr="000F23E0" w:rsidRDefault="004F5043" w:rsidP="003074FE">
      <w:pPr>
        <w:pStyle w:val="Bullet"/>
        <w:spacing w:before="240" w:after="240"/>
      </w:pPr>
      <w:r w:rsidRPr="000F23E0">
        <w:t>establishing and maintaining environmental economic accounts.</w:t>
      </w:r>
    </w:p>
    <w:tbl>
      <w:tblPr>
        <w:tblW w:w="5000" w:type="pct"/>
        <w:shd w:val="clear" w:color="auto" w:fill="FDF0E7"/>
        <w:tblCellMar>
          <w:top w:w="113" w:type="dxa"/>
          <w:left w:w="284" w:type="dxa"/>
          <w:bottom w:w="113" w:type="dxa"/>
          <w:right w:w="284" w:type="dxa"/>
        </w:tblCellMar>
        <w:tblLook w:val="04A0" w:firstRow="1" w:lastRow="0" w:firstColumn="1" w:lastColumn="0" w:noHBand="0" w:noVBand="1"/>
      </w:tblPr>
      <w:tblGrid>
        <w:gridCol w:w="9070"/>
      </w:tblGrid>
      <w:tr w:rsidR="00842D33" w:rsidRPr="000F23E0" w14:paraId="4FE73BA1" w14:textId="77777777" w:rsidTr="00557D2D">
        <w:tc>
          <w:tcPr>
            <w:tcW w:w="5000" w:type="pct"/>
            <w:shd w:val="clear" w:color="auto" w:fill="FDF0E7"/>
            <w:hideMark/>
          </w:tcPr>
          <w:p w14:paraId="7BB48A7D" w14:textId="2BCD6E03" w:rsidR="00842D33" w:rsidRPr="000F23E0" w:rsidRDefault="00842D33">
            <w:pPr>
              <w:pStyle w:val="BoxHeading"/>
              <w:rPr>
                <w:sz w:val="28"/>
                <w:szCs w:val="28"/>
              </w:rPr>
            </w:pPr>
            <w:r w:rsidRPr="000F23E0">
              <w:rPr>
                <w:sz w:val="28"/>
                <w:szCs w:val="28"/>
              </w:rPr>
              <w:lastRenderedPageBreak/>
              <w:t>Box 3: Strategy for Nature</w:t>
            </w:r>
          </w:p>
          <w:p w14:paraId="39E237C3" w14:textId="76A56FFA" w:rsidR="00842D33" w:rsidRPr="000F23E0" w:rsidRDefault="007A218A" w:rsidP="00D05E2B">
            <w:pPr>
              <w:pStyle w:val="BoxText"/>
            </w:pPr>
            <w:r w:rsidRPr="000F23E0">
              <w:t>Australia’s Strategy for Nature 2024–2030 provides a roadmap for understanding, caring for and</w:t>
            </w:r>
            <w:r w:rsidR="00557D2D" w:rsidRPr="000F23E0">
              <w:t> </w:t>
            </w:r>
            <w:r w:rsidRPr="000F23E0">
              <w:t>sustainably managing nature. Aligned with the Kunming-Montreal Global Biodiversity Framework, the Strategy seeks to halt and reverse biodiversity loss by 2030, putting nature on a</w:t>
            </w:r>
            <w:r w:rsidR="00557D2D" w:rsidRPr="000F23E0">
              <w:t> </w:t>
            </w:r>
            <w:r w:rsidRPr="000F23E0">
              <w:t>path to recovery by 2050. It identifies 9 priority areas for Australia including</w:t>
            </w:r>
            <w:r w:rsidR="00842D33" w:rsidRPr="000F23E0">
              <w:t>:</w:t>
            </w:r>
          </w:p>
          <w:p w14:paraId="6ABEAA09" w14:textId="4E6D3326" w:rsidR="007A218A" w:rsidRPr="000F23E0" w:rsidRDefault="00C80BED" w:rsidP="00D05E2B">
            <w:pPr>
              <w:pStyle w:val="BoxText"/>
            </w:pPr>
            <w:r w:rsidRPr="000F23E0">
              <w:t xml:space="preserve">6 national </w:t>
            </w:r>
            <w:r w:rsidR="003B362A" w:rsidRPr="000F23E0">
              <w:t xml:space="preserve">targets to address </w:t>
            </w:r>
            <w:r w:rsidR="00DF4C61" w:rsidRPr="000F23E0">
              <w:t>biodiversity decline</w:t>
            </w:r>
          </w:p>
          <w:p w14:paraId="368201B1" w14:textId="12E230E3" w:rsidR="00842D33" w:rsidRPr="000F23E0" w:rsidRDefault="00842D33" w:rsidP="00D05E2B">
            <w:pPr>
              <w:pStyle w:val="Boxbullet"/>
            </w:pPr>
            <w:r w:rsidRPr="000F23E0">
              <w:t>protect and conserve 30</w:t>
            </w:r>
            <w:r w:rsidR="00557D2D" w:rsidRPr="000F23E0">
              <w:t> </w:t>
            </w:r>
            <w:r w:rsidRPr="000F23E0">
              <w:t>per</w:t>
            </w:r>
            <w:r w:rsidR="00557D2D" w:rsidRPr="000F23E0">
              <w:t> </w:t>
            </w:r>
            <w:r w:rsidRPr="000F23E0">
              <w:t>cent of Australia’s landmass and 30</w:t>
            </w:r>
            <w:r w:rsidR="00557D2D" w:rsidRPr="000F23E0">
              <w:t> </w:t>
            </w:r>
            <w:r w:rsidRPr="000F23E0">
              <w:t>per</w:t>
            </w:r>
            <w:r w:rsidR="00557D2D" w:rsidRPr="000F23E0">
              <w:t> </w:t>
            </w:r>
            <w:r w:rsidRPr="000F23E0">
              <w:t>cent of Australia’s marine areas by 2030</w:t>
            </w:r>
          </w:p>
          <w:p w14:paraId="3487B293" w14:textId="27DA4DB3" w:rsidR="00842D33" w:rsidRPr="000F23E0" w:rsidRDefault="00842D33" w:rsidP="00D05E2B">
            <w:pPr>
              <w:pStyle w:val="Boxbullet"/>
            </w:pPr>
            <w:r w:rsidRPr="000F23E0">
              <w:t>degraded areas which are seen as a priority are under effective restoration by 2030</w:t>
            </w:r>
          </w:p>
          <w:p w14:paraId="54DA91FC" w14:textId="62A9A48B" w:rsidR="00842D33" w:rsidRPr="000F23E0" w:rsidRDefault="00842D33" w:rsidP="00D05E2B">
            <w:pPr>
              <w:pStyle w:val="Boxbullet"/>
            </w:pPr>
            <w:r w:rsidRPr="000F23E0">
              <w:t>minimise the impact of climate change on biodiversity</w:t>
            </w:r>
          </w:p>
          <w:p w14:paraId="601F4F8E" w14:textId="63E8B886" w:rsidR="00842D33" w:rsidRPr="000F23E0" w:rsidRDefault="00842D33" w:rsidP="00D05E2B">
            <w:pPr>
              <w:pStyle w:val="Boxbullet"/>
            </w:pPr>
            <w:r w:rsidRPr="000F23E0">
              <w:t>no new extinctions</w:t>
            </w:r>
          </w:p>
          <w:p w14:paraId="2C3BE0B7" w14:textId="5FB2F66D" w:rsidR="00842D33" w:rsidRPr="000F23E0" w:rsidRDefault="00842D33" w:rsidP="00D05E2B">
            <w:pPr>
              <w:pStyle w:val="Boxbullet"/>
            </w:pPr>
            <w:r w:rsidRPr="000F23E0">
              <w:t>increase Australia’s circularity rate and reduce pollution and its impact on biodiversity by</w:t>
            </w:r>
            <w:r w:rsidR="00557D2D" w:rsidRPr="000F23E0">
              <w:t> </w:t>
            </w:r>
            <w:r w:rsidRPr="000F23E0">
              <w:t>2030</w:t>
            </w:r>
          </w:p>
          <w:p w14:paraId="20364EC0" w14:textId="7226E346" w:rsidR="004F30AE" w:rsidRPr="000F23E0" w:rsidRDefault="00842D33" w:rsidP="00D05E2B">
            <w:pPr>
              <w:pStyle w:val="Boxbullet"/>
            </w:pPr>
            <w:r w:rsidRPr="000F23E0">
              <w:t>eradicate or control invasive species in priority landscapes and further minimise their introduction by</w:t>
            </w:r>
            <w:r w:rsidR="00557D2D" w:rsidRPr="000F23E0">
              <w:t> </w:t>
            </w:r>
            <w:r w:rsidRPr="000F23E0">
              <w:t>2030.</w:t>
            </w:r>
          </w:p>
          <w:p w14:paraId="05AF8EC1" w14:textId="6084B10C" w:rsidR="004F30AE" w:rsidRPr="000F23E0" w:rsidRDefault="00025624" w:rsidP="00D05E2B">
            <w:pPr>
              <w:pStyle w:val="Boxbullet"/>
            </w:pPr>
            <w:r w:rsidRPr="000F23E0">
              <w:t xml:space="preserve">3 enablers of </w:t>
            </w:r>
            <w:r w:rsidR="00481888" w:rsidRPr="000F23E0">
              <w:t>change to drive transformational action</w:t>
            </w:r>
          </w:p>
          <w:p w14:paraId="541FA245" w14:textId="456CD4C1" w:rsidR="004F30AE" w:rsidRPr="000F23E0" w:rsidRDefault="00494A5B" w:rsidP="00D05E2B">
            <w:pPr>
              <w:pStyle w:val="Boxbullet"/>
            </w:pPr>
            <w:r w:rsidRPr="000F23E0">
              <w:t xml:space="preserve">ensure environmental </w:t>
            </w:r>
            <w:r w:rsidR="00904D42" w:rsidRPr="000F23E0">
              <w:t xml:space="preserve">data and information are widely accessible and </w:t>
            </w:r>
            <w:r w:rsidR="00117C13" w:rsidRPr="000F23E0">
              <w:t>support decision</w:t>
            </w:r>
            <w:r w:rsidR="00557D2D" w:rsidRPr="000F23E0">
              <w:noBreakHyphen/>
            </w:r>
            <w:r w:rsidR="00117C13" w:rsidRPr="000F23E0">
              <w:t>making</w:t>
            </w:r>
          </w:p>
          <w:p w14:paraId="3D16511E" w14:textId="77777777" w:rsidR="00117C13" w:rsidRPr="000F23E0" w:rsidRDefault="00B56153" w:rsidP="00D05E2B">
            <w:pPr>
              <w:pStyle w:val="Boxbullet"/>
            </w:pPr>
            <w:r w:rsidRPr="000F23E0">
              <w:t>mainstream nature into government and business decision-making, including in financing, policies, regulations and planning processes</w:t>
            </w:r>
          </w:p>
          <w:p w14:paraId="562B22E9" w14:textId="4D757576" w:rsidR="007B2222" w:rsidRPr="000F23E0" w:rsidRDefault="007B2222" w:rsidP="00D05E2B">
            <w:pPr>
              <w:pStyle w:val="Boxbullet"/>
            </w:pPr>
            <w:r w:rsidRPr="000F23E0">
              <w:t>ensure equitable representation and participation in decisions relating to nature particularly for First</w:t>
            </w:r>
            <w:r w:rsidR="00557D2D" w:rsidRPr="000F23E0">
              <w:t> </w:t>
            </w:r>
            <w:r w:rsidRPr="000F23E0">
              <w:t>Nations peoples</w:t>
            </w:r>
            <w:r w:rsidR="00E36EBF" w:rsidRPr="000F23E0">
              <w:t>.</w:t>
            </w:r>
          </w:p>
        </w:tc>
      </w:tr>
    </w:tbl>
    <w:p w14:paraId="5E93E614" w14:textId="77777777" w:rsidR="00D136CC" w:rsidRPr="000F23E0" w:rsidRDefault="00D136CC" w:rsidP="00D136CC">
      <w:pPr>
        <w:pStyle w:val="SingleParagraph"/>
      </w:pPr>
      <w:bookmarkStart w:id="67" w:name="_Toc188027959"/>
      <w:bookmarkStart w:id="68" w:name="_Toc188028305"/>
    </w:p>
    <w:p w14:paraId="503B93A2" w14:textId="0133A5D8" w:rsidR="00D136CC" w:rsidRPr="000F23E0" w:rsidRDefault="009D4BD7" w:rsidP="00D136CC">
      <w:pPr>
        <w:pStyle w:val="ChartGraphic"/>
      </w:pPr>
      <w:r w:rsidRPr="000F23E0">
        <w:drawing>
          <wp:inline distT="0" distB="0" distL="0" distR="0" wp14:anchorId="356DF3E3" wp14:editId="430D38A0">
            <wp:extent cx="5756910" cy="2947035"/>
            <wp:effectExtent l="0" t="0" r="0" b="5715"/>
            <wp:docPr id="1836410499" name="Picture 1" descr="A forest of eucalyptus trees shrouded in fog in Southwest National Park, Tasma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410499" name="Picture 1" descr="A forest of eucalyptus trees shrouded in fog in Southwest National Park, Tasmania."/>
                    <pic:cNvPicPr/>
                  </pic:nvPicPr>
                  <pic:blipFill rotWithShape="1">
                    <a:blip r:embed="rId50" cstate="print">
                      <a:extLst>
                        <a:ext uri="{28A0092B-C50C-407E-A947-70E740481C1C}">
                          <a14:useLocalDpi xmlns:a14="http://schemas.microsoft.com/office/drawing/2010/main" val="0"/>
                        </a:ext>
                      </a:extLst>
                    </a:blip>
                    <a:srcRect/>
                    <a:stretch>
                      <a:fillRect/>
                    </a:stretch>
                  </pic:blipFill>
                  <pic:spPr bwMode="auto">
                    <a:xfrm>
                      <a:off x="0" y="0"/>
                      <a:ext cx="5759450" cy="2948335"/>
                    </a:xfrm>
                    <a:prstGeom prst="rect">
                      <a:avLst/>
                    </a:prstGeom>
                    <a:ln>
                      <a:noFill/>
                    </a:ln>
                    <a:extLst>
                      <a:ext uri="{53640926-AAD7-44D8-BBD7-CCE9431645EC}">
                        <a14:shadowObscured xmlns:a14="http://schemas.microsoft.com/office/drawing/2010/main"/>
                      </a:ext>
                    </a:extLst>
                  </pic:spPr>
                </pic:pic>
              </a:graphicData>
            </a:graphic>
          </wp:inline>
        </w:drawing>
      </w:r>
    </w:p>
    <w:p w14:paraId="79B6AFCF" w14:textId="424EA81B" w:rsidR="00842D33" w:rsidRPr="000F23E0" w:rsidRDefault="00842D33">
      <w:pPr>
        <w:spacing w:before="0" w:after="160" w:line="259" w:lineRule="auto"/>
      </w:pPr>
      <w:r w:rsidRPr="000F23E0">
        <w:br w:type="page"/>
      </w:r>
    </w:p>
    <w:p w14:paraId="34C0F5E3" w14:textId="73C752ED" w:rsidR="00ED3691" w:rsidRPr="000F23E0" w:rsidRDefault="00D3586C" w:rsidP="00557D2D">
      <w:pPr>
        <w:pStyle w:val="Heading1"/>
      </w:pPr>
      <w:bookmarkStart w:id="69" w:name="_Toc225155739"/>
      <w:r w:rsidRPr="000F23E0">
        <w:lastRenderedPageBreak/>
        <w:t xml:space="preserve">Chapter 2: </w:t>
      </w:r>
      <w:r w:rsidR="00ED3691" w:rsidRPr="000F23E0">
        <w:t>Renewable energy</w:t>
      </w:r>
      <w:bookmarkEnd w:id="69"/>
    </w:p>
    <w:p w14:paraId="2A488D13" w14:textId="4BF0068C" w:rsidR="002B707B" w:rsidRPr="000F23E0" w:rsidRDefault="002B707B" w:rsidP="00D461D1">
      <w:r w:rsidRPr="000F23E0">
        <w:t>Australia</w:t>
      </w:r>
      <w:r w:rsidR="002C4475" w:rsidRPr="000F23E0">
        <w:t>’</w:t>
      </w:r>
      <w:r w:rsidRPr="000F23E0">
        <w:t xml:space="preserve">s energy systems </w:t>
      </w:r>
      <w:r w:rsidR="008855DB" w:rsidRPr="000F23E0">
        <w:t xml:space="preserve">remain in transition. </w:t>
      </w:r>
      <w:r w:rsidR="009014E3" w:rsidRPr="000F23E0">
        <w:t>M</w:t>
      </w:r>
      <w:r w:rsidRPr="000F23E0">
        <w:t>any ag</w:t>
      </w:r>
      <w:r w:rsidR="00743320" w:rsidRPr="000F23E0">
        <w:t>e</w:t>
      </w:r>
      <w:r w:rsidRPr="000F23E0">
        <w:t xml:space="preserve">ing coal plants </w:t>
      </w:r>
      <w:r w:rsidR="009014E3" w:rsidRPr="000F23E0">
        <w:t xml:space="preserve">are </w:t>
      </w:r>
      <w:r w:rsidRPr="000F23E0">
        <w:t xml:space="preserve">expected to </w:t>
      </w:r>
      <w:r w:rsidR="00162C0A" w:rsidRPr="000F23E0">
        <w:t xml:space="preserve">be </w:t>
      </w:r>
      <w:r w:rsidRPr="000F23E0">
        <w:t>retire</w:t>
      </w:r>
      <w:r w:rsidR="00162C0A" w:rsidRPr="000F23E0">
        <w:t>d</w:t>
      </w:r>
      <w:r w:rsidRPr="000F23E0">
        <w:t xml:space="preserve"> in the next decade</w:t>
      </w:r>
      <w:r w:rsidR="009014E3" w:rsidRPr="000F23E0">
        <w:t xml:space="preserve"> or so</w:t>
      </w:r>
      <w:r w:rsidR="001D1293" w:rsidRPr="000F23E0">
        <w:t>. E</w:t>
      </w:r>
      <w:r w:rsidRPr="000F23E0">
        <w:t xml:space="preserve">lectricity demand </w:t>
      </w:r>
      <w:r w:rsidR="009014E3" w:rsidRPr="000F23E0">
        <w:t xml:space="preserve">is expected </w:t>
      </w:r>
      <w:r w:rsidRPr="000F23E0">
        <w:t>to grow as other sectors seek to reduce their emissions by electrifying</w:t>
      </w:r>
      <w:r w:rsidR="001D1293" w:rsidRPr="000F23E0">
        <w:t>. R</w:t>
      </w:r>
      <w:r w:rsidRPr="000F23E0">
        <w:t xml:space="preserve">enewable energy </w:t>
      </w:r>
      <w:r w:rsidR="009014E3" w:rsidRPr="000F23E0">
        <w:t xml:space="preserve">is </w:t>
      </w:r>
      <w:r w:rsidRPr="000F23E0">
        <w:t>increasing its share of energy production and storage in</w:t>
      </w:r>
      <w:r w:rsidR="00557D2D" w:rsidRPr="000F23E0">
        <w:t> </w:t>
      </w:r>
      <w:r w:rsidRPr="000F23E0">
        <w:t xml:space="preserve">the grid. </w:t>
      </w:r>
      <w:r w:rsidR="00D461D1" w:rsidRPr="000F23E0">
        <w:t>Renewable hydrogen will play an essential complementary role to electrification in decarbonising the global economy, particularly in hard</w:t>
      </w:r>
      <w:r w:rsidR="002C4475" w:rsidRPr="000F23E0">
        <w:noBreakHyphen/>
      </w:r>
      <w:r w:rsidR="00D461D1" w:rsidRPr="000F23E0">
        <w:t>to</w:t>
      </w:r>
      <w:r w:rsidR="002C4475" w:rsidRPr="000F23E0">
        <w:noBreakHyphen/>
      </w:r>
      <w:r w:rsidR="00D461D1" w:rsidRPr="000F23E0">
        <w:t>abate sectors.</w:t>
      </w:r>
    </w:p>
    <w:p w14:paraId="02F85334" w14:textId="48BA5DF7" w:rsidR="00CE0B64" w:rsidRPr="000F23E0" w:rsidRDefault="00C36281" w:rsidP="00D461D1">
      <w:r w:rsidRPr="000F23E0">
        <w:t>Electricity generation accounts for 34 per cent of current emissions.</w:t>
      </w:r>
      <w:r w:rsidR="000639A2" w:rsidRPr="000F23E0">
        <w:t xml:space="preserve"> </w:t>
      </w:r>
      <w:r w:rsidR="00CE0B64" w:rsidRPr="000F23E0">
        <w:t xml:space="preserve">Electricity sector emissions </w:t>
      </w:r>
      <w:r w:rsidR="00855907" w:rsidRPr="000F23E0">
        <w:t xml:space="preserve">continue to </w:t>
      </w:r>
      <w:r w:rsidR="00CE0B64" w:rsidRPr="000F23E0">
        <w:t>decline</w:t>
      </w:r>
      <w:r w:rsidR="00227A88" w:rsidRPr="000F23E0">
        <w:t>, now</w:t>
      </w:r>
      <w:r w:rsidR="004F7B36" w:rsidRPr="000F23E0">
        <w:t xml:space="preserve"> </w:t>
      </w:r>
      <w:r w:rsidR="005104D6" w:rsidRPr="000F23E0">
        <w:t>29.2</w:t>
      </w:r>
      <w:r w:rsidR="0094613C" w:rsidRPr="000F23E0">
        <w:t xml:space="preserve"> per cent</w:t>
      </w:r>
      <w:r w:rsidR="005104D6" w:rsidRPr="000F23E0">
        <w:t xml:space="preserve"> from the peak in year to June 2009. This </w:t>
      </w:r>
      <w:r w:rsidR="00CE0B64" w:rsidRPr="000F23E0">
        <w:t>reflect</w:t>
      </w:r>
      <w:r w:rsidR="005104D6" w:rsidRPr="000F23E0">
        <w:t>s</w:t>
      </w:r>
      <w:r w:rsidR="00CE0B64" w:rsidRPr="000F23E0">
        <w:t xml:space="preserve"> continuing renewable deployment and the displacement of fossil fuel power</w:t>
      </w:r>
      <w:r w:rsidR="00F55856" w:rsidRPr="000F23E0">
        <w:t>.</w:t>
      </w:r>
      <w:r w:rsidR="00763918" w:rsidRPr="000F23E0">
        <w:rPr>
          <w:rStyle w:val="EndnoteReference"/>
        </w:rPr>
        <w:endnoteReference w:id="18"/>
      </w:r>
      <w:r w:rsidR="00CE0B64" w:rsidRPr="000F23E0">
        <w:t xml:space="preserve"> </w:t>
      </w:r>
    </w:p>
    <w:p w14:paraId="6AB95BFB" w14:textId="77409E40" w:rsidR="00A05C7F" w:rsidRPr="000F23E0" w:rsidRDefault="00AE61FF" w:rsidP="00D461D1">
      <w:r w:rsidRPr="000F23E0">
        <w:t>The Australian Government has set</w:t>
      </w:r>
      <w:r w:rsidR="00EC4AB4" w:rsidRPr="000F23E0">
        <w:t xml:space="preserve"> </w:t>
      </w:r>
      <w:r w:rsidR="00A05C7F" w:rsidRPr="000F23E0">
        <w:t xml:space="preserve">emissions reduction </w:t>
      </w:r>
      <w:r w:rsidR="00EC4AB4" w:rsidRPr="000F23E0">
        <w:t>targets</w:t>
      </w:r>
      <w:r w:rsidR="00D51F77" w:rsidRPr="000F23E0">
        <w:t xml:space="preserve"> to help the transition to net zero</w:t>
      </w:r>
      <w:r w:rsidR="00306636" w:rsidRPr="000F23E0">
        <w:t>. This</w:t>
      </w:r>
      <w:r w:rsidR="00EC4AB4" w:rsidRPr="000F23E0">
        <w:t xml:space="preserve"> includ</w:t>
      </w:r>
      <w:r w:rsidR="00306636" w:rsidRPr="000F23E0">
        <w:t>es</w:t>
      </w:r>
      <w:r w:rsidR="00EC4AB4" w:rsidRPr="000F23E0">
        <w:t xml:space="preserve"> the 82</w:t>
      </w:r>
      <w:r w:rsidR="00A74A14" w:rsidRPr="000F23E0">
        <w:t xml:space="preserve"> per cent</w:t>
      </w:r>
      <w:r w:rsidR="00EC4AB4" w:rsidRPr="000F23E0">
        <w:t xml:space="preserve"> renewable e</w:t>
      </w:r>
      <w:r w:rsidR="00993A05" w:rsidRPr="000F23E0">
        <w:t>lectricity</w:t>
      </w:r>
      <w:r w:rsidR="00EC4AB4" w:rsidRPr="000F23E0">
        <w:t xml:space="preserve"> generation </w:t>
      </w:r>
      <w:r w:rsidR="009C44BC" w:rsidRPr="000F23E0">
        <w:t xml:space="preserve">and </w:t>
      </w:r>
      <w:r w:rsidR="00BA4D5A" w:rsidRPr="000F23E0">
        <w:t xml:space="preserve">43 per cent emissions </w:t>
      </w:r>
      <w:r w:rsidR="009C44BC" w:rsidRPr="000F23E0">
        <w:t>reduction</w:t>
      </w:r>
      <w:r w:rsidR="00EC4AB4" w:rsidRPr="000F23E0">
        <w:t xml:space="preserve"> target</w:t>
      </w:r>
      <w:r w:rsidR="00DD7192" w:rsidRPr="000F23E0">
        <w:t>s</w:t>
      </w:r>
      <w:r w:rsidR="00EC4AB4" w:rsidRPr="000F23E0">
        <w:t xml:space="preserve"> by 2030</w:t>
      </w:r>
      <w:r w:rsidR="00450388" w:rsidRPr="000F23E0">
        <w:t xml:space="preserve">, </w:t>
      </w:r>
      <w:r w:rsidR="003C2A3F" w:rsidRPr="000F23E0">
        <w:t xml:space="preserve">and </w:t>
      </w:r>
      <w:r w:rsidR="00450388" w:rsidRPr="000F23E0">
        <w:t xml:space="preserve">the </w:t>
      </w:r>
      <w:r w:rsidR="000F7B9B" w:rsidRPr="000F23E0">
        <w:t>62</w:t>
      </w:r>
      <w:r w:rsidR="00BB7FA4" w:rsidRPr="000F23E0">
        <w:t xml:space="preserve"> to </w:t>
      </w:r>
      <w:r w:rsidR="000F7B9B" w:rsidRPr="000F23E0">
        <w:t>70</w:t>
      </w:r>
      <w:r w:rsidR="00A74A14" w:rsidRPr="000F23E0">
        <w:t xml:space="preserve"> per cent</w:t>
      </w:r>
      <w:r w:rsidR="000F7B9B" w:rsidRPr="000F23E0">
        <w:t xml:space="preserve"> emissions reduction target </w:t>
      </w:r>
      <w:r w:rsidR="00A05C7F" w:rsidRPr="000F23E0">
        <w:t>by 2035</w:t>
      </w:r>
      <w:r w:rsidR="003C2A3F" w:rsidRPr="000F23E0">
        <w:t>.</w:t>
      </w:r>
      <w:r w:rsidR="00A05C7F" w:rsidRPr="000F23E0">
        <w:t xml:space="preserve"> </w:t>
      </w:r>
    </w:p>
    <w:p w14:paraId="0F53052E" w14:textId="0503FB6F" w:rsidR="00227A60" w:rsidRPr="000F23E0" w:rsidRDefault="002C6DE6" w:rsidP="00D461D1">
      <w:r w:rsidRPr="000F23E0">
        <w:t>The Electricity and Energy Sector Plan builds on th</w:t>
      </w:r>
      <w:r w:rsidR="00A05C7F" w:rsidRPr="000F23E0">
        <w:t>ese</w:t>
      </w:r>
      <w:r w:rsidRPr="000F23E0">
        <w:t xml:space="preserve"> commitment</w:t>
      </w:r>
      <w:r w:rsidR="00A05C7F" w:rsidRPr="000F23E0">
        <w:t>s</w:t>
      </w:r>
      <w:r w:rsidRPr="000F23E0">
        <w:t xml:space="preserve">, </w:t>
      </w:r>
      <w:r w:rsidR="00FA38C3" w:rsidRPr="000F23E0">
        <w:t xml:space="preserve">by </w:t>
      </w:r>
      <w:r w:rsidR="007573E0" w:rsidRPr="000F23E0">
        <w:t xml:space="preserve">setting out a pathway </w:t>
      </w:r>
      <w:r w:rsidR="0092243B" w:rsidRPr="000F23E0">
        <w:t>to 2050</w:t>
      </w:r>
      <w:r w:rsidR="00227A60" w:rsidRPr="000F23E0">
        <w:t xml:space="preserve"> with </w:t>
      </w:r>
      <w:r w:rsidR="007D66E7" w:rsidRPr="000F23E0">
        <w:t xml:space="preserve">3 </w:t>
      </w:r>
      <w:r w:rsidR="00227A60" w:rsidRPr="000F23E0">
        <w:t xml:space="preserve">distinct phases: </w:t>
      </w:r>
    </w:p>
    <w:p w14:paraId="26D0F99D" w14:textId="54493CD5" w:rsidR="00C54EA9" w:rsidRPr="000F23E0" w:rsidRDefault="00B12DE2" w:rsidP="00B12DE2">
      <w:pPr>
        <w:pStyle w:val="Bullet"/>
      </w:pPr>
      <w:r w:rsidRPr="000F23E0">
        <w:t xml:space="preserve">To 2030 </w:t>
      </w:r>
      <w:r w:rsidR="00556740" w:rsidRPr="000F23E0">
        <w:t>–</w:t>
      </w:r>
      <w:r w:rsidR="00EC4FB9" w:rsidRPr="000F23E0">
        <w:t xml:space="preserve"> </w:t>
      </w:r>
      <w:r w:rsidR="00556740" w:rsidRPr="000F23E0">
        <w:t xml:space="preserve">increase </w:t>
      </w:r>
      <w:r w:rsidR="002C19D5" w:rsidRPr="000F23E0">
        <w:t>renewable e</w:t>
      </w:r>
      <w:r w:rsidR="002D54B8" w:rsidRPr="000F23E0">
        <w:t>lectricity</w:t>
      </w:r>
      <w:r w:rsidR="002C19D5" w:rsidRPr="000F23E0">
        <w:t xml:space="preserve"> </w:t>
      </w:r>
      <w:r w:rsidR="00C54EA9" w:rsidRPr="000F23E0">
        <w:t>generation to 82</w:t>
      </w:r>
      <w:r w:rsidR="00A74A14" w:rsidRPr="000F23E0">
        <w:t xml:space="preserve"> per cent</w:t>
      </w:r>
      <w:r w:rsidR="00F55856" w:rsidRPr="000F23E0">
        <w:t xml:space="preserve"> </w:t>
      </w:r>
    </w:p>
    <w:p w14:paraId="73DE6DFE" w14:textId="76473AB1" w:rsidR="00365E7E" w:rsidRPr="000F23E0" w:rsidRDefault="002945C9" w:rsidP="00B12DE2">
      <w:pPr>
        <w:pStyle w:val="Bullet"/>
      </w:pPr>
      <w:r w:rsidRPr="000F23E0">
        <w:t>T</w:t>
      </w:r>
      <w:r w:rsidR="00C54EA9" w:rsidRPr="000F23E0">
        <w:t xml:space="preserve">o 2035 </w:t>
      </w:r>
      <w:r w:rsidR="00E04078" w:rsidRPr="000F23E0">
        <w:t>–</w:t>
      </w:r>
      <w:r w:rsidR="00C54EA9" w:rsidRPr="000F23E0">
        <w:t xml:space="preserve"> </w:t>
      </w:r>
      <w:r w:rsidR="00365E7E" w:rsidRPr="000F23E0">
        <w:t xml:space="preserve">continue to </w:t>
      </w:r>
      <w:r w:rsidR="00E04078" w:rsidRPr="000F23E0">
        <w:t xml:space="preserve">electrify </w:t>
      </w:r>
      <w:r w:rsidRPr="000F23E0">
        <w:t>homes, businesses, low</w:t>
      </w:r>
      <w:r w:rsidR="002C4475" w:rsidRPr="000F23E0">
        <w:noBreakHyphen/>
      </w:r>
      <w:r w:rsidRPr="000F23E0">
        <w:t>heat industrial use and light vehicles</w:t>
      </w:r>
    </w:p>
    <w:p w14:paraId="742B3D08" w14:textId="2D9EC43C" w:rsidR="002C6DE6" w:rsidRPr="000F23E0" w:rsidDel="002C6DE6" w:rsidRDefault="00365E7E" w:rsidP="0056627B">
      <w:pPr>
        <w:pStyle w:val="Bullet"/>
      </w:pPr>
      <w:r w:rsidRPr="000F23E0">
        <w:t xml:space="preserve">To 2050 – </w:t>
      </w:r>
      <w:r w:rsidR="00876711" w:rsidRPr="000F23E0">
        <w:t>r</w:t>
      </w:r>
      <w:r w:rsidRPr="000F23E0">
        <w:t>enewable gases and low carbon liq</w:t>
      </w:r>
      <w:r w:rsidR="0056627B" w:rsidRPr="000F23E0">
        <w:t>uid fuels support decarbonisation in difficult to abate</w:t>
      </w:r>
      <w:r w:rsidR="00557D2D" w:rsidRPr="000F23E0">
        <w:t> </w:t>
      </w:r>
      <w:r w:rsidR="0056627B" w:rsidRPr="000F23E0">
        <w:t>uses</w:t>
      </w:r>
      <w:r w:rsidR="00C12D2D" w:rsidRPr="000F23E0">
        <w:t>.</w:t>
      </w:r>
      <w:r w:rsidR="0056627B" w:rsidRPr="000F23E0">
        <w:t xml:space="preserve"> </w:t>
      </w:r>
    </w:p>
    <w:p w14:paraId="05252C95" w14:textId="11AE7BBF" w:rsidR="009C6DAE" w:rsidRPr="000F23E0" w:rsidRDefault="00CA19A3" w:rsidP="00D461D1">
      <w:r w:rsidRPr="000F23E0">
        <w:t xml:space="preserve">Renewable generation in Australia </w:t>
      </w:r>
      <w:r w:rsidR="00B27ABB" w:rsidRPr="000F23E0">
        <w:t>continue</w:t>
      </w:r>
      <w:r w:rsidR="002D3700" w:rsidRPr="000F23E0">
        <w:t xml:space="preserve">d to </w:t>
      </w:r>
      <w:r w:rsidRPr="000F23E0">
        <w:t>gr</w:t>
      </w:r>
      <w:r w:rsidR="002D3700" w:rsidRPr="000F23E0">
        <w:t>o</w:t>
      </w:r>
      <w:r w:rsidRPr="000F23E0">
        <w:t>w further in calendar year 2024, to 36</w:t>
      </w:r>
      <w:r w:rsidR="00C0156B" w:rsidRPr="000F23E0">
        <w:t> </w:t>
      </w:r>
      <w:r w:rsidRPr="000F23E0">
        <w:t>per</w:t>
      </w:r>
      <w:r w:rsidR="00C0156B" w:rsidRPr="000F23E0">
        <w:t> </w:t>
      </w:r>
      <w:r w:rsidRPr="000F23E0">
        <w:t>cent of total generation (102 terawatt hours), the highest on record. In 2024, solar generation constituted 18</w:t>
      </w:r>
      <w:r w:rsidR="00557D2D" w:rsidRPr="000F23E0">
        <w:t> </w:t>
      </w:r>
      <w:r w:rsidRPr="000F23E0">
        <w:t>per</w:t>
      </w:r>
      <w:r w:rsidR="00557D2D" w:rsidRPr="000F23E0">
        <w:t> </w:t>
      </w:r>
      <w:r w:rsidRPr="000F23E0">
        <w:t>cent of total generation</w:t>
      </w:r>
      <w:r w:rsidR="00A015DF" w:rsidRPr="000F23E0">
        <w:t>,</w:t>
      </w:r>
      <w:r w:rsidRPr="000F23E0">
        <w:t xml:space="preserve"> and wind 12 per cent</w:t>
      </w:r>
      <w:r w:rsidR="00B228B5" w:rsidRPr="000F23E0">
        <w:t>.</w:t>
      </w:r>
      <w:r w:rsidR="00BA70DA" w:rsidRPr="000F23E0">
        <w:rPr>
          <w:rStyle w:val="EndnoteReference"/>
        </w:rPr>
        <w:endnoteReference w:id="19"/>
      </w:r>
      <w:r w:rsidR="0086405A" w:rsidRPr="000F23E0">
        <w:t xml:space="preserve"> </w:t>
      </w:r>
    </w:p>
    <w:p w14:paraId="48124659" w14:textId="24D25270" w:rsidR="001B3682" w:rsidRPr="000F23E0" w:rsidDel="00A15B76" w:rsidRDefault="00C85BAA" w:rsidP="00C85BAA">
      <w:r w:rsidRPr="000F23E0">
        <w:t>The Australian Energy Market Operator</w:t>
      </w:r>
      <w:r w:rsidR="002C4475" w:rsidRPr="000F23E0">
        <w:t>’</w:t>
      </w:r>
      <w:r w:rsidRPr="000F23E0">
        <w:t>s 2024 Integrated System Plan (AEMO</w:t>
      </w:r>
      <w:r w:rsidR="002C4475" w:rsidRPr="000F23E0">
        <w:t>’</w:t>
      </w:r>
      <w:r w:rsidRPr="000F23E0">
        <w:t xml:space="preserve">s ISP) has found that storage needs to increase </w:t>
      </w:r>
      <w:r w:rsidR="00E44393" w:rsidRPr="000F23E0">
        <w:t xml:space="preserve">significantly from </w:t>
      </w:r>
      <w:r w:rsidR="005D47A9" w:rsidRPr="000F23E0">
        <w:t>3</w:t>
      </w:r>
      <w:r w:rsidR="00C115B4" w:rsidRPr="000F23E0">
        <w:t>,000</w:t>
      </w:r>
      <w:r w:rsidR="005D47A9" w:rsidRPr="000F23E0">
        <w:t xml:space="preserve"> </w:t>
      </w:r>
      <w:r w:rsidR="00C115B4" w:rsidRPr="000F23E0">
        <w:t>megawatt</w:t>
      </w:r>
      <w:r w:rsidR="004869F4" w:rsidRPr="000F23E0">
        <w:t>s</w:t>
      </w:r>
      <w:r w:rsidR="005D47A9" w:rsidRPr="000F23E0">
        <w:t xml:space="preserve"> to 49</w:t>
      </w:r>
      <w:r w:rsidR="00C115B4" w:rsidRPr="000F23E0">
        <w:t>,000 megawatt</w:t>
      </w:r>
      <w:r w:rsidR="004869F4" w:rsidRPr="000F23E0">
        <w:t>s</w:t>
      </w:r>
      <w:r w:rsidRPr="000F23E0">
        <w:t>, grid scale wind and solar need to increase 6</w:t>
      </w:r>
      <w:r w:rsidR="002C4475" w:rsidRPr="000F23E0">
        <w:noBreakHyphen/>
      </w:r>
      <w:r w:rsidR="00F757D5" w:rsidRPr="000F23E0">
        <w:t>fold and</w:t>
      </w:r>
      <w:r w:rsidR="00FC1840" w:rsidRPr="000F23E0">
        <w:t xml:space="preserve"> </w:t>
      </w:r>
      <w:r w:rsidR="008C5B6C" w:rsidRPr="000F23E0">
        <w:t xml:space="preserve">distributed solar PV to increase </w:t>
      </w:r>
      <w:r w:rsidR="00E44393" w:rsidRPr="000F23E0">
        <w:t>4</w:t>
      </w:r>
      <w:r w:rsidR="002C4475" w:rsidRPr="000F23E0">
        <w:noBreakHyphen/>
      </w:r>
      <w:r w:rsidR="00E44393" w:rsidRPr="000F23E0">
        <w:t>fold</w:t>
      </w:r>
      <w:r w:rsidR="00FC1840" w:rsidRPr="000F23E0">
        <w:t xml:space="preserve"> by 2050. This is to meet the expected doubling in electricity consumption as electrification increases</w:t>
      </w:r>
      <w:r w:rsidR="00F757D5" w:rsidRPr="000F23E0">
        <w:t>.</w:t>
      </w:r>
      <w:r w:rsidR="005A1479" w:rsidRPr="000F23E0">
        <w:rPr>
          <w:rStyle w:val="EndnoteReference"/>
        </w:rPr>
        <w:endnoteReference w:id="20"/>
      </w:r>
      <w:r w:rsidR="00FC1840" w:rsidRPr="000F23E0">
        <w:t xml:space="preserve"> </w:t>
      </w:r>
    </w:p>
    <w:p w14:paraId="00E8E45B" w14:textId="3680E107" w:rsidR="00CA19A3" w:rsidRPr="000F23E0" w:rsidRDefault="00376EF8" w:rsidP="00D461D1">
      <w:r w:rsidRPr="000F23E0">
        <w:t xml:space="preserve">Households are expected to continue to play a role in </w:t>
      </w:r>
      <w:r w:rsidR="005E3D1A" w:rsidRPr="000F23E0">
        <w:t xml:space="preserve">this transition, particularly </w:t>
      </w:r>
      <w:r w:rsidR="009C6DAE" w:rsidRPr="000F23E0">
        <w:t xml:space="preserve">with the </w:t>
      </w:r>
      <w:r w:rsidR="00576231" w:rsidRPr="000F23E0">
        <w:t xml:space="preserve">1 July 2025 commencement of the </w:t>
      </w:r>
      <w:r w:rsidR="00F757D5" w:rsidRPr="000F23E0">
        <w:t>g</w:t>
      </w:r>
      <w:r w:rsidR="00CF664C" w:rsidRPr="000F23E0">
        <w:t>overnment</w:t>
      </w:r>
      <w:r w:rsidR="002C4475" w:rsidRPr="000F23E0">
        <w:t>’</w:t>
      </w:r>
      <w:r w:rsidR="00CF664C" w:rsidRPr="000F23E0">
        <w:t xml:space="preserve">s </w:t>
      </w:r>
      <w:r w:rsidR="007C36D7" w:rsidRPr="000F23E0">
        <w:t>Cheaper Home Batteries program</w:t>
      </w:r>
      <w:r w:rsidR="00576231" w:rsidRPr="000F23E0">
        <w:t>. The program</w:t>
      </w:r>
      <w:r w:rsidR="002D07A2" w:rsidRPr="000F23E0">
        <w:t xml:space="preserve"> is </w:t>
      </w:r>
      <w:r w:rsidR="005B37B5" w:rsidRPr="000F23E0">
        <w:t xml:space="preserve">helping </w:t>
      </w:r>
      <w:r w:rsidR="002D07A2" w:rsidRPr="000F23E0">
        <w:t>reduc</w:t>
      </w:r>
      <w:r w:rsidR="005B37B5" w:rsidRPr="000F23E0">
        <w:t xml:space="preserve">e barriers </w:t>
      </w:r>
      <w:r w:rsidR="001F2A9A" w:rsidRPr="000F23E0">
        <w:t>to installing</w:t>
      </w:r>
      <w:r w:rsidR="00BC5640" w:rsidRPr="000F23E0">
        <w:t xml:space="preserve"> </w:t>
      </w:r>
      <w:r w:rsidR="00366430" w:rsidRPr="000F23E0">
        <w:t xml:space="preserve">batteries </w:t>
      </w:r>
      <w:r w:rsidR="001F2A9A" w:rsidRPr="000F23E0">
        <w:t xml:space="preserve">which </w:t>
      </w:r>
      <w:r w:rsidR="0080267C" w:rsidRPr="000F23E0">
        <w:t xml:space="preserve">can </w:t>
      </w:r>
      <w:r w:rsidR="00BE00ED" w:rsidRPr="000F23E0">
        <w:t xml:space="preserve">help </w:t>
      </w:r>
      <w:r w:rsidR="00764213" w:rsidRPr="000F23E0">
        <w:t xml:space="preserve">households </w:t>
      </w:r>
      <w:r w:rsidR="00BE00ED" w:rsidRPr="000F23E0">
        <w:t>mak</w:t>
      </w:r>
      <w:r w:rsidR="00764213" w:rsidRPr="000F23E0">
        <w:t>e</w:t>
      </w:r>
      <w:r w:rsidR="00576231" w:rsidRPr="000F23E0">
        <w:t xml:space="preserve"> the most of </w:t>
      </w:r>
      <w:r w:rsidR="004B707F" w:rsidRPr="000F23E0">
        <w:t>their rooftop</w:t>
      </w:r>
      <w:r w:rsidR="00576231" w:rsidRPr="000F23E0">
        <w:t xml:space="preserve"> solar power by storing it for when it is </w:t>
      </w:r>
      <w:r w:rsidR="00BE00ED" w:rsidRPr="000F23E0">
        <w:t xml:space="preserve">needed. </w:t>
      </w:r>
      <w:r w:rsidR="008965D3" w:rsidRPr="000F23E0">
        <w:t xml:space="preserve">This </w:t>
      </w:r>
      <w:r w:rsidR="00163532" w:rsidRPr="000F23E0">
        <w:t xml:space="preserve">program is expected to be </w:t>
      </w:r>
      <w:r w:rsidR="00453AB1" w:rsidRPr="000F23E0">
        <w:t>included</w:t>
      </w:r>
      <w:r w:rsidR="00163532" w:rsidRPr="000F23E0">
        <w:t xml:space="preserve"> in future</w:t>
      </w:r>
      <w:r w:rsidR="008965D3" w:rsidRPr="000F23E0">
        <w:t xml:space="preserve"> </w:t>
      </w:r>
      <w:r w:rsidR="00453AB1" w:rsidRPr="000F23E0">
        <w:t>a</w:t>
      </w:r>
      <w:r w:rsidR="00AC6A2A" w:rsidRPr="000F23E0">
        <w:t xml:space="preserve">llocation and </w:t>
      </w:r>
      <w:r w:rsidR="00453AB1" w:rsidRPr="000F23E0">
        <w:t>i</w:t>
      </w:r>
      <w:r w:rsidR="00AC6A2A" w:rsidRPr="000F23E0">
        <w:t xml:space="preserve">mpact </w:t>
      </w:r>
      <w:r w:rsidR="00163532" w:rsidRPr="000F23E0">
        <w:t>reporting</w:t>
      </w:r>
      <w:r w:rsidR="0086246D" w:rsidRPr="000F23E0">
        <w:t>.</w:t>
      </w:r>
      <w:r w:rsidR="00CA19A3" w:rsidRPr="000F23E0">
        <w:t xml:space="preserve"> </w:t>
      </w:r>
    </w:p>
    <w:p w14:paraId="4320342F" w14:textId="2E2BFF13" w:rsidR="008B2A85" w:rsidRPr="000F23E0" w:rsidRDefault="00611CEF" w:rsidP="00D461D1">
      <w:r w:rsidRPr="000F23E0">
        <w:t>GTB</w:t>
      </w:r>
      <w:r w:rsidR="008B2A85" w:rsidRPr="000F23E0">
        <w:t xml:space="preserve">s finance large scale renewable and storage projects through the CEFC Renewable Energy Investments, Rewiring the Nation, </w:t>
      </w:r>
      <w:r w:rsidR="00D461D1" w:rsidRPr="000F23E0">
        <w:t xml:space="preserve">Snowy Hydro, </w:t>
      </w:r>
      <w:r w:rsidR="00393957" w:rsidRPr="000F23E0">
        <w:t>Regional Hydrogen Hubs</w:t>
      </w:r>
      <w:r w:rsidR="008B2A85" w:rsidRPr="000F23E0">
        <w:t xml:space="preserve">, </w:t>
      </w:r>
      <w:r w:rsidR="00393957" w:rsidRPr="000F23E0">
        <w:t>Community Batteries</w:t>
      </w:r>
      <w:r w:rsidR="00CA19A3" w:rsidRPr="000F23E0">
        <w:t>,</w:t>
      </w:r>
      <w:r w:rsidR="008B2A85" w:rsidRPr="000F23E0">
        <w:t xml:space="preserve"> </w:t>
      </w:r>
      <w:r w:rsidR="00D461D1" w:rsidRPr="000F23E0">
        <w:t xml:space="preserve">and </w:t>
      </w:r>
      <w:r w:rsidR="00393957" w:rsidRPr="000F23E0">
        <w:t>Advancing Renewables Program</w:t>
      </w:r>
      <w:r w:rsidR="008B2A85" w:rsidRPr="000F23E0">
        <w:t>.</w:t>
      </w:r>
    </w:p>
    <w:p w14:paraId="1A47F1A3" w14:textId="210A4275" w:rsidR="00ED3691" w:rsidRPr="000F23E0" w:rsidRDefault="00ED3691" w:rsidP="00557D2D">
      <w:pPr>
        <w:pStyle w:val="Heading2"/>
        <w:keepLines/>
      </w:pPr>
      <w:bookmarkStart w:id="70" w:name="_Toc225155740"/>
      <w:r w:rsidRPr="000F23E0">
        <w:lastRenderedPageBreak/>
        <w:t xml:space="preserve">Renewable </w:t>
      </w:r>
      <w:r w:rsidR="00483769" w:rsidRPr="000F23E0">
        <w:t>e</w:t>
      </w:r>
      <w:r w:rsidRPr="000F23E0">
        <w:t xml:space="preserve">nergy </w:t>
      </w:r>
      <w:r w:rsidR="00483769" w:rsidRPr="000F23E0">
        <w:t>i</w:t>
      </w:r>
      <w:r w:rsidRPr="000F23E0">
        <w:t>nvestments</w:t>
      </w:r>
      <w:bookmarkEnd w:id="70"/>
    </w:p>
    <w:p w14:paraId="550DA898" w14:textId="63F96F93" w:rsidR="00ED3691" w:rsidRPr="000F23E0" w:rsidRDefault="003E4BDE" w:rsidP="00557D2D">
      <w:pPr>
        <w:keepNext/>
        <w:keepLines/>
      </w:pPr>
      <w:r w:rsidRPr="000F23E0">
        <w:t>The Clean Energy Finance Corporation</w:t>
      </w:r>
      <w:r w:rsidR="002C4475" w:rsidRPr="000F23E0">
        <w:t>’</w:t>
      </w:r>
      <w:r w:rsidR="007471EB" w:rsidRPr="000F23E0">
        <w:t>s</w:t>
      </w:r>
      <w:r w:rsidRPr="000F23E0">
        <w:t xml:space="preserve"> (</w:t>
      </w:r>
      <w:r w:rsidR="00ED3691" w:rsidRPr="000F23E0">
        <w:t>CEFC</w:t>
      </w:r>
      <w:r w:rsidRPr="000F23E0">
        <w:t>)</w:t>
      </w:r>
      <w:r w:rsidR="00ED3691" w:rsidRPr="000F23E0">
        <w:t xml:space="preserve"> capital is playing a leading role in helping develop large</w:t>
      </w:r>
      <w:r w:rsidR="002C4475" w:rsidRPr="000F23E0">
        <w:noBreakHyphen/>
      </w:r>
      <w:r w:rsidR="00ED3691" w:rsidRPr="000F23E0">
        <w:t>scale renewables across Australia. Large</w:t>
      </w:r>
      <w:r w:rsidR="002C4475" w:rsidRPr="000F23E0">
        <w:noBreakHyphen/>
      </w:r>
      <w:r w:rsidR="00ED3691" w:rsidRPr="000F23E0">
        <w:t>scale solar and wind generation is critical to delivering the clean energy that will power the low emissions economy of the future. Renewable energy will also underpin the electrification of a vast range of existing commercial, industrial and residential activities, such as enabling the electric vehicle transition and laying the foundations for Australia</w:t>
      </w:r>
      <w:r w:rsidR="002C4475" w:rsidRPr="000F23E0">
        <w:t>’</w:t>
      </w:r>
      <w:r w:rsidR="00ED3691" w:rsidRPr="000F23E0">
        <w:t>s emerging green hydrogen industry.</w:t>
      </w:r>
      <w:r w:rsidR="00ED3691" w:rsidRPr="000F23E0">
        <w:rPr>
          <w:rStyle w:val="EndnoteReference"/>
        </w:rPr>
        <w:endnoteReference w:id="21"/>
      </w:r>
      <w:r w:rsidR="00ED3691" w:rsidRPr="000F23E0">
        <w:t xml:space="preserve"> </w:t>
      </w:r>
    </w:p>
    <w:p w14:paraId="0809B9C5" w14:textId="5E2C968B" w:rsidR="00ED3691" w:rsidRPr="000F23E0" w:rsidRDefault="00611CEF" w:rsidP="007C613D">
      <w:r w:rsidRPr="000F23E0">
        <w:t>GTB</w:t>
      </w:r>
      <w:r w:rsidR="00ED3691" w:rsidRPr="000F23E0">
        <w:t>s are contributing to a variety of large</w:t>
      </w:r>
      <w:r w:rsidR="002C4475" w:rsidRPr="000F23E0">
        <w:noBreakHyphen/>
      </w:r>
      <w:r w:rsidR="00ED3691" w:rsidRPr="000F23E0">
        <w:t>scale renewable energy and energy storage projects. All projects are aligned with relevant Climate Bond</w:t>
      </w:r>
      <w:r w:rsidR="00B26714" w:rsidRPr="000F23E0">
        <w:t>s</w:t>
      </w:r>
      <w:r w:rsidR="00ED3691" w:rsidRPr="000F23E0">
        <w:t xml:space="preserve"> Initiative or European Union Taxonomy technical thresholds as outlined in the Second Party Opinion.</w:t>
      </w:r>
    </w:p>
    <w:p w14:paraId="78287947" w14:textId="77777777" w:rsidR="00ED3691" w:rsidRPr="000F23E0" w:rsidRDefault="00ED3691" w:rsidP="0083323D">
      <w:pPr>
        <w:pStyle w:val="Heading3"/>
      </w:pPr>
      <w:r w:rsidRPr="000F23E0">
        <w:t xml:space="preserve">Green Treasury Bond Allocation </w:t>
      </w:r>
    </w:p>
    <w:p w14:paraId="43C19A45" w14:textId="41434B87" w:rsidR="00ED3691" w:rsidRPr="000F23E0" w:rsidRDefault="00611CEF" w:rsidP="00F55854">
      <w:r w:rsidRPr="000F23E0">
        <w:t>GTB</w:t>
      </w:r>
      <w:r w:rsidR="00ED3691" w:rsidRPr="000F23E0">
        <w:t xml:space="preserve">s </w:t>
      </w:r>
      <w:r w:rsidR="00D55B2E" w:rsidRPr="000F23E0">
        <w:t xml:space="preserve">allocated </w:t>
      </w:r>
      <w:r w:rsidR="00ED3691" w:rsidRPr="000F23E0">
        <w:t>$</w:t>
      </w:r>
      <w:r w:rsidR="00EB5A6A" w:rsidRPr="000F23E0">
        <w:t>168</w:t>
      </w:r>
      <w:r w:rsidR="00CB00B3" w:rsidRPr="000F23E0">
        <w:t>.8</w:t>
      </w:r>
      <w:r w:rsidR="00ED3691" w:rsidRPr="000F23E0">
        <w:t xml:space="preserve"> million in </w:t>
      </w:r>
      <w:r w:rsidR="00604E64" w:rsidRPr="000F23E0">
        <w:t>2024</w:t>
      </w:r>
      <w:r w:rsidR="003E68A8" w:rsidRPr="000F23E0">
        <w:t>–</w:t>
      </w:r>
      <w:r w:rsidR="00604E64" w:rsidRPr="000F23E0">
        <w:t>25</w:t>
      </w:r>
      <w:r w:rsidR="00ED3691" w:rsidRPr="000F23E0">
        <w:t xml:space="preserve"> towards CEFC renewable energy investments</w:t>
      </w:r>
      <w:r w:rsidR="00ED6251" w:rsidRPr="000F23E0">
        <w:t xml:space="preserve"> (</w:t>
      </w:r>
      <w:r w:rsidR="00F830BF" w:rsidRPr="000F23E0">
        <w:t>Table 3</w:t>
      </w:r>
      <w:r w:rsidR="00393990" w:rsidRPr="000F23E0">
        <w:fldChar w:fldCharType="begin"/>
      </w:r>
      <w:r w:rsidR="00393990" w:rsidRPr="000F23E0">
        <w:instrText xml:space="preserve"> REF _Ref214981503 \h </w:instrText>
      </w:r>
      <w:r w:rsidR="00393990" w:rsidRPr="000F23E0">
        <w:fldChar w:fldCharType="separate"/>
      </w:r>
      <w:r w:rsidR="00393990" w:rsidRPr="000F23E0">
        <w:fldChar w:fldCharType="end"/>
      </w:r>
      <w:r w:rsidR="00ED6251" w:rsidRPr="000F23E0">
        <w:t>)</w:t>
      </w:r>
      <w:r w:rsidR="00434761" w:rsidRPr="000F23E0">
        <w:t>.</w:t>
      </w:r>
    </w:p>
    <w:p w14:paraId="75481E1B" w14:textId="3D53E09F" w:rsidR="00ED3691" w:rsidRPr="000F23E0" w:rsidRDefault="00ED3691" w:rsidP="00F55854">
      <w:r w:rsidRPr="000F23E0">
        <w:t xml:space="preserve">The total </w:t>
      </w:r>
      <w:r w:rsidR="00177115" w:rsidRPr="000F23E0">
        <w:t xml:space="preserve">Australian </w:t>
      </w:r>
      <w:r w:rsidR="003E2050" w:rsidRPr="000F23E0">
        <w:t>G</w:t>
      </w:r>
      <w:r w:rsidRPr="000F23E0">
        <w:t xml:space="preserve">overnment contribution refers to </w:t>
      </w:r>
      <w:r w:rsidR="00177115" w:rsidRPr="000F23E0">
        <w:t xml:space="preserve">total </w:t>
      </w:r>
      <w:r w:rsidRPr="000F23E0">
        <w:t xml:space="preserve">committed financing towards the </w:t>
      </w:r>
      <w:r w:rsidR="00655FAA" w:rsidRPr="000F23E0">
        <w:t xml:space="preserve">eligible </w:t>
      </w:r>
      <w:r w:rsidRPr="000F23E0">
        <w:t xml:space="preserve">CEFC renewable energy investments. The total cost of projects refers to the </w:t>
      </w:r>
      <w:r w:rsidR="001E3A02" w:rsidRPr="000F23E0">
        <w:t xml:space="preserve">total </w:t>
      </w:r>
      <w:r w:rsidRPr="000F23E0">
        <w:t xml:space="preserve">combined </w:t>
      </w:r>
      <w:r w:rsidR="001E3A02" w:rsidRPr="000F23E0">
        <w:t xml:space="preserve">value of the eligible projects, including financing </w:t>
      </w:r>
      <w:r w:rsidRPr="000F23E0">
        <w:t xml:space="preserve">from the </w:t>
      </w:r>
      <w:r w:rsidR="00926DC8" w:rsidRPr="000F23E0">
        <w:t xml:space="preserve">Australian </w:t>
      </w:r>
      <w:r w:rsidRPr="000F23E0">
        <w:t xml:space="preserve">Government </w:t>
      </w:r>
      <w:r w:rsidR="00065FF1" w:rsidRPr="000F23E0">
        <w:t>through</w:t>
      </w:r>
      <w:r w:rsidR="00926DC8" w:rsidRPr="000F23E0">
        <w:t xml:space="preserve"> the CEFC </w:t>
      </w:r>
      <w:r w:rsidRPr="000F23E0">
        <w:t xml:space="preserve">as well as other </w:t>
      </w:r>
      <w:r w:rsidR="00133506" w:rsidRPr="000F23E0">
        <w:t xml:space="preserve">government and </w:t>
      </w:r>
      <w:r w:rsidRPr="000F23E0">
        <w:t>non</w:t>
      </w:r>
      <w:r w:rsidR="002C4475" w:rsidRPr="000F23E0">
        <w:noBreakHyphen/>
      </w:r>
      <w:r w:rsidRPr="000F23E0">
        <w:t xml:space="preserve">government sources. </w:t>
      </w:r>
    </w:p>
    <w:p w14:paraId="2EBAC42E" w14:textId="7C0360E6" w:rsidR="00ED3691" w:rsidRPr="000F23E0" w:rsidRDefault="00ED3691" w:rsidP="00393990">
      <w:r w:rsidRPr="000F23E0">
        <w:t xml:space="preserve">To maintain commercial confidentiality, allocation reporting reflects all CEFC investment into </w:t>
      </w:r>
      <w:r w:rsidR="008E613B" w:rsidRPr="000F23E0">
        <w:t xml:space="preserve">eligible </w:t>
      </w:r>
      <w:r w:rsidRPr="000F23E0">
        <w:t xml:space="preserve">renewable energy projects over the reporting period on an aggregated basis. </w:t>
      </w:r>
    </w:p>
    <w:p w14:paraId="1BB3C9F5" w14:textId="07654BEB" w:rsidR="00393990" w:rsidRPr="000F23E0" w:rsidRDefault="00393990" w:rsidP="00551F72">
      <w:pPr>
        <w:pStyle w:val="TableMainHeading"/>
      </w:pPr>
      <w:bookmarkStart w:id="71" w:name="_Toc220662863"/>
      <w:bookmarkStart w:id="72" w:name="_Toc224637790"/>
      <w:bookmarkStart w:id="73" w:name="_Toc224642454"/>
      <w:bookmarkStart w:id="74" w:name="_Toc225153430"/>
      <w:bookmarkStart w:id="75" w:name="_Toc225154476"/>
      <w:bookmarkStart w:id="76" w:name="_Toc225155741"/>
      <w:r w:rsidRPr="000F23E0">
        <w:t xml:space="preserve">Table </w:t>
      </w:r>
      <w:r w:rsidR="005121E7" w:rsidRPr="000F23E0">
        <w:t>3</w:t>
      </w:r>
      <w:r w:rsidR="00627058" w:rsidRPr="000F23E0">
        <w:t>:</w:t>
      </w:r>
      <w:r w:rsidRPr="000F23E0">
        <w:t xml:space="preserve"> Allocation Data for CEFC Renewable Energy Investments ($ million)</w:t>
      </w:r>
      <w:bookmarkEnd w:id="71"/>
      <w:bookmarkEnd w:id="72"/>
      <w:bookmarkEnd w:id="73"/>
      <w:bookmarkEnd w:id="74"/>
      <w:bookmarkEnd w:id="75"/>
      <w:bookmarkEnd w:id="76"/>
    </w:p>
    <w:tbl>
      <w:tblPr>
        <w:tblStyle w:val="GridTable4-Accent2"/>
        <w:tblW w:w="5000" w:type="pct"/>
        <w:tblInd w:w="-3" w:type="dxa"/>
        <w:tblBorders>
          <w:top w:val="single" w:sz="4" w:space="0" w:color="D77A5B"/>
          <w:bottom w:val="single" w:sz="4" w:space="0" w:color="D77A5B"/>
          <w:insideH w:val="single" w:sz="4" w:space="0" w:color="D77A5B"/>
        </w:tblBorders>
        <w:tblLayout w:type="fixed"/>
        <w:tblLook w:val="04A0" w:firstRow="1" w:lastRow="0" w:firstColumn="1" w:lastColumn="0" w:noHBand="0" w:noVBand="1"/>
      </w:tblPr>
      <w:tblGrid>
        <w:gridCol w:w="3264"/>
        <w:gridCol w:w="1275"/>
        <w:gridCol w:w="1276"/>
        <w:gridCol w:w="2126"/>
        <w:gridCol w:w="1129"/>
      </w:tblGrid>
      <w:tr w:rsidR="00EB7950" w:rsidRPr="000F23E0" w14:paraId="56F9BF1D" w14:textId="77777777" w:rsidTr="00557D2D">
        <w:trPr>
          <w:cnfStyle w:val="100000000000" w:firstRow="1" w:lastRow="0" w:firstColumn="0" w:lastColumn="0" w:oddVBand="0" w:evenVBand="0" w:oddHBand="0" w:evenHBand="0" w:firstRowFirstColumn="0" w:firstRowLastColumn="0" w:lastRowFirstColumn="0" w:lastRowLastColumn="0"/>
          <w:trHeight w:val="395"/>
        </w:trPr>
        <w:tc>
          <w:tcPr>
            <w:cnfStyle w:val="001000000000" w:firstRow="0" w:lastRow="0" w:firstColumn="1" w:lastColumn="0" w:oddVBand="0" w:evenVBand="0" w:oddHBand="0" w:evenHBand="0" w:firstRowFirstColumn="0" w:firstRowLastColumn="0" w:lastRowFirstColumn="0" w:lastRowLastColumn="0"/>
            <w:tcW w:w="3264" w:type="dxa"/>
            <w:shd w:val="clear" w:color="auto" w:fill="F1D0C6"/>
          </w:tcPr>
          <w:p w14:paraId="17BF859C" w14:textId="65DD32A7" w:rsidR="00E143DE" w:rsidRPr="000F23E0" w:rsidRDefault="00F45259" w:rsidP="00212A80">
            <w:pPr>
              <w:pStyle w:val="TableColumnHeadingLeft"/>
              <w:rPr>
                <w:b/>
                <w:bCs w:val="0"/>
              </w:rPr>
            </w:pPr>
            <w:r w:rsidRPr="000F23E0">
              <w:rPr>
                <w:b/>
                <w:bCs w:val="0"/>
              </w:rPr>
              <w:t>Eligible Green Expenditure</w:t>
            </w:r>
          </w:p>
        </w:tc>
        <w:tc>
          <w:tcPr>
            <w:tcW w:w="1275" w:type="dxa"/>
            <w:shd w:val="clear" w:color="auto" w:fill="F1D0C6"/>
          </w:tcPr>
          <w:p w14:paraId="19739127" w14:textId="2B3C04D5" w:rsidR="00E143DE" w:rsidRPr="000F23E0" w:rsidRDefault="00E143DE" w:rsidP="00212A80">
            <w:pPr>
              <w:pStyle w:val="TableColumnHeadingRight"/>
              <w:cnfStyle w:val="100000000000" w:firstRow="1" w:lastRow="0" w:firstColumn="0" w:lastColumn="0" w:oddVBand="0" w:evenVBand="0" w:oddHBand="0" w:evenHBand="0" w:firstRowFirstColumn="0" w:firstRowLastColumn="0" w:lastRowFirstColumn="0" w:lastRowLastColumn="0"/>
              <w:rPr>
                <w:b/>
              </w:rPr>
            </w:pPr>
            <w:r w:rsidRPr="000F23E0">
              <w:rPr>
                <w:b/>
              </w:rPr>
              <w:t>2024</w:t>
            </w:r>
            <w:r w:rsidR="003E68A8" w:rsidRPr="000F23E0">
              <w:rPr>
                <w:b/>
              </w:rPr>
              <w:t>–</w:t>
            </w:r>
            <w:r w:rsidRPr="000F23E0">
              <w:rPr>
                <w:b/>
              </w:rPr>
              <w:t>25 Expenditure</w:t>
            </w:r>
          </w:p>
        </w:tc>
        <w:tc>
          <w:tcPr>
            <w:tcW w:w="1276" w:type="dxa"/>
            <w:shd w:val="clear" w:color="auto" w:fill="F1D0C6"/>
          </w:tcPr>
          <w:p w14:paraId="2975776F" w14:textId="553BEB0D" w:rsidR="00E143DE" w:rsidRPr="000F23E0" w:rsidRDefault="00EA0F10" w:rsidP="00212A80">
            <w:pPr>
              <w:pStyle w:val="TableColumnHeadingRight"/>
              <w:cnfStyle w:val="100000000000" w:firstRow="1" w:lastRow="0" w:firstColumn="0" w:lastColumn="0" w:oddVBand="0" w:evenVBand="0" w:oddHBand="0" w:evenHBand="0" w:firstRowFirstColumn="0" w:firstRowLastColumn="0" w:lastRowFirstColumn="0" w:lastRowLastColumn="0"/>
              <w:rPr>
                <w:b/>
              </w:rPr>
            </w:pPr>
            <w:r w:rsidRPr="000F23E0">
              <w:rPr>
                <w:b/>
              </w:rPr>
              <w:t>Allocation 2026</w:t>
            </w:r>
            <w:r w:rsidR="00557D2D" w:rsidRPr="000F23E0">
              <w:rPr>
                <w:b/>
              </w:rPr>
              <w:t> </w:t>
            </w:r>
            <w:r w:rsidRPr="000F23E0">
              <w:rPr>
                <w:b/>
              </w:rPr>
              <w:t>Report</w:t>
            </w:r>
          </w:p>
        </w:tc>
        <w:tc>
          <w:tcPr>
            <w:tcW w:w="2126" w:type="dxa"/>
            <w:shd w:val="clear" w:color="auto" w:fill="F1D0C6"/>
          </w:tcPr>
          <w:p w14:paraId="1A7394EC" w14:textId="578E479E" w:rsidR="00E143DE" w:rsidRPr="000F23E0" w:rsidRDefault="00E143DE" w:rsidP="00212A80">
            <w:pPr>
              <w:pStyle w:val="TableColumnHeadingRight"/>
              <w:cnfStyle w:val="100000000000" w:firstRow="1" w:lastRow="0" w:firstColumn="0" w:lastColumn="0" w:oddVBand="0" w:evenVBand="0" w:oddHBand="0" w:evenHBand="0" w:firstRowFirstColumn="0" w:firstRowLastColumn="0" w:lastRowFirstColumn="0" w:lastRowLastColumn="0"/>
              <w:rPr>
                <w:b/>
              </w:rPr>
            </w:pPr>
            <w:r w:rsidRPr="000F23E0">
              <w:rPr>
                <w:b/>
              </w:rPr>
              <w:t>Total Australian Government Contribution</w:t>
            </w:r>
          </w:p>
        </w:tc>
        <w:tc>
          <w:tcPr>
            <w:tcW w:w="1129" w:type="dxa"/>
            <w:shd w:val="clear" w:color="auto" w:fill="F1D0C6"/>
          </w:tcPr>
          <w:p w14:paraId="5F24F308" w14:textId="20572FB5" w:rsidR="00E143DE" w:rsidRPr="000F23E0" w:rsidRDefault="00E143DE" w:rsidP="00212A80">
            <w:pPr>
              <w:pStyle w:val="TableColumnHeadingRight"/>
              <w:cnfStyle w:val="100000000000" w:firstRow="1" w:lastRow="0" w:firstColumn="0" w:lastColumn="0" w:oddVBand="0" w:evenVBand="0" w:oddHBand="0" w:evenHBand="0" w:firstRowFirstColumn="0" w:firstRowLastColumn="0" w:lastRowFirstColumn="0" w:lastRowLastColumn="0"/>
              <w:rPr>
                <w:b/>
              </w:rPr>
            </w:pPr>
            <w:r w:rsidRPr="000F23E0">
              <w:rPr>
                <w:b/>
              </w:rPr>
              <w:t>Total Cost of</w:t>
            </w:r>
            <w:r w:rsidR="00557D2D" w:rsidRPr="000F23E0">
              <w:rPr>
                <w:b/>
              </w:rPr>
              <w:t> </w:t>
            </w:r>
            <w:r w:rsidRPr="000F23E0">
              <w:rPr>
                <w:b/>
              </w:rPr>
              <w:t xml:space="preserve">Project </w:t>
            </w:r>
          </w:p>
        </w:tc>
      </w:tr>
      <w:tr w:rsidR="00EB7950" w:rsidRPr="000F23E0" w14:paraId="12D9C238" w14:textId="77777777" w:rsidTr="00557D2D">
        <w:trPr>
          <w:trHeight w:val="256"/>
        </w:trPr>
        <w:tc>
          <w:tcPr>
            <w:cnfStyle w:val="001000000000" w:firstRow="0" w:lastRow="0" w:firstColumn="1" w:lastColumn="0" w:oddVBand="0" w:evenVBand="0" w:oddHBand="0" w:evenHBand="0" w:firstRowFirstColumn="0" w:firstRowLastColumn="0" w:lastRowFirstColumn="0" w:lastRowLastColumn="0"/>
            <w:tcW w:w="3264" w:type="dxa"/>
            <w:shd w:val="clear" w:color="auto" w:fill="FDF0E7"/>
          </w:tcPr>
          <w:p w14:paraId="6529A44B" w14:textId="77777777" w:rsidR="0027137E" w:rsidRPr="000F23E0" w:rsidRDefault="0027137E" w:rsidP="00212A80">
            <w:pPr>
              <w:pStyle w:val="TableTextLeft"/>
            </w:pPr>
            <w:r w:rsidRPr="000F23E0">
              <w:t>Renewable Energy Investments</w:t>
            </w:r>
          </w:p>
        </w:tc>
        <w:tc>
          <w:tcPr>
            <w:tcW w:w="1275" w:type="dxa"/>
            <w:shd w:val="clear" w:color="auto" w:fill="FEFAF8"/>
          </w:tcPr>
          <w:p w14:paraId="713F6785" w14:textId="4E2E16E4" w:rsidR="0027137E" w:rsidRPr="000F23E0" w:rsidRDefault="0027137E" w:rsidP="00212A80">
            <w:pPr>
              <w:pStyle w:val="TableTextRight"/>
              <w:cnfStyle w:val="000000000000" w:firstRow="0" w:lastRow="0" w:firstColumn="0" w:lastColumn="0" w:oddVBand="0" w:evenVBand="0" w:oddHBand="0" w:evenHBand="0" w:firstRowFirstColumn="0" w:firstRowLastColumn="0" w:lastRowFirstColumn="0" w:lastRowLastColumn="0"/>
              <w:rPr>
                <w:b/>
              </w:rPr>
            </w:pPr>
            <w:r w:rsidRPr="000F23E0">
              <w:t>311.8</w:t>
            </w:r>
          </w:p>
        </w:tc>
        <w:tc>
          <w:tcPr>
            <w:tcW w:w="1276" w:type="dxa"/>
            <w:shd w:val="clear" w:color="auto" w:fill="FEFAF8"/>
          </w:tcPr>
          <w:p w14:paraId="0990B01C" w14:textId="32D4F806" w:rsidR="0027137E" w:rsidRPr="000F23E0" w:rsidRDefault="00F05E14" w:rsidP="00212A80">
            <w:pPr>
              <w:pStyle w:val="TableTextRight"/>
              <w:cnfStyle w:val="000000000000" w:firstRow="0" w:lastRow="0" w:firstColumn="0" w:lastColumn="0" w:oddVBand="0" w:evenVBand="0" w:oddHBand="0" w:evenHBand="0" w:firstRowFirstColumn="0" w:firstRowLastColumn="0" w:lastRowFirstColumn="0" w:lastRowLastColumn="0"/>
              <w:rPr>
                <w:b/>
              </w:rPr>
            </w:pPr>
            <w:r w:rsidRPr="000F23E0">
              <w:t>168.8</w:t>
            </w:r>
          </w:p>
        </w:tc>
        <w:tc>
          <w:tcPr>
            <w:tcW w:w="2126" w:type="dxa"/>
            <w:shd w:val="clear" w:color="auto" w:fill="FEFAF8"/>
          </w:tcPr>
          <w:p w14:paraId="0EC0DF77" w14:textId="358AEA3A" w:rsidR="0027137E" w:rsidRPr="000F23E0" w:rsidRDefault="0027137E" w:rsidP="00212A80">
            <w:pPr>
              <w:pStyle w:val="TableTextRight"/>
              <w:cnfStyle w:val="000000000000" w:firstRow="0" w:lastRow="0" w:firstColumn="0" w:lastColumn="0" w:oddVBand="0" w:evenVBand="0" w:oddHBand="0" w:evenHBand="0" w:firstRowFirstColumn="0" w:firstRowLastColumn="0" w:lastRowFirstColumn="0" w:lastRowLastColumn="0"/>
              <w:rPr>
                <w:b/>
              </w:rPr>
            </w:pPr>
            <w:r w:rsidRPr="000F23E0">
              <w:t>923.8</w:t>
            </w:r>
          </w:p>
        </w:tc>
        <w:tc>
          <w:tcPr>
            <w:tcW w:w="1129" w:type="dxa"/>
            <w:shd w:val="clear" w:color="auto" w:fill="FEFAF8"/>
          </w:tcPr>
          <w:p w14:paraId="1849A20A" w14:textId="02081B9E" w:rsidR="0027137E" w:rsidRPr="000F23E0" w:rsidRDefault="0027137E" w:rsidP="00212A80">
            <w:pPr>
              <w:pStyle w:val="TableTextRight"/>
              <w:cnfStyle w:val="000000000000" w:firstRow="0" w:lastRow="0" w:firstColumn="0" w:lastColumn="0" w:oddVBand="0" w:evenVBand="0" w:oddHBand="0" w:evenHBand="0" w:firstRowFirstColumn="0" w:firstRowLastColumn="0" w:lastRowFirstColumn="0" w:lastRowLastColumn="0"/>
              <w:rPr>
                <w:b/>
              </w:rPr>
            </w:pPr>
            <w:r w:rsidRPr="000F23E0">
              <w:t>9,706.6</w:t>
            </w:r>
          </w:p>
        </w:tc>
      </w:tr>
    </w:tbl>
    <w:p w14:paraId="0D7D3129" w14:textId="193AC2D5" w:rsidR="00ED3691" w:rsidRPr="000F23E0" w:rsidRDefault="00ED3691" w:rsidP="00212A80">
      <w:pPr>
        <w:pStyle w:val="Heading4"/>
      </w:pPr>
      <w:r w:rsidRPr="000F23E0">
        <w:t>Co</w:t>
      </w:r>
      <w:r w:rsidR="002C4475" w:rsidRPr="000F23E0">
        <w:noBreakHyphen/>
      </w:r>
      <w:r w:rsidR="00496B5B" w:rsidRPr="000F23E0">
        <w:t>f</w:t>
      </w:r>
      <w:r w:rsidRPr="000F23E0">
        <w:t xml:space="preserve">inancing </w:t>
      </w:r>
      <w:r w:rsidR="00496B5B" w:rsidRPr="000F23E0">
        <w:t>a</w:t>
      </w:r>
      <w:r w:rsidRPr="000F23E0">
        <w:t>rrangements</w:t>
      </w:r>
    </w:p>
    <w:p w14:paraId="16D39AA9" w14:textId="1612B1A8" w:rsidR="00ED3691" w:rsidRPr="000F23E0" w:rsidRDefault="00ED3691" w:rsidP="00212A80">
      <w:r w:rsidRPr="000F23E0">
        <w:t>Projects are co</w:t>
      </w:r>
      <w:r w:rsidR="002C4475" w:rsidRPr="000F23E0">
        <w:noBreakHyphen/>
      </w:r>
      <w:r w:rsidRPr="000F23E0">
        <w:t xml:space="preserve">financed with private proponents and investment funds. </w:t>
      </w:r>
      <w:r w:rsidR="00611CEF" w:rsidRPr="000F23E0">
        <w:t>GTB</w:t>
      </w:r>
      <w:r w:rsidRPr="000F23E0">
        <w:t xml:space="preserve"> proceeds are only allocated to</w:t>
      </w:r>
      <w:r w:rsidR="00F54955" w:rsidRPr="000F23E0">
        <w:t xml:space="preserve"> finance</w:t>
      </w:r>
      <w:r w:rsidRPr="000F23E0">
        <w:t xml:space="preserve"> CEFC contributions. The CEFC aims to catalyse and leverage an increased flow of</w:t>
      </w:r>
      <w:r w:rsidR="00557D2D" w:rsidRPr="000F23E0">
        <w:t> </w:t>
      </w:r>
      <w:r w:rsidRPr="000F23E0">
        <w:t>private finance for renewable energy projects in Australia as part of the net zero transition.</w:t>
      </w:r>
    </w:p>
    <w:p w14:paraId="4EE0F1AD" w14:textId="181240BE" w:rsidR="00ED3691" w:rsidRPr="000F23E0" w:rsidRDefault="00ED3691" w:rsidP="00212A80">
      <w:pPr>
        <w:pStyle w:val="Heading4"/>
      </w:pPr>
      <w:r w:rsidRPr="000F23E0">
        <w:t xml:space="preserve">Material </w:t>
      </w:r>
      <w:r w:rsidR="00496B5B" w:rsidRPr="000F23E0">
        <w:t>r</w:t>
      </w:r>
      <w:r w:rsidRPr="000F23E0">
        <w:t>isks</w:t>
      </w:r>
    </w:p>
    <w:p w14:paraId="26A4611A" w14:textId="63710567" w:rsidR="00ED3691" w:rsidRPr="000F23E0" w:rsidRDefault="00ED3691" w:rsidP="007C613D">
      <w:r w:rsidRPr="000F23E0">
        <w:t xml:space="preserve">In its most recent Annual Report, the CEFC observed that </w:t>
      </w:r>
      <w:r w:rsidR="0015160A" w:rsidRPr="000F23E0">
        <w:t xml:space="preserve">market conditions for new generation investment remained challenging. Rising capital costs, particularly for wind, continued to undermine project economics making it difficult for projects to reach financial close. Operational renewables, especially solar, also faced challenges with high levels of economic curtailment driven by the increasing frequency of negative pricing events. Some regions also experienced grid outages and/or thermal congestion as they waited </w:t>
      </w:r>
      <w:r w:rsidR="00947162" w:rsidRPr="000F23E0">
        <w:t xml:space="preserve">for </w:t>
      </w:r>
      <w:r w:rsidR="0015160A" w:rsidRPr="000F23E0">
        <w:t>significant transmission buildout. Combined with declining large</w:t>
      </w:r>
      <w:r w:rsidR="002C4475" w:rsidRPr="000F23E0">
        <w:noBreakHyphen/>
      </w:r>
      <w:r w:rsidR="0015160A" w:rsidRPr="000F23E0">
        <w:t>scale generation renewable energy certificate prices, this has impacted investor sentiment for new renewable generation investment</w:t>
      </w:r>
      <w:r w:rsidR="002C4475" w:rsidRPr="000F23E0">
        <w:t xml:space="preserve">. </w:t>
      </w:r>
    </w:p>
    <w:p w14:paraId="0B2DE177" w14:textId="1BA48671" w:rsidR="00ED3691" w:rsidRPr="000F23E0" w:rsidRDefault="00ED3691" w:rsidP="007C613D">
      <w:r w:rsidRPr="000F23E0">
        <w:lastRenderedPageBreak/>
        <w:t xml:space="preserve">CEFC renewable energy investment commitments are subject to inherent risks and uncertainties, which can include external </w:t>
      </w:r>
      <w:r w:rsidR="0045294F" w:rsidRPr="000F23E0">
        <w:t xml:space="preserve">factors </w:t>
      </w:r>
      <w:r w:rsidRPr="000F23E0">
        <w:t>such as the regulatory environment and market conditions, meaningful local community and First Nations engagement, obtaining grid connection approvals, environmental approvals or resolving legal challenges</w:t>
      </w:r>
      <w:r w:rsidR="00B81E3E" w:rsidRPr="000F23E0">
        <w:t>. A</w:t>
      </w:r>
      <w:r w:rsidRPr="000F23E0">
        <w:t xml:space="preserve">ll </w:t>
      </w:r>
      <w:r w:rsidR="00B81E3E" w:rsidRPr="000F23E0">
        <w:t>these</w:t>
      </w:r>
      <w:r w:rsidR="00C83379" w:rsidRPr="000F23E0">
        <w:t xml:space="preserve"> factors</w:t>
      </w:r>
      <w:r w:rsidRPr="000F23E0">
        <w:t xml:space="preserve"> can delay projects significantly and impact the timing of deployment.</w:t>
      </w:r>
    </w:p>
    <w:p w14:paraId="7A2F3C7D" w14:textId="005B6F9B" w:rsidR="00ED3691" w:rsidRPr="000F23E0" w:rsidRDefault="00ED3691" w:rsidP="0083323D">
      <w:pPr>
        <w:pStyle w:val="Heading3"/>
      </w:pPr>
      <w:r w:rsidRPr="000F23E0">
        <w:t xml:space="preserve">Project </w:t>
      </w:r>
      <w:r w:rsidR="00496B5B" w:rsidRPr="000F23E0">
        <w:t>i</w:t>
      </w:r>
      <w:r w:rsidRPr="000F23E0">
        <w:t>mpacts</w:t>
      </w:r>
    </w:p>
    <w:p w14:paraId="01307256" w14:textId="7A1FAE91" w:rsidR="00ED3691" w:rsidRPr="000F23E0" w:rsidRDefault="00611CEF" w:rsidP="00F55854">
      <w:r w:rsidRPr="000F23E0">
        <w:t>GTB</w:t>
      </w:r>
      <w:r w:rsidR="00ED3691" w:rsidRPr="000F23E0">
        <w:t xml:space="preserve">s will contribute to projects that are expected to enable </w:t>
      </w:r>
      <w:r w:rsidR="007B344B" w:rsidRPr="000F23E0">
        <w:t xml:space="preserve">approximately 4,100 </w:t>
      </w:r>
      <w:r w:rsidR="00C115B4" w:rsidRPr="000F23E0">
        <w:t>gigaw</w:t>
      </w:r>
      <w:r w:rsidR="00781193" w:rsidRPr="000F23E0">
        <w:t>att</w:t>
      </w:r>
      <w:r w:rsidR="00146F0C" w:rsidRPr="000F23E0">
        <w:t xml:space="preserve"> </w:t>
      </w:r>
      <w:r w:rsidR="00ED3691" w:rsidRPr="000F23E0">
        <w:t>h</w:t>
      </w:r>
      <w:r w:rsidR="00781193" w:rsidRPr="000F23E0">
        <w:t>our</w:t>
      </w:r>
      <w:r w:rsidR="00276542" w:rsidRPr="000F23E0">
        <w:t>s</w:t>
      </w:r>
      <w:r w:rsidR="00ED3691" w:rsidRPr="000F23E0">
        <w:t xml:space="preserve"> of new renewable energy generation per annum on average (</w:t>
      </w:r>
      <w:r w:rsidR="00F830BF" w:rsidRPr="000F23E0">
        <w:t>Table 4</w:t>
      </w:r>
      <w:r w:rsidR="007F6349" w:rsidRPr="000F23E0">
        <w:fldChar w:fldCharType="begin"/>
      </w:r>
      <w:r w:rsidR="007F6349" w:rsidRPr="000F23E0">
        <w:instrText xml:space="preserve"> REF _Ref214981560 \h </w:instrText>
      </w:r>
      <w:r w:rsidR="007F6349" w:rsidRPr="000F23E0">
        <w:fldChar w:fldCharType="separate"/>
      </w:r>
      <w:r w:rsidR="007F6349" w:rsidRPr="000F23E0">
        <w:fldChar w:fldCharType="end"/>
      </w:r>
      <w:r w:rsidR="00C4068F" w:rsidRPr="000F23E0">
        <w:t>)</w:t>
      </w:r>
      <w:r w:rsidR="00ED3691" w:rsidRPr="000F23E0">
        <w:t xml:space="preserve">. This is </w:t>
      </w:r>
      <w:r w:rsidR="001C534A" w:rsidRPr="000F23E0">
        <w:t>estimated</w:t>
      </w:r>
      <w:r w:rsidR="00ED3691" w:rsidRPr="000F23E0">
        <w:t xml:space="preserve"> to </w:t>
      </w:r>
      <w:r w:rsidR="001C534A" w:rsidRPr="000F23E0">
        <w:t>avoid</w:t>
      </w:r>
      <w:r w:rsidR="00ED3691" w:rsidRPr="000F23E0">
        <w:t xml:space="preserve"> </w:t>
      </w:r>
      <w:r w:rsidR="00B04101" w:rsidRPr="000F23E0">
        <w:t>over 4</w:t>
      </w:r>
      <w:r w:rsidR="00ED3691" w:rsidRPr="000F23E0">
        <w:t xml:space="preserve">00 kilotons of </w:t>
      </w:r>
      <w:r w:rsidR="000F479D" w:rsidRPr="000F23E0">
        <w:t>CO</w:t>
      </w:r>
      <w:r w:rsidR="000F479D" w:rsidRPr="000F23E0">
        <w:rPr>
          <w:vertAlign w:val="subscript"/>
        </w:rPr>
        <w:t>2</w:t>
      </w:r>
      <w:r w:rsidR="002C4475" w:rsidRPr="000F23E0">
        <w:noBreakHyphen/>
      </w:r>
      <w:r w:rsidR="000F479D" w:rsidRPr="000F23E0">
        <w:t>e</w:t>
      </w:r>
      <w:r w:rsidR="00ED3691" w:rsidRPr="000F23E0">
        <w:t xml:space="preserve"> </w:t>
      </w:r>
      <w:r w:rsidR="00330396" w:rsidRPr="000F23E0">
        <w:t>equivalent</w:t>
      </w:r>
      <w:r w:rsidR="009258FE" w:rsidRPr="000F23E0">
        <w:t xml:space="preserve"> </w:t>
      </w:r>
      <w:r w:rsidR="00104C83" w:rsidRPr="000F23E0">
        <w:t>each year</w:t>
      </w:r>
      <w:r w:rsidR="00ED3691" w:rsidRPr="000F23E0">
        <w:t xml:space="preserve">. CEFC storage projects financed through </w:t>
      </w:r>
      <w:r w:rsidRPr="000F23E0">
        <w:t>GTB</w:t>
      </w:r>
      <w:r w:rsidR="00ED3691" w:rsidRPr="000F23E0">
        <w:t xml:space="preserve">s are expected to contribute to </w:t>
      </w:r>
      <w:r w:rsidR="00B8653E" w:rsidRPr="000F23E0">
        <w:rPr>
          <w:rFonts w:eastAsia="Calibri"/>
        </w:rPr>
        <w:t>around</w:t>
      </w:r>
      <w:r w:rsidR="002E1D90" w:rsidRPr="000F23E0">
        <w:rPr>
          <w:rFonts w:eastAsia="Calibri"/>
        </w:rPr>
        <w:t xml:space="preserve"> 2</w:t>
      </w:r>
      <w:r w:rsidR="002D28F5" w:rsidRPr="000F23E0">
        <w:rPr>
          <w:rFonts w:eastAsia="Calibri"/>
        </w:rPr>
        <w:t>,</w:t>
      </w:r>
      <w:r w:rsidR="002E1D90" w:rsidRPr="000F23E0">
        <w:rPr>
          <w:rFonts w:eastAsia="Calibri"/>
        </w:rPr>
        <w:t>0</w:t>
      </w:r>
      <w:r w:rsidR="002D28F5" w:rsidRPr="000F23E0">
        <w:rPr>
          <w:rFonts w:eastAsia="Calibri"/>
        </w:rPr>
        <w:t>88</w:t>
      </w:r>
      <w:r w:rsidR="00ED3691" w:rsidRPr="000F23E0">
        <w:rPr>
          <w:rFonts w:eastAsia="Calibri"/>
        </w:rPr>
        <w:t xml:space="preserve"> </w:t>
      </w:r>
      <w:r w:rsidR="00847D35" w:rsidRPr="000F23E0">
        <w:rPr>
          <w:rFonts w:eastAsia="Calibri"/>
        </w:rPr>
        <w:t>megawatts</w:t>
      </w:r>
      <w:r w:rsidR="00ED3691" w:rsidRPr="000F23E0">
        <w:rPr>
          <w:rFonts w:eastAsia="Calibri"/>
        </w:rPr>
        <w:t xml:space="preserve"> / </w:t>
      </w:r>
      <w:r w:rsidR="00F556E9" w:rsidRPr="000F23E0">
        <w:rPr>
          <w:rFonts w:eastAsia="Calibri"/>
        </w:rPr>
        <w:t>5</w:t>
      </w:r>
      <w:r w:rsidR="00ED3691" w:rsidRPr="000F23E0">
        <w:rPr>
          <w:rFonts w:eastAsia="Calibri"/>
        </w:rPr>
        <w:t>,</w:t>
      </w:r>
      <w:r w:rsidR="00B8653E" w:rsidRPr="000F23E0">
        <w:rPr>
          <w:rFonts w:eastAsia="Calibri"/>
        </w:rPr>
        <w:t>35</w:t>
      </w:r>
      <w:r w:rsidR="00ED3691" w:rsidRPr="000F23E0">
        <w:rPr>
          <w:rFonts w:eastAsia="Calibri"/>
        </w:rPr>
        <w:t xml:space="preserve">7 </w:t>
      </w:r>
      <w:r w:rsidR="00847D35" w:rsidRPr="000F23E0">
        <w:rPr>
          <w:rFonts w:eastAsia="Calibri"/>
        </w:rPr>
        <w:t>megawatt</w:t>
      </w:r>
      <w:r w:rsidR="00146F0C" w:rsidRPr="000F23E0">
        <w:rPr>
          <w:rFonts w:eastAsia="Calibri"/>
        </w:rPr>
        <w:t xml:space="preserve"> </w:t>
      </w:r>
      <w:r w:rsidR="00847D35" w:rsidRPr="000F23E0">
        <w:rPr>
          <w:rFonts w:eastAsia="Calibri"/>
        </w:rPr>
        <w:t>hour</w:t>
      </w:r>
      <w:r w:rsidR="00276542" w:rsidRPr="000F23E0">
        <w:rPr>
          <w:rFonts w:eastAsia="Calibri"/>
        </w:rPr>
        <w:t>s</w:t>
      </w:r>
      <w:r w:rsidR="00ED3691" w:rsidRPr="000F23E0">
        <w:rPr>
          <w:rFonts w:eastAsia="Calibri"/>
        </w:rPr>
        <w:t xml:space="preserve"> </w:t>
      </w:r>
      <w:r w:rsidR="00ED3691" w:rsidRPr="000F23E0">
        <w:t>of new storage capacity.</w:t>
      </w:r>
    </w:p>
    <w:p w14:paraId="039A70A2" w14:textId="0BFAE697" w:rsidR="004C1E04" w:rsidRPr="000F23E0" w:rsidRDefault="005A3FDC" w:rsidP="00F55854">
      <w:r w:rsidRPr="000F23E0">
        <w:t>The</w:t>
      </w:r>
      <w:r w:rsidR="00EB1869" w:rsidRPr="000F23E0">
        <w:t xml:space="preserve"> estimated projected emissions avoided per annum are lifetime greenhouse emissions divided by</w:t>
      </w:r>
      <w:r w:rsidR="00965251" w:rsidRPr="000F23E0">
        <w:t> </w:t>
      </w:r>
      <w:r w:rsidR="00EB1869" w:rsidRPr="000F23E0">
        <w:t>the estimated number of operational years. Emissions Intensity Factors, which estimate the CO</w:t>
      </w:r>
      <w:r w:rsidR="00EB1869" w:rsidRPr="000F23E0">
        <w:rPr>
          <w:vertAlign w:val="subscript"/>
        </w:rPr>
        <w:t>2</w:t>
      </w:r>
      <w:r w:rsidR="00EB1869" w:rsidRPr="000F23E0">
        <w:t xml:space="preserve"> avoided per gigawatt</w:t>
      </w:r>
      <w:r w:rsidR="002C4475" w:rsidRPr="000F23E0">
        <w:noBreakHyphen/>
      </w:r>
      <w:r w:rsidR="00EB1869" w:rsidRPr="000F23E0">
        <w:t xml:space="preserve">hour of renewable generation, are based on </w:t>
      </w:r>
      <w:r w:rsidR="00B9750F" w:rsidRPr="000F23E0">
        <w:t>DCCEEW</w:t>
      </w:r>
      <w:r w:rsidR="00EB1869" w:rsidRPr="000F23E0">
        <w:t xml:space="preserve"> projections published in</w:t>
      </w:r>
      <w:r w:rsidR="00965251" w:rsidRPr="000F23E0">
        <w:t> </w:t>
      </w:r>
      <w:r w:rsidR="00EB1869" w:rsidRPr="000F23E0">
        <w:t>2024 (scope 2). Emissions Intensity Factors are available to 2040 only. The CEFC has estimated Emissions Intensity Factors from 2041 onward by applying the average percentage decline in Emissions Intensity Factors up to 2040</w:t>
      </w:r>
      <w:r w:rsidR="004C1E04" w:rsidRPr="000F23E0">
        <w:t>.</w:t>
      </w:r>
    </w:p>
    <w:p w14:paraId="2BA1132A" w14:textId="4953A1FE" w:rsidR="005A3FDC" w:rsidRPr="000F23E0" w:rsidRDefault="004C1E04" w:rsidP="00F55854">
      <w:r w:rsidRPr="000F23E0">
        <w:t>Project Impacts are reported for eligible projects from 2024</w:t>
      </w:r>
      <w:r w:rsidR="00965251" w:rsidRPr="000F23E0">
        <w:t>–</w:t>
      </w:r>
      <w:r w:rsidRPr="000F23E0">
        <w:t xml:space="preserve">25, which may include projects also eligible in previous periods and covered in previous reports. </w:t>
      </w:r>
    </w:p>
    <w:p w14:paraId="3A9F0883" w14:textId="1C467386" w:rsidR="00ED3691" w:rsidRPr="000F23E0" w:rsidRDefault="007F6349" w:rsidP="00551F72">
      <w:pPr>
        <w:pStyle w:val="TableMainHeading"/>
      </w:pPr>
      <w:bookmarkStart w:id="77" w:name="_Toc220662864"/>
      <w:bookmarkStart w:id="78" w:name="_Toc224637791"/>
      <w:bookmarkStart w:id="79" w:name="_Toc224642455"/>
      <w:bookmarkStart w:id="80" w:name="_Toc225153431"/>
      <w:bookmarkStart w:id="81" w:name="_Toc225154477"/>
      <w:bookmarkStart w:id="82" w:name="_Toc225155742"/>
      <w:r w:rsidRPr="000F23E0">
        <w:t xml:space="preserve">Table </w:t>
      </w:r>
      <w:r w:rsidR="00F830BF" w:rsidRPr="000F23E0">
        <w:t>4</w:t>
      </w:r>
      <w:r w:rsidR="00627058" w:rsidRPr="000F23E0">
        <w:t>:</w:t>
      </w:r>
      <w:r w:rsidRPr="000F23E0">
        <w:t xml:space="preserve"> Impact </w:t>
      </w:r>
      <w:r w:rsidR="00AB4BFC" w:rsidRPr="000F23E0">
        <w:t>d</w:t>
      </w:r>
      <w:r w:rsidRPr="000F23E0">
        <w:t xml:space="preserve">ata for CEFC </w:t>
      </w:r>
      <w:r w:rsidR="00642555" w:rsidRPr="000F23E0">
        <w:t>r</w:t>
      </w:r>
      <w:r w:rsidRPr="000F23E0">
        <w:t xml:space="preserve">enewable </w:t>
      </w:r>
      <w:r w:rsidR="00642555" w:rsidRPr="000F23E0">
        <w:t>e</w:t>
      </w:r>
      <w:r w:rsidRPr="000F23E0">
        <w:t xml:space="preserve">nergy </w:t>
      </w:r>
      <w:r w:rsidR="00642555" w:rsidRPr="000F23E0">
        <w:t>i</w:t>
      </w:r>
      <w:r w:rsidRPr="000F23E0">
        <w:t>nvestments</w:t>
      </w:r>
      <w:bookmarkEnd w:id="77"/>
      <w:bookmarkEnd w:id="78"/>
      <w:bookmarkEnd w:id="79"/>
      <w:bookmarkEnd w:id="80"/>
      <w:bookmarkEnd w:id="81"/>
      <w:bookmarkEnd w:id="82"/>
    </w:p>
    <w:tbl>
      <w:tblPr>
        <w:tblStyle w:val="GridTable4-Accent2"/>
        <w:tblW w:w="5000" w:type="pct"/>
        <w:tblInd w:w="-3" w:type="dxa"/>
        <w:tblBorders>
          <w:top w:val="single" w:sz="4" w:space="0" w:color="D77A5B"/>
          <w:bottom w:val="single" w:sz="4" w:space="0" w:color="D77A5B"/>
          <w:insideH w:val="single" w:sz="4" w:space="0" w:color="D77A5B"/>
        </w:tblBorders>
        <w:tblLayout w:type="fixed"/>
        <w:tblLook w:val="04A0" w:firstRow="1" w:lastRow="0" w:firstColumn="1" w:lastColumn="0" w:noHBand="0" w:noVBand="1"/>
      </w:tblPr>
      <w:tblGrid>
        <w:gridCol w:w="3405"/>
        <w:gridCol w:w="1418"/>
        <w:gridCol w:w="1980"/>
        <w:gridCol w:w="2267"/>
      </w:tblGrid>
      <w:tr w:rsidR="00EB7950" w:rsidRPr="000F23E0" w14:paraId="4A875E2B" w14:textId="77777777" w:rsidTr="00557D2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5" w:type="dxa"/>
            <w:shd w:val="clear" w:color="auto" w:fill="F1D0C6"/>
          </w:tcPr>
          <w:p w14:paraId="02165712" w14:textId="3781C061" w:rsidR="0096753C" w:rsidRPr="000F23E0" w:rsidRDefault="0096753C" w:rsidP="00212A80">
            <w:pPr>
              <w:pStyle w:val="TableColumnHeadingLeft"/>
              <w:rPr>
                <w:b/>
                <w:bCs w:val="0"/>
              </w:rPr>
            </w:pPr>
            <w:r w:rsidRPr="000F23E0">
              <w:rPr>
                <w:b/>
                <w:bCs w:val="0"/>
              </w:rPr>
              <w:t>Metric</w:t>
            </w:r>
          </w:p>
        </w:tc>
        <w:tc>
          <w:tcPr>
            <w:tcW w:w="1418" w:type="dxa"/>
            <w:shd w:val="clear" w:color="auto" w:fill="F1D0C6"/>
          </w:tcPr>
          <w:p w14:paraId="4438607F" w14:textId="22AA375A" w:rsidR="0096753C" w:rsidRPr="000F23E0" w:rsidRDefault="0096753C" w:rsidP="00212A80">
            <w:pPr>
              <w:pStyle w:val="TableColumnHeadingRight"/>
              <w:cnfStyle w:val="100000000000" w:firstRow="1" w:lastRow="0" w:firstColumn="0" w:lastColumn="0" w:oddVBand="0" w:evenVBand="0" w:oddHBand="0" w:evenHBand="0" w:firstRowFirstColumn="0" w:firstRowLastColumn="0" w:lastRowFirstColumn="0" w:lastRowLastColumn="0"/>
              <w:rPr>
                <w:b/>
                <w:bCs w:val="0"/>
              </w:rPr>
            </w:pPr>
            <w:r w:rsidRPr="000F23E0">
              <w:rPr>
                <w:b/>
                <w:bCs w:val="0"/>
              </w:rPr>
              <w:t>Value</w:t>
            </w:r>
          </w:p>
        </w:tc>
        <w:tc>
          <w:tcPr>
            <w:tcW w:w="1980" w:type="dxa"/>
            <w:shd w:val="clear" w:color="auto" w:fill="F1D0C6"/>
          </w:tcPr>
          <w:p w14:paraId="41DACB91" w14:textId="77777777" w:rsidR="0096753C" w:rsidRPr="000F23E0" w:rsidRDefault="0096753C" w:rsidP="00212A80">
            <w:pPr>
              <w:pStyle w:val="TableColumnHeadingRight"/>
              <w:cnfStyle w:val="100000000000" w:firstRow="1" w:lastRow="0" w:firstColumn="0" w:lastColumn="0" w:oddVBand="0" w:evenVBand="0" w:oddHBand="0" w:evenHBand="0" w:firstRowFirstColumn="0" w:firstRowLastColumn="0" w:lastRowFirstColumn="0" w:lastRowLastColumn="0"/>
              <w:rPr>
                <w:b/>
                <w:bCs w:val="0"/>
              </w:rPr>
            </w:pPr>
            <w:r w:rsidRPr="000F23E0">
              <w:rPr>
                <w:b/>
                <w:bCs w:val="0"/>
              </w:rPr>
              <w:t>Recorded / Projected</w:t>
            </w:r>
          </w:p>
        </w:tc>
        <w:tc>
          <w:tcPr>
            <w:tcW w:w="2267" w:type="dxa"/>
            <w:shd w:val="clear" w:color="auto" w:fill="F1D0C6"/>
          </w:tcPr>
          <w:p w14:paraId="01C054F1" w14:textId="77777777" w:rsidR="0096753C" w:rsidRPr="000F23E0" w:rsidRDefault="0096753C" w:rsidP="00212A80">
            <w:pPr>
              <w:pStyle w:val="TableColumnHeadingRight"/>
              <w:cnfStyle w:val="100000000000" w:firstRow="1" w:lastRow="0" w:firstColumn="0" w:lastColumn="0" w:oddVBand="0" w:evenVBand="0" w:oddHBand="0" w:evenHBand="0" w:firstRowFirstColumn="0" w:firstRowLastColumn="0" w:lastRowFirstColumn="0" w:lastRowLastColumn="0"/>
              <w:rPr>
                <w:b/>
                <w:bCs w:val="0"/>
              </w:rPr>
            </w:pPr>
            <w:r w:rsidRPr="000F23E0">
              <w:rPr>
                <w:b/>
                <w:bCs w:val="0"/>
              </w:rPr>
              <w:t>Time Period</w:t>
            </w:r>
          </w:p>
        </w:tc>
      </w:tr>
      <w:tr w:rsidR="00EB7950" w:rsidRPr="000F23E0" w14:paraId="4388DF0E" w14:textId="77777777" w:rsidTr="00557D2D">
        <w:trPr>
          <w:trHeight w:val="85"/>
        </w:trPr>
        <w:tc>
          <w:tcPr>
            <w:cnfStyle w:val="001000000000" w:firstRow="0" w:lastRow="0" w:firstColumn="1" w:lastColumn="0" w:oddVBand="0" w:evenVBand="0" w:oddHBand="0" w:evenHBand="0" w:firstRowFirstColumn="0" w:firstRowLastColumn="0" w:lastRowFirstColumn="0" w:lastRowLastColumn="0"/>
            <w:tcW w:w="3405" w:type="dxa"/>
            <w:shd w:val="clear" w:color="auto" w:fill="FDF0E7"/>
          </w:tcPr>
          <w:p w14:paraId="46346F70" w14:textId="0D9A18AD" w:rsidR="0096753C" w:rsidRPr="000F23E0" w:rsidRDefault="0096753C" w:rsidP="00212A80">
            <w:pPr>
              <w:pStyle w:val="TableTextLeft"/>
            </w:pPr>
            <w:r w:rsidRPr="000F23E0">
              <w:t>Emissions avoided (kt CO</w:t>
            </w:r>
            <w:r w:rsidRPr="000F23E0">
              <w:rPr>
                <w:vertAlign w:val="subscript"/>
              </w:rPr>
              <w:t>2</w:t>
            </w:r>
            <w:r w:rsidRPr="000F23E0">
              <w:t>-e p.a.)</w:t>
            </w:r>
          </w:p>
        </w:tc>
        <w:tc>
          <w:tcPr>
            <w:tcW w:w="1418" w:type="dxa"/>
            <w:shd w:val="clear" w:color="auto" w:fill="FEFAF8"/>
          </w:tcPr>
          <w:p w14:paraId="03D50DC6" w14:textId="569D8FE0" w:rsidR="0096753C" w:rsidRPr="000F23E0" w:rsidRDefault="00330A86" w:rsidP="00557D2D">
            <w:pPr>
              <w:pStyle w:val="TableTextRight"/>
              <w:cnfStyle w:val="000000000000" w:firstRow="0" w:lastRow="0" w:firstColumn="0" w:lastColumn="0" w:oddVBand="0" w:evenVBand="0" w:oddHBand="0" w:evenHBand="0" w:firstRowFirstColumn="0" w:firstRowLastColumn="0" w:lastRowFirstColumn="0" w:lastRowLastColumn="0"/>
            </w:pPr>
            <w:r w:rsidRPr="000F23E0">
              <w:t>400</w:t>
            </w:r>
          </w:p>
        </w:tc>
        <w:tc>
          <w:tcPr>
            <w:tcW w:w="1980" w:type="dxa"/>
            <w:shd w:val="clear" w:color="auto" w:fill="FEFAF8"/>
          </w:tcPr>
          <w:p w14:paraId="1F7E29DE" w14:textId="77777777" w:rsidR="0096753C" w:rsidRPr="000F23E0" w:rsidRDefault="0096753C" w:rsidP="00212A80">
            <w:pPr>
              <w:pStyle w:val="TableTextRight"/>
              <w:cnfStyle w:val="000000000000" w:firstRow="0" w:lastRow="0" w:firstColumn="0" w:lastColumn="0" w:oddVBand="0" w:evenVBand="0" w:oddHBand="0" w:evenHBand="0" w:firstRowFirstColumn="0" w:firstRowLastColumn="0" w:lastRowFirstColumn="0" w:lastRowLastColumn="0"/>
            </w:pPr>
            <w:r w:rsidRPr="000F23E0">
              <w:t>Projected</w:t>
            </w:r>
          </w:p>
        </w:tc>
        <w:tc>
          <w:tcPr>
            <w:tcW w:w="2267" w:type="dxa"/>
            <w:shd w:val="clear" w:color="auto" w:fill="FEFAF8"/>
          </w:tcPr>
          <w:p w14:paraId="4618E152" w14:textId="01D052A1" w:rsidR="0096753C" w:rsidRPr="000F23E0" w:rsidRDefault="0096753C" w:rsidP="00212A80">
            <w:pPr>
              <w:pStyle w:val="TableTextRight"/>
              <w:cnfStyle w:val="000000000000" w:firstRow="0" w:lastRow="0" w:firstColumn="0" w:lastColumn="0" w:oddVBand="0" w:evenVBand="0" w:oddHBand="0" w:evenHBand="0" w:firstRowFirstColumn="0" w:firstRowLastColumn="0" w:lastRowFirstColumn="0" w:lastRowLastColumn="0"/>
            </w:pPr>
            <w:r w:rsidRPr="000F23E0">
              <w:t>25+ years from operation</w:t>
            </w:r>
          </w:p>
        </w:tc>
      </w:tr>
      <w:tr w:rsidR="00EB7950" w:rsidRPr="000F23E0" w14:paraId="61A51BBA" w14:textId="77777777" w:rsidTr="00557D2D">
        <w:tc>
          <w:tcPr>
            <w:cnfStyle w:val="001000000000" w:firstRow="0" w:lastRow="0" w:firstColumn="1" w:lastColumn="0" w:oddVBand="0" w:evenVBand="0" w:oddHBand="0" w:evenHBand="0" w:firstRowFirstColumn="0" w:firstRowLastColumn="0" w:lastRowFirstColumn="0" w:lastRowLastColumn="0"/>
            <w:tcW w:w="3405" w:type="dxa"/>
            <w:shd w:val="clear" w:color="auto" w:fill="FDF0E7"/>
          </w:tcPr>
          <w:p w14:paraId="74E1F4E0" w14:textId="2213D940" w:rsidR="0096753C" w:rsidRPr="000F23E0" w:rsidRDefault="0096753C" w:rsidP="00212A80">
            <w:pPr>
              <w:pStyle w:val="TableTextLeft"/>
            </w:pPr>
            <w:r w:rsidRPr="000F23E0">
              <w:t>Renewable energy generation (GWh p.a.)</w:t>
            </w:r>
          </w:p>
        </w:tc>
        <w:tc>
          <w:tcPr>
            <w:tcW w:w="1418" w:type="dxa"/>
            <w:shd w:val="clear" w:color="auto" w:fill="FEFAF8"/>
          </w:tcPr>
          <w:p w14:paraId="02C7D27E" w14:textId="77777777" w:rsidR="0096753C" w:rsidRPr="000F23E0" w:rsidRDefault="0096753C" w:rsidP="00212A80">
            <w:pPr>
              <w:pStyle w:val="TableTextRight"/>
              <w:cnfStyle w:val="000000000000" w:firstRow="0" w:lastRow="0" w:firstColumn="0" w:lastColumn="0" w:oddVBand="0" w:evenVBand="0" w:oddHBand="0" w:evenHBand="0" w:firstRowFirstColumn="0" w:firstRowLastColumn="0" w:lastRowFirstColumn="0" w:lastRowLastColumn="0"/>
            </w:pPr>
            <w:r w:rsidRPr="000F23E0">
              <w:t>4,100</w:t>
            </w:r>
          </w:p>
        </w:tc>
        <w:tc>
          <w:tcPr>
            <w:tcW w:w="1980" w:type="dxa"/>
            <w:shd w:val="clear" w:color="auto" w:fill="FEFAF8"/>
          </w:tcPr>
          <w:p w14:paraId="46E2CE64" w14:textId="77777777" w:rsidR="0096753C" w:rsidRPr="000F23E0" w:rsidRDefault="0096753C" w:rsidP="00212A80">
            <w:pPr>
              <w:pStyle w:val="TableTextRight"/>
              <w:cnfStyle w:val="000000000000" w:firstRow="0" w:lastRow="0" w:firstColumn="0" w:lastColumn="0" w:oddVBand="0" w:evenVBand="0" w:oddHBand="0" w:evenHBand="0" w:firstRowFirstColumn="0" w:firstRowLastColumn="0" w:lastRowFirstColumn="0" w:lastRowLastColumn="0"/>
            </w:pPr>
            <w:r w:rsidRPr="000F23E0">
              <w:t>Projected</w:t>
            </w:r>
          </w:p>
        </w:tc>
        <w:tc>
          <w:tcPr>
            <w:tcW w:w="2267" w:type="dxa"/>
            <w:shd w:val="clear" w:color="auto" w:fill="FEFAF8"/>
          </w:tcPr>
          <w:p w14:paraId="0614A907" w14:textId="4D73C1A2" w:rsidR="0096753C" w:rsidRPr="000F23E0" w:rsidRDefault="0096753C" w:rsidP="00212A80">
            <w:pPr>
              <w:pStyle w:val="TableTextRight"/>
              <w:cnfStyle w:val="000000000000" w:firstRow="0" w:lastRow="0" w:firstColumn="0" w:lastColumn="0" w:oddVBand="0" w:evenVBand="0" w:oddHBand="0" w:evenHBand="0" w:firstRowFirstColumn="0" w:firstRowLastColumn="0" w:lastRowFirstColumn="0" w:lastRowLastColumn="0"/>
            </w:pPr>
            <w:r w:rsidRPr="000F23E0">
              <w:t>25+ years from operation</w:t>
            </w:r>
          </w:p>
        </w:tc>
      </w:tr>
      <w:tr w:rsidR="00EB7950" w:rsidRPr="000F23E0" w14:paraId="7C93A294" w14:textId="77777777" w:rsidTr="00557D2D">
        <w:trPr>
          <w:trHeight w:val="130"/>
        </w:trPr>
        <w:tc>
          <w:tcPr>
            <w:cnfStyle w:val="001000000000" w:firstRow="0" w:lastRow="0" w:firstColumn="1" w:lastColumn="0" w:oddVBand="0" w:evenVBand="0" w:oddHBand="0" w:evenHBand="0" w:firstRowFirstColumn="0" w:firstRowLastColumn="0" w:lastRowFirstColumn="0" w:lastRowLastColumn="0"/>
            <w:tcW w:w="3405" w:type="dxa"/>
            <w:shd w:val="clear" w:color="auto" w:fill="FDF0E7"/>
          </w:tcPr>
          <w:p w14:paraId="16259287" w14:textId="720639D4" w:rsidR="0096753C" w:rsidRPr="000F23E0" w:rsidRDefault="0076127B" w:rsidP="00212A80">
            <w:pPr>
              <w:pStyle w:val="TableTextLeft"/>
            </w:pPr>
            <w:r w:rsidRPr="000F23E0">
              <w:rPr>
                <w:rFonts w:eastAsia="Calibri"/>
                <w:bCs w:val="0"/>
              </w:rPr>
              <w:t>Energy storage capacity</w:t>
            </w:r>
            <w:r w:rsidR="0096753C" w:rsidRPr="000F23E0">
              <w:t xml:space="preserve"> (MW / MWh)</w:t>
            </w:r>
          </w:p>
        </w:tc>
        <w:tc>
          <w:tcPr>
            <w:tcW w:w="1418" w:type="dxa"/>
            <w:shd w:val="clear" w:color="auto" w:fill="FEFAF8"/>
          </w:tcPr>
          <w:p w14:paraId="697B038D" w14:textId="77777777" w:rsidR="0096753C" w:rsidRPr="000F23E0" w:rsidRDefault="0096753C" w:rsidP="00212A80">
            <w:pPr>
              <w:pStyle w:val="TableTextRight"/>
              <w:cnfStyle w:val="000000000000" w:firstRow="0" w:lastRow="0" w:firstColumn="0" w:lastColumn="0" w:oddVBand="0" w:evenVBand="0" w:oddHBand="0" w:evenHBand="0" w:firstRowFirstColumn="0" w:firstRowLastColumn="0" w:lastRowFirstColumn="0" w:lastRowLastColumn="0"/>
            </w:pPr>
            <w:r w:rsidRPr="000F23E0">
              <w:t>2,088 / 5,357</w:t>
            </w:r>
          </w:p>
        </w:tc>
        <w:tc>
          <w:tcPr>
            <w:tcW w:w="1980" w:type="dxa"/>
            <w:shd w:val="clear" w:color="auto" w:fill="FEFAF8"/>
          </w:tcPr>
          <w:p w14:paraId="2F443907" w14:textId="77777777" w:rsidR="0096753C" w:rsidRPr="000F23E0" w:rsidRDefault="0096753C" w:rsidP="00212A80">
            <w:pPr>
              <w:pStyle w:val="TableTextRight"/>
              <w:cnfStyle w:val="000000000000" w:firstRow="0" w:lastRow="0" w:firstColumn="0" w:lastColumn="0" w:oddVBand="0" w:evenVBand="0" w:oddHBand="0" w:evenHBand="0" w:firstRowFirstColumn="0" w:firstRowLastColumn="0" w:lastRowFirstColumn="0" w:lastRowLastColumn="0"/>
            </w:pPr>
            <w:r w:rsidRPr="000F23E0">
              <w:t>Projected</w:t>
            </w:r>
          </w:p>
        </w:tc>
        <w:tc>
          <w:tcPr>
            <w:tcW w:w="2267" w:type="dxa"/>
            <w:shd w:val="clear" w:color="auto" w:fill="FEFAF8"/>
          </w:tcPr>
          <w:p w14:paraId="674C7E3C" w14:textId="77777777" w:rsidR="0096753C" w:rsidRPr="000F23E0" w:rsidRDefault="0096753C" w:rsidP="00212A80">
            <w:pPr>
              <w:pStyle w:val="TableTextRight"/>
              <w:cnfStyle w:val="000000000000" w:firstRow="0" w:lastRow="0" w:firstColumn="0" w:lastColumn="0" w:oddVBand="0" w:evenVBand="0" w:oddHBand="0" w:evenHBand="0" w:firstRowFirstColumn="0" w:firstRowLastColumn="0" w:lastRowFirstColumn="0" w:lastRowLastColumn="0"/>
            </w:pPr>
            <w:r w:rsidRPr="000F23E0">
              <w:t>20 years</w:t>
            </w:r>
          </w:p>
        </w:tc>
      </w:tr>
    </w:tbl>
    <w:p w14:paraId="033C552C" w14:textId="1AD22029" w:rsidR="00ED3691" w:rsidRPr="000F23E0" w:rsidRDefault="00ED3691" w:rsidP="0083323D">
      <w:pPr>
        <w:pStyle w:val="Heading4"/>
      </w:pPr>
      <w:r w:rsidRPr="000F23E0">
        <w:t xml:space="preserve">Social </w:t>
      </w:r>
      <w:r w:rsidR="00496B5B" w:rsidRPr="000F23E0">
        <w:t>c</w:t>
      </w:r>
      <w:r w:rsidRPr="000F23E0">
        <w:t>o</w:t>
      </w:r>
      <w:r w:rsidR="002C4475" w:rsidRPr="000F23E0">
        <w:noBreakHyphen/>
      </w:r>
      <w:r w:rsidRPr="000F23E0">
        <w:t>benefits</w:t>
      </w:r>
    </w:p>
    <w:p w14:paraId="3C9C1C20" w14:textId="73E566F5" w:rsidR="00ED3691" w:rsidRPr="000F23E0" w:rsidRDefault="00ED3691" w:rsidP="00F55854">
      <w:r w:rsidRPr="000F23E0">
        <w:t xml:space="preserve">CEFC investments in the renewable energy sector </w:t>
      </w:r>
      <w:r w:rsidR="008B3DAF" w:rsidRPr="000F23E0">
        <w:t>deliver</w:t>
      </w:r>
      <w:r w:rsidRPr="000F23E0">
        <w:t xml:space="preserve"> benefits to local and regional communities, in addition to the employment and economic activity associated with the planning, development and operational phases.</w:t>
      </w:r>
    </w:p>
    <w:p w14:paraId="278F87C9" w14:textId="6C891363" w:rsidR="003C0139" w:rsidRPr="000F23E0" w:rsidRDefault="00ED3691" w:rsidP="000E32B9">
      <w:r w:rsidRPr="000F23E0">
        <w:t xml:space="preserve">The energy transition requires a large skilled workforce across every discipline, with particular opportunities in rural and regional areas. </w:t>
      </w:r>
      <w:r w:rsidR="00C874BC" w:rsidRPr="000F23E0">
        <w:t>The</w:t>
      </w:r>
      <w:r w:rsidRPr="000F23E0">
        <w:t xml:space="preserve"> CEFC does not make employment decisions at </w:t>
      </w:r>
      <w:r w:rsidR="00C874BC" w:rsidRPr="000F23E0">
        <w:t xml:space="preserve">a </w:t>
      </w:r>
      <w:r w:rsidRPr="000F23E0">
        <w:t xml:space="preserve">project level </w:t>
      </w:r>
      <w:r w:rsidR="00C874BC" w:rsidRPr="000F23E0">
        <w:t>(</w:t>
      </w:r>
      <w:r w:rsidRPr="000F23E0">
        <w:t>this is a matter for project proponents</w:t>
      </w:r>
      <w:r w:rsidR="00C874BC" w:rsidRPr="000F23E0">
        <w:t xml:space="preserve">) but </w:t>
      </w:r>
      <w:r w:rsidRPr="000F23E0">
        <w:t>as a specialist investor on behalf of the Australian Government it seeks to use its capital to influence positive community and employment outcomes</w:t>
      </w:r>
      <w:r w:rsidR="002A761A" w:rsidRPr="000F23E0">
        <w:t>.</w:t>
      </w:r>
      <w:r w:rsidRPr="000F23E0">
        <w:t xml:space="preserve"> </w:t>
      </w:r>
      <w:r w:rsidR="002A761A" w:rsidRPr="000F23E0">
        <w:t>This is done</w:t>
      </w:r>
      <w:r w:rsidRPr="000F23E0">
        <w:t xml:space="preserve"> through the application of Australian Industry Participation Plans, the Buy Australian Plan and First Nations Investment Screening processes. </w:t>
      </w:r>
    </w:p>
    <w:p w14:paraId="4BEFD8BC" w14:textId="51E0152B" w:rsidR="00ED3691" w:rsidRPr="000F23E0" w:rsidRDefault="00EE2430" w:rsidP="00F55854">
      <w:r w:rsidRPr="000F23E0">
        <w:t>Eligible renewable energy</w:t>
      </w:r>
      <w:r w:rsidR="00ED3691" w:rsidRPr="000F23E0">
        <w:t xml:space="preserve"> projects </w:t>
      </w:r>
      <w:r w:rsidR="00B43CD0" w:rsidRPr="000F23E0">
        <w:t xml:space="preserve">in 2024–25 </w:t>
      </w:r>
      <w:r w:rsidR="00ED3691" w:rsidRPr="000F23E0">
        <w:t xml:space="preserve">are estimated to create </w:t>
      </w:r>
      <w:r w:rsidR="000E32B9" w:rsidRPr="000F23E0">
        <w:t>80</w:t>
      </w:r>
      <w:r w:rsidR="00847AAC" w:rsidRPr="000F23E0">
        <w:t> </w:t>
      </w:r>
      <w:r w:rsidR="00ED3691" w:rsidRPr="000F23E0">
        <w:t>full</w:t>
      </w:r>
      <w:r w:rsidR="002C4475" w:rsidRPr="000F23E0">
        <w:noBreakHyphen/>
      </w:r>
      <w:r w:rsidR="00ED3691" w:rsidRPr="000F23E0">
        <w:t xml:space="preserve">time equivalent jobs, and more than </w:t>
      </w:r>
      <w:r w:rsidR="00410682" w:rsidRPr="000F23E0">
        <w:t>8</w:t>
      </w:r>
      <w:r w:rsidR="00ED3691" w:rsidRPr="000F23E0">
        <w:t>50 jobs during construction periods</w:t>
      </w:r>
    </w:p>
    <w:tbl>
      <w:tblPr>
        <w:tblW w:w="5000" w:type="pct"/>
        <w:shd w:val="clear" w:color="auto" w:fill="FDF0E7"/>
        <w:tblCellMar>
          <w:top w:w="113" w:type="dxa"/>
          <w:left w:w="284" w:type="dxa"/>
          <w:bottom w:w="227" w:type="dxa"/>
          <w:right w:w="284" w:type="dxa"/>
        </w:tblCellMar>
        <w:tblLook w:val="04A0" w:firstRow="1" w:lastRow="0" w:firstColumn="1" w:lastColumn="0" w:noHBand="0" w:noVBand="1"/>
      </w:tblPr>
      <w:tblGrid>
        <w:gridCol w:w="9070"/>
      </w:tblGrid>
      <w:tr w:rsidR="004A2C77" w:rsidRPr="000F23E0" w14:paraId="665950CE" w14:textId="77777777" w:rsidTr="00BE7985">
        <w:tc>
          <w:tcPr>
            <w:tcW w:w="5000" w:type="pct"/>
            <w:shd w:val="clear" w:color="auto" w:fill="FDF0E7"/>
            <w:hideMark/>
          </w:tcPr>
          <w:p w14:paraId="3DD39712" w14:textId="352AEA44" w:rsidR="00ED3691" w:rsidRPr="000F23E0" w:rsidRDefault="00ED3691" w:rsidP="00C7040D">
            <w:pPr>
              <w:pStyle w:val="Caseheading"/>
            </w:pPr>
            <w:r w:rsidRPr="000F23E0">
              <w:lastRenderedPageBreak/>
              <w:t xml:space="preserve">Case </w:t>
            </w:r>
            <w:r w:rsidR="0073268D" w:rsidRPr="000F23E0">
              <w:t>s</w:t>
            </w:r>
            <w:r w:rsidRPr="000F23E0">
              <w:t xml:space="preserve">tudy 1: </w:t>
            </w:r>
            <w:hyperlink r:id="rId51" w:history="1">
              <w:r w:rsidR="005544B1" w:rsidRPr="000F23E0">
                <w:rPr>
                  <w:rStyle w:val="Hyperlink"/>
                </w:rPr>
                <w:t>Golden Plains Wind Farm</w:t>
              </w:r>
            </w:hyperlink>
          </w:p>
          <w:p w14:paraId="1DDF2597" w14:textId="08290CC9" w:rsidR="001C1AC7" w:rsidRPr="000F23E0" w:rsidRDefault="001C1AC7" w:rsidP="00D05E2B">
            <w:pPr>
              <w:pStyle w:val="BoxText"/>
            </w:pPr>
            <w:r w:rsidRPr="000F23E0">
              <w:t xml:space="preserve">Golden Plains Wind Farm, near Geelong in Victoria, is a key asset in </w:t>
            </w:r>
            <w:r w:rsidR="00BE4A19" w:rsidRPr="000F23E0">
              <w:t xml:space="preserve">the </w:t>
            </w:r>
            <w:r w:rsidRPr="000F23E0">
              <w:t xml:space="preserve">race to decarbonise the electricity grid and is expected to replace energy supply that will be lost when </w:t>
            </w:r>
            <w:r w:rsidR="009115F4" w:rsidRPr="000F23E0">
              <w:t xml:space="preserve">the </w:t>
            </w:r>
            <w:r w:rsidRPr="000F23E0">
              <w:t xml:space="preserve">Yallourn </w:t>
            </w:r>
            <w:r w:rsidR="009115F4" w:rsidRPr="000F23E0">
              <w:t>c</w:t>
            </w:r>
            <w:r w:rsidRPr="000F23E0">
              <w:t>oal</w:t>
            </w:r>
            <w:r w:rsidR="00C0156B" w:rsidRPr="000F23E0">
              <w:noBreakHyphen/>
            </w:r>
            <w:r w:rsidRPr="000F23E0">
              <w:t>fired power station retires in 2028.</w:t>
            </w:r>
          </w:p>
          <w:p w14:paraId="59D6DD09" w14:textId="7C67BA95" w:rsidR="00660A82" w:rsidRPr="000F23E0" w:rsidRDefault="00660A82" w:rsidP="00D05E2B">
            <w:pPr>
              <w:pStyle w:val="BoxText"/>
            </w:pPr>
            <w:r w:rsidRPr="000F23E0">
              <w:t xml:space="preserve">The CEFC has committed up to $350 million in finance toward the construction of the Golden Plains </w:t>
            </w:r>
            <w:r w:rsidR="00B52816" w:rsidRPr="000F23E0">
              <w:t xml:space="preserve">Wind </w:t>
            </w:r>
            <w:r w:rsidRPr="000F23E0">
              <w:t xml:space="preserve">Farm across </w:t>
            </w:r>
            <w:r w:rsidR="007D66E7" w:rsidRPr="000F23E0">
              <w:t xml:space="preserve">2 </w:t>
            </w:r>
            <w:r w:rsidRPr="000F23E0">
              <w:t>stages. When completed</w:t>
            </w:r>
            <w:r w:rsidR="00B05C2E" w:rsidRPr="000F23E0">
              <w:t>,</w:t>
            </w:r>
            <w:r w:rsidRPr="000F23E0">
              <w:t xml:space="preserve"> the total capacity of the Golden Plains Wind Farm will be 1,333 </w:t>
            </w:r>
            <w:r w:rsidR="00847D35" w:rsidRPr="000F23E0">
              <w:t>megawatts</w:t>
            </w:r>
            <w:r w:rsidRPr="000F23E0">
              <w:t xml:space="preserve">. </w:t>
            </w:r>
            <w:r w:rsidR="00611CEF" w:rsidRPr="000F23E0">
              <w:t>GTB</w:t>
            </w:r>
            <w:r w:rsidRPr="000F23E0">
              <w:t>s have contributed to Stage One of this project in the reporting period.</w:t>
            </w:r>
          </w:p>
          <w:p w14:paraId="27308B74" w14:textId="73F13613" w:rsidR="00F171F2" w:rsidRPr="000F23E0" w:rsidRDefault="00F171F2" w:rsidP="00D05E2B">
            <w:pPr>
              <w:pStyle w:val="BoxText"/>
            </w:pPr>
            <w:r w:rsidRPr="000F23E0">
              <w:t>The CEFC committed $222.5</w:t>
            </w:r>
            <w:r w:rsidR="00C0156B" w:rsidRPr="000F23E0">
              <w:t> </w:t>
            </w:r>
            <w:r w:rsidRPr="000F23E0">
              <w:t xml:space="preserve">million in debt finance to the 756 </w:t>
            </w:r>
            <w:r w:rsidR="00B86711" w:rsidRPr="000F23E0">
              <w:t>megawatts</w:t>
            </w:r>
            <w:r w:rsidRPr="000F23E0">
              <w:t xml:space="preserve"> Stage One of the wind farm, known as Golden Plains Wind Farm East, alongside Westpac, Bank of China, Mizuho, German state-owned investment bank KfW, Commonwealth Bank, and Danish Credit Export Agency EKF.</w:t>
            </w:r>
          </w:p>
          <w:p w14:paraId="32334F25" w14:textId="0E15D582" w:rsidR="001C1AC7" w:rsidRPr="000F23E0" w:rsidRDefault="001C1AC7" w:rsidP="00D05E2B">
            <w:pPr>
              <w:pStyle w:val="BoxText"/>
            </w:pPr>
            <w:r w:rsidRPr="000F23E0">
              <w:t>Stage One of the project marked its first generation to the grid in October 2024 and in July</w:t>
            </w:r>
            <w:r w:rsidR="00C0156B" w:rsidRPr="000F23E0">
              <w:t> </w:t>
            </w:r>
            <w:r w:rsidRPr="000F23E0">
              <w:t xml:space="preserve">2025, the Australian </w:t>
            </w:r>
            <w:r w:rsidR="008D64B7" w:rsidRPr="000F23E0">
              <w:t xml:space="preserve">Energy </w:t>
            </w:r>
            <w:r w:rsidRPr="000F23E0">
              <w:t>Market Operator allowed Golden Plains to increase its generating capacity to 560 MW, making it the highest generating wind farm in Australia at the</w:t>
            </w:r>
            <w:r w:rsidR="00C0156B" w:rsidRPr="000F23E0">
              <w:t> </w:t>
            </w:r>
            <w:r w:rsidRPr="000F23E0">
              <w:t>time.</w:t>
            </w:r>
          </w:p>
          <w:p w14:paraId="7A2D7295" w14:textId="395FE46F" w:rsidR="00695949" w:rsidRPr="000F23E0" w:rsidRDefault="00695949" w:rsidP="00D05E2B">
            <w:pPr>
              <w:pStyle w:val="BoxText"/>
            </w:pPr>
            <w:r w:rsidRPr="000F23E0">
              <w:t>The financing attracted global recognition. It was named Asia Pacific Renewables Deal of the</w:t>
            </w:r>
            <w:r w:rsidR="00557D2D" w:rsidRPr="000F23E0">
              <w:t> </w:t>
            </w:r>
            <w:r w:rsidRPr="000F23E0">
              <w:t>Year in the 2022 Project Finance International Awards, which recognise excellence and innovation in project finance transactions and was named among the Global Trade Review Best</w:t>
            </w:r>
            <w:r w:rsidR="00557D2D" w:rsidRPr="000F23E0">
              <w:t> </w:t>
            </w:r>
            <w:r w:rsidRPr="000F23E0">
              <w:t>Deals 2023.</w:t>
            </w:r>
          </w:p>
          <w:p w14:paraId="22FC1676" w14:textId="77777777" w:rsidR="00ED3691" w:rsidRPr="000F23E0" w:rsidRDefault="00ED3691" w:rsidP="00C0156B">
            <w:pPr>
              <w:pStyle w:val="BoxText"/>
              <w:spacing w:after="240"/>
            </w:pPr>
            <w:r w:rsidRPr="000F23E0">
              <w:t xml:space="preserve">During construction, the project is forecast to generate </w:t>
            </w:r>
            <w:r w:rsidR="0043294F" w:rsidRPr="000F23E0">
              <w:t>70</w:t>
            </w:r>
            <w:r w:rsidRPr="000F23E0">
              <w:t>0 new jobs for the local economy</w:t>
            </w:r>
            <w:r w:rsidR="0077227E" w:rsidRPr="000F23E0">
              <w:t xml:space="preserve"> and</w:t>
            </w:r>
            <w:r w:rsidR="00557D2D" w:rsidRPr="000F23E0">
              <w:t> </w:t>
            </w:r>
            <w:r w:rsidR="0077227E" w:rsidRPr="000F23E0">
              <w:t>70 ongoing jobs</w:t>
            </w:r>
            <w:r w:rsidRPr="000F23E0">
              <w:t xml:space="preserve">. </w:t>
            </w:r>
            <w:r w:rsidR="00777854" w:rsidRPr="000F23E0">
              <w:t xml:space="preserve">Community engagement measures at Stage One include a TagEnergy community fund that provides free green electricity to residents living within </w:t>
            </w:r>
            <w:r w:rsidR="00E07FB5" w:rsidRPr="000F23E0">
              <w:t>3</w:t>
            </w:r>
            <w:r w:rsidR="00557D2D" w:rsidRPr="000F23E0">
              <w:t> </w:t>
            </w:r>
            <w:r w:rsidR="00BF3BDB" w:rsidRPr="000F23E0">
              <w:t>km</w:t>
            </w:r>
            <w:r w:rsidR="00777854" w:rsidRPr="000F23E0">
              <w:t>s of a</w:t>
            </w:r>
            <w:r w:rsidR="00557D2D" w:rsidRPr="000F23E0">
              <w:t> </w:t>
            </w:r>
            <w:r w:rsidR="00777854" w:rsidRPr="000F23E0">
              <w:t>turbine,</w:t>
            </w:r>
            <w:r w:rsidR="00557D2D" w:rsidRPr="000F23E0">
              <w:t> </w:t>
            </w:r>
            <w:r w:rsidR="00777854" w:rsidRPr="000F23E0">
              <w:t>and engagement with First Nations peoples to develop Indigenous training scholarships. This program will be extended as part of Stage Two, delivering additional money into the local community.</w:t>
            </w:r>
          </w:p>
          <w:p w14:paraId="0835B53A" w14:textId="77777777" w:rsidR="00C0156B" w:rsidRPr="000F23E0" w:rsidRDefault="00C0156B" w:rsidP="00D05E2B">
            <w:pPr>
              <w:pStyle w:val="BoxText"/>
            </w:pPr>
            <w:r w:rsidRPr="000F23E0">
              <w:drawing>
                <wp:inline distT="0" distB="0" distL="0" distR="0" wp14:anchorId="53880F30" wp14:editId="3B8E86A5">
                  <wp:extent cx="5411972" cy="2820550"/>
                  <wp:effectExtent l="0" t="0" r="0" b="0"/>
                  <wp:docPr id="1371009300" name="Picture 2" descr="Many wind turbines in a flat field with fog covering the groun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009300" name="Picture 2" descr="Many wind turbines in a flat field with fog covering the ground. &#10;"/>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416818" cy="2823075"/>
                          </a:xfrm>
                          <a:prstGeom prst="rect">
                            <a:avLst/>
                          </a:prstGeom>
                        </pic:spPr>
                      </pic:pic>
                    </a:graphicData>
                  </a:graphic>
                </wp:inline>
              </w:drawing>
            </w:r>
          </w:p>
          <w:p w14:paraId="75CA20CD" w14:textId="5A04AE1A" w:rsidR="00C0156B" w:rsidRPr="000F23E0" w:rsidRDefault="00C0156B" w:rsidP="00C0156B">
            <w:pPr>
              <w:pStyle w:val="ChartorTableNote"/>
            </w:pPr>
            <w:r w:rsidRPr="000F23E0">
              <w:t>Golden Plains Wind Farm near Rokewood, Victoria. Photo courtesy of Thomas Darker.</w:t>
            </w:r>
          </w:p>
        </w:tc>
      </w:tr>
    </w:tbl>
    <w:p w14:paraId="580A0D78" w14:textId="4A3F8E3C" w:rsidR="00ED3691" w:rsidRPr="000F23E0" w:rsidRDefault="00ED3691" w:rsidP="009442FD">
      <w:pPr>
        <w:pStyle w:val="Heading2"/>
      </w:pPr>
      <w:bookmarkStart w:id="83" w:name="_Toc225155743"/>
      <w:r w:rsidRPr="000F23E0">
        <w:lastRenderedPageBreak/>
        <w:t xml:space="preserve">Rewiring the </w:t>
      </w:r>
      <w:r w:rsidR="006C590F" w:rsidRPr="000F23E0">
        <w:t>N</w:t>
      </w:r>
      <w:r w:rsidRPr="000F23E0">
        <w:t>ation</w:t>
      </w:r>
      <w:bookmarkEnd w:id="83"/>
    </w:p>
    <w:p w14:paraId="14B399AD" w14:textId="6423416E" w:rsidR="00ED3691" w:rsidRPr="000F23E0" w:rsidRDefault="00ED3691" w:rsidP="00F55854">
      <w:r w:rsidRPr="000F23E0">
        <w:t xml:space="preserve">Through the Rewiring the Nation Fund, the CEFC is investing </w:t>
      </w:r>
      <w:hyperlink r:id="rId53" w:history="1">
        <w:r w:rsidRPr="000F23E0">
          <w:rPr>
            <w:rStyle w:val="Hyperlink"/>
          </w:rPr>
          <w:t>$19 billion</w:t>
        </w:r>
      </w:hyperlink>
      <w:r w:rsidRPr="000F23E0">
        <w:t xml:space="preserve"> on behalf of the Australian Government in projects essential to </w:t>
      </w:r>
      <w:r w:rsidR="007522B9" w:rsidRPr="000F23E0">
        <w:t>achieve</w:t>
      </w:r>
      <w:r w:rsidRPr="000F23E0">
        <w:t xml:space="preserve"> its net zero emissions ambitions. These investments are expected to lower Australia</w:t>
      </w:r>
      <w:r w:rsidR="002C4475" w:rsidRPr="000F23E0">
        <w:t>’</w:t>
      </w:r>
      <w:r w:rsidRPr="000F23E0">
        <w:t xml:space="preserve">s emissions by </w:t>
      </w:r>
      <w:r w:rsidR="001D6D41" w:rsidRPr="000F23E0">
        <w:t xml:space="preserve">contributing to </w:t>
      </w:r>
      <w:r w:rsidRPr="000F23E0">
        <w:t xml:space="preserve">the transition of the </w:t>
      </w:r>
      <w:r w:rsidR="00AF03C2" w:rsidRPr="000F23E0">
        <w:t>National Electricity Market</w:t>
      </w:r>
      <w:r w:rsidRPr="000F23E0">
        <w:t xml:space="preserve"> to 82 per cent renewables by 2030.</w:t>
      </w:r>
    </w:p>
    <w:p w14:paraId="340A60A0" w14:textId="0CD35138" w:rsidR="00ED3691" w:rsidRPr="000F23E0" w:rsidRDefault="00ED3691" w:rsidP="00F55854">
      <w:r w:rsidRPr="000F23E0">
        <w:t>The Australian Energy Market Operator</w:t>
      </w:r>
      <w:r w:rsidR="002C4475" w:rsidRPr="000F23E0">
        <w:t>’</w:t>
      </w:r>
      <w:r w:rsidRPr="000F23E0">
        <w:t xml:space="preserve">s (AEMO) </w:t>
      </w:r>
      <w:r w:rsidR="007E2AC5" w:rsidRPr="000F23E0">
        <w:t xml:space="preserve">Draft </w:t>
      </w:r>
      <w:r w:rsidRPr="000F23E0">
        <w:t xml:space="preserve">Integrated System Plan (ISP) </w:t>
      </w:r>
      <w:r w:rsidR="007E2AC5" w:rsidRPr="000F23E0">
        <w:t xml:space="preserve">for 2026 </w:t>
      </w:r>
      <w:r w:rsidR="00877CD9" w:rsidRPr="000F23E0">
        <w:t xml:space="preserve">expects </w:t>
      </w:r>
      <w:r w:rsidRPr="000F23E0">
        <w:t xml:space="preserve">that the National Electricity Market </w:t>
      </w:r>
      <w:r w:rsidR="00A62298" w:rsidRPr="000F23E0">
        <w:t>will need</w:t>
      </w:r>
      <w:r w:rsidR="005F644D" w:rsidRPr="000F23E0">
        <w:t xml:space="preserve"> </w:t>
      </w:r>
      <w:r w:rsidR="007E2AC5" w:rsidRPr="000F23E0">
        <w:t>6</w:t>
      </w:r>
      <w:r w:rsidRPr="000F23E0">
        <w:t xml:space="preserve">,000 km of </w:t>
      </w:r>
      <w:r w:rsidR="00985020" w:rsidRPr="000F23E0">
        <w:t xml:space="preserve">new </w:t>
      </w:r>
      <w:r w:rsidRPr="000F23E0">
        <w:t xml:space="preserve">transmission </w:t>
      </w:r>
      <w:r w:rsidR="005629C0" w:rsidRPr="000F23E0">
        <w:t>by 2050</w:t>
      </w:r>
      <w:r w:rsidR="005F644D" w:rsidRPr="000F23E0">
        <w:t xml:space="preserve">. These transmission projects would </w:t>
      </w:r>
      <w:r w:rsidR="008D00B8" w:rsidRPr="000F23E0">
        <w:t>deliver</w:t>
      </w:r>
      <w:r w:rsidR="005F644D" w:rsidRPr="000F23E0">
        <w:t xml:space="preserve"> $</w:t>
      </w:r>
      <w:r w:rsidR="008D00B8" w:rsidRPr="000F23E0">
        <w:t>22</w:t>
      </w:r>
      <w:r w:rsidR="005F644D" w:rsidRPr="000F23E0">
        <w:t>.</w:t>
      </w:r>
      <w:r w:rsidR="008D00B8" w:rsidRPr="000F23E0">
        <w:t>3</w:t>
      </w:r>
      <w:r w:rsidR="005F644D" w:rsidRPr="000F23E0">
        <w:t xml:space="preserve"> billion in avoided costs</w:t>
      </w:r>
      <w:r w:rsidR="00CF1AFC" w:rsidRPr="000F23E0">
        <w:t xml:space="preserve"> for consumers</w:t>
      </w:r>
      <w:r w:rsidR="005F644D" w:rsidRPr="000F23E0">
        <w:t xml:space="preserve"> and deliver emissions reductions valued at $</w:t>
      </w:r>
      <w:r w:rsidR="00125CB1" w:rsidRPr="000F23E0">
        <w:t>1</w:t>
      </w:r>
      <w:r w:rsidR="005F644D" w:rsidRPr="000F23E0">
        <w:t>.</w:t>
      </w:r>
      <w:r w:rsidR="00125CB1" w:rsidRPr="000F23E0">
        <w:t>9</w:t>
      </w:r>
      <w:r w:rsidR="005F644D" w:rsidRPr="000F23E0">
        <w:t xml:space="preserve"> billion</w:t>
      </w:r>
      <w:r w:rsidR="00376D7F" w:rsidRPr="000F23E0">
        <w:t>.</w:t>
      </w:r>
      <w:r w:rsidR="00093B26" w:rsidRPr="000F23E0">
        <w:rPr>
          <w:rStyle w:val="EndnoteReference"/>
        </w:rPr>
        <w:endnoteReference w:id="22"/>
      </w:r>
      <w:r w:rsidR="005629C0" w:rsidRPr="000F23E0">
        <w:t xml:space="preserve"> </w:t>
      </w:r>
    </w:p>
    <w:p w14:paraId="14D871AC" w14:textId="198C6038" w:rsidR="00ED3691" w:rsidRPr="000F23E0" w:rsidRDefault="00ED3691" w:rsidP="00F55854">
      <w:r w:rsidRPr="000F23E0">
        <w:t>This major investment in the renewable energy sector will help Australia deliver more affordable and reliable renewable energy. Rewiring the Nation is critical to Australia</w:t>
      </w:r>
      <w:r w:rsidR="002C4475" w:rsidRPr="000F23E0">
        <w:t>’</w:t>
      </w:r>
      <w:r w:rsidRPr="000F23E0">
        <w:t>s 82 per cent renewables target</w:t>
      </w:r>
      <w:r w:rsidR="00387831" w:rsidRPr="000F23E0">
        <w:t>,</w:t>
      </w:r>
      <w:r w:rsidRPr="000F23E0">
        <w:t xml:space="preserve"> 43 per cent emissions reduction target by 2030, </w:t>
      </w:r>
      <w:r w:rsidR="000E1D13" w:rsidRPr="000F23E0">
        <w:t>62</w:t>
      </w:r>
      <w:r w:rsidR="00376D7F" w:rsidRPr="000F23E0">
        <w:t xml:space="preserve"> to </w:t>
      </w:r>
      <w:r w:rsidR="000E1D13" w:rsidRPr="000F23E0">
        <w:t>70</w:t>
      </w:r>
      <w:r w:rsidR="00A1794C" w:rsidRPr="000F23E0">
        <w:t xml:space="preserve"> per cent</w:t>
      </w:r>
      <w:r w:rsidR="000E1D13" w:rsidRPr="000F23E0">
        <w:t xml:space="preserve"> emissions </w:t>
      </w:r>
      <w:r w:rsidR="00BB187B" w:rsidRPr="000F23E0">
        <w:t>reduction target</w:t>
      </w:r>
      <w:r w:rsidR="000E1D13" w:rsidRPr="000F23E0">
        <w:t xml:space="preserve">, </w:t>
      </w:r>
      <w:r w:rsidRPr="000F23E0">
        <w:t xml:space="preserve">and net zero by 2050. </w:t>
      </w:r>
    </w:p>
    <w:p w14:paraId="4E8D89BB" w14:textId="33498A4E" w:rsidR="00ED3691" w:rsidRPr="000F23E0" w:rsidRDefault="00ED3691" w:rsidP="00F55854">
      <w:r w:rsidRPr="000F23E0">
        <w:t xml:space="preserve">The </w:t>
      </w:r>
      <w:r w:rsidR="00E321E1" w:rsidRPr="000F23E0">
        <w:t>Rewiring the Nation Fund</w:t>
      </w:r>
      <w:r w:rsidRPr="000F23E0">
        <w:t xml:space="preserve"> focus</w:t>
      </w:r>
      <w:r w:rsidR="00E52460" w:rsidRPr="000F23E0">
        <w:t>es</w:t>
      </w:r>
      <w:r w:rsidRPr="000F23E0">
        <w:t xml:space="preserve"> on investments that facilitate timely delivery of grid and transmission projects and make clean energy more accessible and affordable for Australian consumers. It aims to accelerate investment in essential projects, including transmission infrastructure, long</w:t>
      </w:r>
      <w:r w:rsidR="002C4475" w:rsidRPr="000F23E0">
        <w:noBreakHyphen/>
      </w:r>
      <w:r w:rsidRPr="000F23E0">
        <w:t>duration storage, electricity distribution network infrastructure and distributed energy resources.</w:t>
      </w:r>
      <w:r w:rsidRPr="000F23E0">
        <w:rPr>
          <w:rStyle w:val="EndnoteReference"/>
        </w:rPr>
        <w:endnoteReference w:id="23"/>
      </w:r>
      <w:r w:rsidRPr="000F23E0">
        <w:rPr>
          <w:rStyle w:val="EndnoteReference"/>
        </w:rPr>
        <w:t xml:space="preserve"> </w:t>
      </w:r>
    </w:p>
    <w:p w14:paraId="0B4E1D88" w14:textId="5F552613" w:rsidR="00560335" w:rsidRPr="000F23E0" w:rsidRDefault="007D1D81" w:rsidP="00560335">
      <w:r w:rsidRPr="000F23E0">
        <w:t>T</w:t>
      </w:r>
      <w:r w:rsidR="00560335" w:rsidRPr="000F23E0">
        <w:t xml:space="preserve">he CEFC has </w:t>
      </w:r>
      <w:r w:rsidR="00EC0439" w:rsidRPr="000F23E0">
        <w:t>annou</w:t>
      </w:r>
      <w:r w:rsidR="00254F87" w:rsidRPr="000F23E0">
        <w:t xml:space="preserve">nced </w:t>
      </w:r>
      <w:r w:rsidRPr="000F23E0">
        <w:t>the following</w:t>
      </w:r>
      <w:r w:rsidR="00254F87" w:rsidRPr="000F23E0">
        <w:t xml:space="preserve"> investment commitments </w:t>
      </w:r>
      <w:r w:rsidRPr="000F23E0">
        <w:t xml:space="preserve">as of 15 </w:t>
      </w:r>
      <w:r w:rsidRPr="000F23E0" w:rsidDel="00A23B62">
        <w:t xml:space="preserve">December </w:t>
      </w:r>
      <w:r w:rsidRPr="000F23E0">
        <w:t>2025</w:t>
      </w:r>
      <w:r w:rsidR="00560335" w:rsidRPr="000F23E0">
        <w:t>:</w:t>
      </w:r>
    </w:p>
    <w:p w14:paraId="520FF798" w14:textId="1C30367F" w:rsidR="00254F87" w:rsidRPr="000F23E0" w:rsidRDefault="00254F87" w:rsidP="00A13EFE">
      <w:pPr>
        <w:pStyle w:val="Bullet"/>
      </w:pPr>
      <w:r w:rsidRPr="000F23E0">
        <w:t>$490 million to Central</w:t>
      </w:r>
      <w:r w:rsidR="002C4475" w:rsidRPr="000F23E0">
        <w:noBreakHyphen/>
      </w:r>
      <w:r w:rsidRPr="000F23E0">
        <w:t>West Orana Renewable Energy Zone</w:t>
      </w:r>
      <w:r w:rsidR="009D6040" w:rsidRPr="000F23E0">
        <w:rPr>
          <w:rStyle w:val="EndnoteReference"/>
        </w:rPr>
        <w:endnoteReference w:id="24"/>
      </w:r>
      <w:r w:rsidRPr="000F23E0">
        <w:t xml:space="preserve"> (Phase 1) (NSW)</w:t>
      </w:r>
    </w:p>
    <w:p w14:paraId="499A608E" w14:textId="1F8C657C" w:rsidR="00254F87" w:rsidRPr="000F23E0" w:rsidRDefault="00254F87" w:rsidP="00A13EFE">
      <w:pPr>
        <w:pStyle w:val="Bullet"/>
      </w:pPr>
      <w:r w:rsidRPr="000F23E0">
        <w:t>$120 million to VNI West</w:t>
      </w:r>
      <w:r w:rsidR="00354FC4" w:rsidRPr="000F23E0">
        <w:rPr>
          <w:rStyle w:val="EndnoteReference"/>
        </w:rPr>
        <w:endnoteReference w:id="25"/>
      </w:r>
      <w:r w:rsidRPr="000F23E0">
        <w:t xml:space="preserve"> (Victoria) (early works)</w:t>
      </w:r>
    </w:p>
    <w:p w14:paraId="4276F55D" w14:textId="55D73B16" w:rsidR="00254F87" w:rsidRPr="000F23E0" w:rsidRDefault="00254F87" w:rsidP="00A13EFE">
      <w:pPr>
        <w:pStyle w:val="Bullet"/>
      </w:pPr>
      <w:r w:rsidRPr="000F23E0">
        <w:t>$100 million to support the NSW Electricity Infrastructure Roadmap</w:t>
      </w:r>
      <w:r w:rsidR="00F34F01" w:rsidRPr="000F23E0">
        <w:rPr>
          <w:rStyle w:val="EndnoteReference"/>
        </w:rPr>
        <w:endnoteReference w:id="26"/>
      </w:r>
    </w:p>
    <w:p w14:paraId="68AFB917" w14:textId="1FF4A47A" w:rsidR="00254F87" w:rsidRPr="000F23E0" w:rsidRDefault="00254F87" w:rsidP="00A13EFE">
      <w:pPr>
        <w:pStyle w:val="Bullet"/>
      </w:pPr>
      <w:r w:rsidRPr="000F23E0">
        <w:t>$1.935 billion to HumeLink</w:t>
      </w:r>
      <w:r w:rsidR="00771D9D" w:rsidRPr="000F23E0">
        <w:rPr>
          <w:rStyle w:val="EndnoteReference"/>
        </w:rPr>
        <w:endnoteReference w:id="27"/>
      </w:r>
      <w:r w:rsidRPr="000F23E0">
        <w:t xml:space="preserve"> </w:t>
      </w:r>
      <w:r w:rsidR="00771D9D" w:rsidRPr="000F23E0">
        <w:t>(</w:t>
      </w:r>
      <w:r w:rsidRPr="000F23E0">
        <w:t>NSW</w:t>
      </w:r>
      <w:r w:rsidR="00771D9D" w:rsidRPr="000F23E0">
        <w:t>)</w:t>
      </w:r>
    </w:p>
    <w:p w14:paraId="385C8C0F" w14:textId="331C600E" w:rsidR="00254F87" w:rsidRPr="000F23E0" w:rsidRDefault="00254F87" w:rsidP="00A13EFE">
      <w:pPr>
        <w:pStyle w:val="Bullet"/>
      </w:pPr>
      <w:r w:rsidRPr="000F23E0">
        <w:t>$750 million to Central</w:t>
      </w:r>
      <w:r w:rsidR="002C4475" w:rsidRPr="000F23E0">
        <w:noBreakHyphen/>
      </w:r>
      <w:r w:rsidRPr="000F23E0">
        <w:t>West Orana Renewable Energy Zone</w:t>
      </w:r>
      <w:r w:rsidR="00354FC4" w:rsidRPr="000F23E0">
        <w:rPr>
          <w:rStyle w:val="EndnoteReference"/>
        </w:rPr>
        <w:endnoteReference w:id="28"/>
      </w:r>
      <w:r w:rsidRPr="000F23E0">
        <w:t xml:space="preserve"> (NSW) </w:t>
      </w:r>
    </w:p>
    <w:p w14:paraId="5175FA15" w14:textId="1DD5D411" w:rsidR="00254F87" w:rsidRPr="000F23E0" w:rsidRDefault="00254F87" w:rsidP="00E321E1">
      <w:pPr>
        <w:pStyle w:val="Bullet"/>
      </w:pPr>
      <w:r w:rsidRPr="000F23E0">
        <w:t>$140 million to VNI West</w:t>
      </w:r>
      <w:r w:rsidR="007977B4" w:rsidRPr="000F23E0">
        <w:rPr>
          <w:rStyle w:val="EndnoteReference"/>
        </w:rPr>
        <w:endnoteReference w:id="29"/>
      </w:r>
      <w:r w:rsidRPr="000F23E0">
        <w:t xml:space="preserve"> (NSW) (early works)</w:t>
      </w:r>
    </w:p>
    <w:p w14:paraId="3607E147" w14:textId="60E212EF" w:rsidR="00254F87" w:rsidRPr="000F23E0" w:rsidRDefault="00254F87" w:rsidP="00E321E1">
      <w:pPr>
        <w:pStyle w:val="Bullet"/>
      </w:pPr>
      <w:r w:rsidRPr="000F23E0">
        <w:t>$3.8 billion to Marinus Link</w:t>
      </w:r>
      <w:r w:rsidR="00666DAD" w:rsidRPr="000F23E0">
        <w:rPr>
          <w:rStyle w:val="EndnoteReference"/>
        </w:rPr>
        <w:endnoteReference w:id="30"/>
      </w:r>
      <w:r w:rsidRPr="000F23E0">
        <w:t xml:space="preserve"> (Victoria and Tasmania)</w:t>
      </w:r>
    </w:p>
    <w:p w14:paraId="675A3EFA" w14:textId="66F4F256" w:rsidR="00254F87" w:rsidRPr="000F23E0" w:rsidRDefault="00254F87" w:rsidP="00254F87">
      <w:r w:rsidRPr="000F23E0">
        <w:t>Further details on these investment commitments can be found in the CEFC</w:t>
      </w:r>
      <w:r w:rsidR="002C4475" w:rsidRPr="000F23E0">
        <w:t>’</w:t>
      </w:r>
      <w:r w:rsidRPr="000F23E0">
        <w:t xml:space="preserve">s Annual Reports. </w:t>
      </w:r>
    </w:p>
    <w:p w14:paraId="1D41D5B3" w14:textId="4F7077E7" w:rsidR="00560335" w:rsidRPr="000F23E0" w:rsidRDefault="00560335" w:rsidP="00560335">
      <w:r w:rsidRPr="000F23E0">
        <w:t>As projects progress, including reaching final investment decision</w:t>
      </w:r>
      <w:r w:rsidR="00C3342A" w:rsidRPr="000F23E0">
        <w:t>s</w:t>
      </w:r>
      <w:r w:rsidRPr="000F23E0">
        <w:t>, the rollout of Rewiring the Nation capital is expected to continue in future years. New eligible investments financed from the Rewiring the Nation Fund will be reported in future Green Bond Allocation and Impact Reports.</w:t>
      </w:r>
    </w:p>
    <w:p w14:paraId="26E9B841" w14:textId="180B677B" w:rsidR="00ED3691" w:rsidRPr="000F23E0" w:rsidRDefault="008C7DBA" w:rsidP="00F55854">
      <w:r w:rsidRPr="000F23E0">
        <w:t>T</w:t>
      </w:r>
      <w:r w:rsidR="00ED3691" w:rsidRPr="000F23E0">
        <w:t>ransmission and distribution infrastructure projects are only included as Eligible Green Expenditures if more than 67 per cent of newly enabled generation capacity in the system is below 100</w:t>
      </w:r>
      <w:r w:rsidR="002F49AE" w:rsidRPr="000F23E0">
        <w:t xml:space="preserve"> gCO</w:t>
      </w:r>
      <w:r w:rsidR="002F49AE" w:rsidRPr="000F23E0">
        <w:rPr>
          <w:vertAlign w:val="subscript"/>
        </w:rPr>
        <w:t>2</w:t>
      </w:r>
      <w:r w:rsidR="002C4475" w:rsidRPr="000F23E0">
        <w:noBreakHyphen/>
      </w:r>
      <w:r w:rsidR="002F49AE" w:rsidRPr="000F23E0">
        <w:t>e/</w:t>
      </w:r>
      <w:r w:rsidR="00ED3691" w:rsidRPr="000F23E0">
        <w:t>kWh</w:t>
      </w:r>
      <w:r w:rsidR="002F49AE" w:rsidRPr="000F23E0">
        <w:t xml:space="preserve"> </w:t>
      </w:r>
      <w:r w:rsidR="00ED3691" w:rsidRPr="000F23E0">
        <w:t xml:space="preserve">over a rolling </w:t>
      </w:r>
      <w:r w:rsidR="00731F0A" w:rsidRPr="000F23E0">
        <w:t>5</w:t>
      </w:r>
      <w:r w:rsidR="002C4475" w:rsidRPr="000F23E0">
        <w:noBreakHyphen/>
      </w:r>
      <w:r w:rsidR="00ED3691" w:rsidRPr="000F23E0">
        <w:t>year period.</w:t>
      </w:r>
    </w:p>
    <w:p w14:paraId="572F0E1A" w14:textId="23AB878A" w:rsidR="007F6349" w:rsidRPr="000F23E0" w:rsidRDefault="007F6349" w:rsidP="00551F72">
      <w:pPr>
        <w:pStyle w:val="ChartMainHeading"/>
      </w:pPr>
      <w:bookmarkStart w:id="84" w:name="_Toc220610586"/>
      <w:bookmarkStart w:id="85" w:name="_Toc220597356"/>
      <w:bookmarkStart w:id="86" w:name="_Toc224637793"/>
      <w:bookmarkStart w:id="87" w:name="_Toc224642457"/>
      <w:bookmarkStart w:id="88" w:name="_Toc225153433"/>
      <w:bookmarkStart w:id="89" w:name="_Toc225154479"/>
      <w:bookmarkStart w:id="90" w:name="_Toc225155744"/>
      <w:r w:rsidRPr="000F23E0">
        <w:lastRenderedPageBreak/>
        <w:t xml:space="preserve">Figure </w:t>
      </w:r>
      <w:r w:rsidR="00AB41A7" w:rsidRPr="000F23E0">
        <w:t>6</w:t>
      </w:r>
      <w:r w:rsidR="009856B4" w:rsidRPr="000F23E0">
        <w:t>:</w:t>
      </w:r>
      <w:r w:rsidRPr="000F23E0">
        <w:t xml:space="preserve"> Map of Rewiring the Nation </w:t>
      </w:r>
      <w:r w:rsidR="00496B5B" w:rsidRPr="000F23E0">
        <w:t>p</w:t>
      </w:r>
      <w:r w:rsidRPr="000F23E0">
        <w:t>rojects</w:t>
      </w:r>
      <w:bookmarkEnd w:id="84"/>
      <w:bookmarkEnd w:id="85"/>
      <w:bookmarkEnd w:id="86"/>
      <w:bookmarkEnd w:id="87"/>
      <w:bookmarkEnd w:id="88"/>
      <w:bookmarkEnd w:id="89"/>
      <w:bookmarkEnd w:id="90"/>
    </w:p>
    <w:p w14:paraId="7CC342BB" w14:textId="034D1487" w:rsidR="00C22737" w:rsidRPr="000F23E0" w:rsidRDefault="00AB0161" w:rsidP="00CB3822">
      <w:pPr>
        <w:pStyle w:val="ChartGraphic"/>
      </w:pPr>
      <w:r w:rsidRPr="000F23E0">
        <w:drawing>
          <wp:inline distT="0" distB="0" distL="0" distR="0" wp14:anchorId="4EFF3053" wp14:editId="3AE67E66">
            <wp:extent cx="5759450" cy="8129905"/>
            <wp:effectExtent l="19050" t="19050" r="12700" b="23495"/>
            <wp:docPr id="807679047" name="Picture 3" descr="Figure 6 is a map of Australia showing the locations of key Rewiring the Nation projects. It highlights major cities including Brisbane, Sydney, Canberra, Melbourne, Adelaide, and Hobart, along with existing electricity transmission networks and interconnectors. The map identifies the Central‑West Orana Renewable Energy Zone in New South Wales, the HumeLink project connecting Wagga Wagga, Bannaby and Maragle, and the Marinus Link connecting Tasmania to Victo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679047" name="Picture 3" descr="Figure 6 is a map of Australia showing the locations of key Rewiring the Nation projects. It highlights major cities including Brisbane, Sydney, Canberra, Melbourne, Adelaide, and Hobart, along with existing electricity transmission networks and interconnectors. The map identifies the Central‑West Orana Renewable Energy Zone in New South Wales, the HumeLink project connecting Wagga Wagga, Bannaby and Maragle, and the Marinus Link connecting Tasmania to Victoria."/>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59450" cy="8129905"/>
                    </a:xfrm>
                    <a:prstGeom prst="rect">
                      <a:avLst/>
                    </a:prstGeom>
                    <a:noFill/>
                    <a:ln w="3175">
                      <a:solidFill>
                        <a:srgbClr val="B54A26"/>
                      </a:solidFill>
                    </a:ln>
                  </pic:spPr>
                </pic:pic>
              </a:graphicData>
            </a:graphic>
          </wp:inline>
        </w:drawing>
      </w:r>
    </w:p>
    <w:p w14:paraId="6F4E6FF9" w14:textId="6150D35A" w:rsidR="00ED3691" w:rsidRPr="000F23E0" w:rsidRDefault="00ED3691" w:rsidP="0083323D">
      <w:pPr>
        <w:pStyle w:val="Heading3"/>
      </w:pPr>
      <w:r w:rsidRPr="000F23E0">
        <w:lastRenderedPageBreak/>
        <w:t xml:space="preserve">Green Treasury Bond </w:t>
      </w:r>
      <w:r w:rsidR="00496B5B" w:rsidRPr="000F23E0">
        <w:t>a</w:t>
      </w:r>
      <w:r w:rsidRPr="000F23E0">
        <w:t>llocation</w:t>
      </w:r>
    </w:p>
    <w:p w14:paraId="2F2AA5E9" w14:textId="7D7D3A54" w:rsidR="00ED3691" w:rsidRPr="000F23E0" w:rsidRDefault="00611CEF" w:rsidP="00F55854">
      <w:r w:rsidRPr="000F23E0">
        <w:t>GTB</w:t>
      </w:r>
      <w:r w:rsidR="00ED3691" w:rsidRPr="000F23E0">
        <w:t>s contributed $</w:t>
      </w:r>
      <w:r w:rsidR="00EB5A6A" w:rsidRPr="000F23E0">
        <w:t>820.0</w:t>
      </w:r>
      <w:r w:rsidR="00ED3691" w:rsidRPr="000F23E0">
        <w:t xml:space="preserve"> million in 202</w:t>
      </w:r>
      <w:r w:rsidR="00A26E81" w:rsidRPr="000F23E0">
        <w:t>4</w:t>
      </w:r>
      <w:r w:rsidR="00A055D4" w:rsidRPr="000F23E0">
        <w:t>–</w:t>
      </w:r>
      <w:r w:rsidR="00A26E81" w:rsidRPr="000F23E0">
        <w:t>25</w:t>
      </w:r>
      <w:r w:rsidR="00ED3691" w:rsidRPr="000F23E0">
        <w:t xml:space="preserve"> towards Rewiring the</w:t>
      </w:r>
      <w:r w:rsidR="00ED3691" w:rsidRPr="000F23E0" w:rsidDel="00B11F15">
        <w:t xml:space="preserve"> Nation</w:t>
      </w:r>
      <w:r w:rsidR="00ED6251" w:rsidRPr="000F23E0">
        <w:t xml:space="preserve"> </w:t>
      </w:r>
      <w:r w:rsidR="00CE0B1A" w:rsidRPr="000F23E0">
        <w:t xml:space="preserve">(Table </w:t>
      </w:r>
      <w:r w:rsidR="008D3A2F" w:rsidRPr="000F23E0">
        <w:t>5</w:t>
      </w:r>
      <w:r w:rsidR="00CE0B1A" w:rsidRPr="000F23E0">
        <w:t>)</w:t>
      </w:r>
      <w:r w:rsidR="00680184" w:rsidRPr="000F23E0">
        <w:t>.</w:t>
      </w:r>
    </w:p>
    <w:p w14:paraId="122B9844" w14:textId="03703FE7" w:rsidR="00ED3691" w:rsidRPr="000F23E0" w:rsidRDefault="00ED3691" w:rsidP="00F55854">
      <w:r w:rsidRPr="000F23E0">
        <w:t>The total Government contribution represents the total Rewiring the Nation Fund investment capital at 3</w:t>
      </w:r>
      <w:r w:rsidR="0029455E" w:rsidRPr="000F23E0">
        <w:t>0</w:t>
      </w:r>
      <w:r w:rsidRPr="000F23E0" w:rsidDel="0029455E">
        <w:t xml:space="preserve"> </w:t>
      </w:r>
      <w:r w:rsidR="0029455E" w:rsidRPr="000F23E0">
        <w:t xml:space="preserve">June </w:t>
      </w:r>
      <w:r w:rsidRPr="000F23E0">
        <w:t>202</w:t>
      </w:r>
      <w:r w:rsidR="0029455E" w:rsidRPr="000F23E0">
        <w:t>5</w:t>
      </w:r>
      <w:r w:rsidRPr="000F23E0">
        <w:t xml:space="preserve">. </w:t>
      </w:r>
      <w:r w:rsidR="00A60985" w:rsidRPr="000F23E0">
        <w:t xml:space="preserve">During the reporting year </w:t>
      </w:r>
      <w:r w:rsidR="00A60985" w:rsidRPr="000F23E0" w:rsidDel="00184077">
        <w:t xml:space="preserve">the </w:t>
      </w:r>
      <w:r w:rsidR="00A60985" w:rsidRPr="000F23E0">
        <w:t xml:space="preserve">Australian Government </w:t>
      </w:r>
      <w:r w:rsidR="003D1474" w:rsidRPr="000F23E0">
        <w:t xml:space="preserve">announced </w:t>
      </w:r>
      <w:r w:rsidR="00A60985" w:rsidRPr="000F23E0">
        <w:t xml:space="preserve">an additional $650 million to the </w:t>
      </w:r>
      <w:r w:rsidR="00184077" w:rsidRPr="000F23E0">
        <w:t>CEFC</w:t>
      </w:r>
      <w:r w:rsidR="002C4475" w:rsidRPr="000F23E0">
        <w:t>’</w:t>
      </w:r>
      <w:r w:rsidR="00184077" w:rsidRPr="000F23E0">
        <w:t xml:space="preserve">s </w:t>
      </w:r>
      <w:r w:rsidR="00A60985" w:rsidRPr="000F23E0">
        <w:t>Rewiring the Nation Fund</w:t>
      </w:r>
      <w:r w:rsidR="000818D4" w:rsidRPr="000F23E0">
        <w:t xml:space="preserve">. Once </w:t>
      </w:r>
      <w:r w:rsidR="00D24E93" w:rsidRPr="000F23E0">
        <w:t xml:space="preserve">finalised, </w:t>
      </w:r>
      <w:r w:rsidR="00A60985" w:rsidRPr="000F23E0">
        <w:t xml:space="preserve">the total Australian Government </w:t>
      </w:r>
      <w:r w:rsidR="000A5C65" w:rsidRPr="000F23E0">
        <w:t>c</w:t>
      </w:r>
      <w:r w:rsidR="00A60985" w:rsidRPr="000F23E0">
        <w:t xml:space="preserve">ontribution </w:t>
      </w:r>
      <w:r w:rsidR="003A2EC9" w:rsidRPr="000F23E0">
        <w:t>will be</w:t>
      </w:r>
      <w:r w:rsidR="00A60985" w:rsidRPr="000F23E0">
        <w:t> $19.65 billion</w:t>
      </w:r>
      <w:r w:rsidRPr="000F23E0">
        <w:t xml:space="preserve">. </w:t>
      </w:r>
    </w:p>
    <w:p w14:paraId="14A5F009" w14:textId="64C46FA6" w:rsidR="00ED3691" w:rsidRPr="000F23E0" w:rsidRDefault="00DE1DEC" w:rsidP="00F55854">
      <w:r w:rsidRPr="000F23E0">
        <w:t>Al</w:t>
      </w:r>
      <w:r w:rsidR="00ED3691" w:rsidRPr="000F23E0">
        <w:t>location reporting reflects all CEFC Rewiring the Nation Fund projects over the reporting period on an aggregated basis</w:t>
      </w:r>
      <w:r w:rsidRPr="000F23E0">
        <w:t xml:space="preserve"> </w:t>
      </w:r>
      <w:r w:rsidR="00D11F40" w:rsidRPr="000F23E0">
        <w:t>t</w:t>
      </w:r>
      <w:r w:rsidRPr="000F23E0">
        <w:t>o maintain commercial confidentiality</w:t>
      </w:r>
      <w:r w:rsidR="00ED3691" w:rsidRPr="000F23E0">
        <w:t>.</w:t>
      </w:r>
    </w:p>
    <w:p w14:paraId="3CF63E78" w14:textId="6DE5982C" w:rsidR="00ED3691" w:rsidRPr="000F23E0" w:rsidRDefault="00ED3691" w:rsidP="00551F72">
      <w:pPr>
        <w:pStyle w:val="TableMainHeading"/>
      </w:pPr>
      <w:bookmarkStart w:id="91" w:name="_Toc220662865"/>
      <w:bookmarkStart w:id="92" w:name="_Toc224637794"/>
      <w:bookmarkStart w:id="93" w:name="_Toc224642458"/>
      <w:bookmarkStart w:id="94" w:name="_Toc225153434"/>
      <w:bookmarkStart w:id="95" w:name="_Toc225154480"/>
      <w:bookmarkStart w:id="96" w:name="_Toc225155745"/>
      <w:r w:rsidRPr="000F23E0">
        <w:t xml:space="preserve">Table </w:t>
      </w:r>
      <w:r w:rsidR="008D3A2F" w:rsidRPr="000F23E0">
        <w:t>5</w:t>
      </w:r>
      <w:r w:rsidR="00627058" w:rsidRPr="000F23E0">
        <w:t>:</w:t>
      </w:r>
      <w:r w:rsidRPr="000F23E0">
        <w:t xml:space="preserve"> Allocation Data for Rewiring the Nation ($ million)</w:t>
      </w:r>
      <w:bookmarkEnd w:id="91"/>
      <w:bookmarkEnd w:id="92"/>
      <w:bookmarkEnd w:id="93"/>
      <w:bookmarkEnd w:id="94"/>
      <w:bookmarkEnd w:id="95"/>
      <w:bookmarkEnd w:id="96"/>
    </w:p>
    <w:tbl>
      <w:tblPr>
        <w:tblStyle w:val="GridTable4-Accent2"/>
        <w:tblW w:w="5000" w:type="pct"/>
        <w:tblInd w:w="-3" w:type="dxa"/>
        <w:tblBorders>
          <w:top w:val="single" w:sz="4" w:space="0" w:color="D77A5B"/>
          <w:bottom w:val="single" w:sz="4" w:space="0" w:color="D77A5B"/>
          <w:insideH w:val="single" w:sz="4" w:space="0" w:color="D77A5B"/>
        </w:tblBorders>
        <w:tblLayout w:type="fixed"/>
        <w:tblLook w:val="04A0" w:firstRow="1" w:lastRow="0" w:firstColumn="1" w:lastColumn="0" w:noHBand="0" w:noVBand="1"/>
      </w:tblPr>
      <w:tblGrid>
        <w:gridCol w:w="2059"/>
        <w:gridCol w:w="1785"/>
        <w:gridCol w:w="1786"/>
        <w:gridCol w:w="3440"/>
      </w:tblGrid>
      <w:tr w:rsidR="00EB7950" w:rsidRPr="000F23E0" w14:paraId="082FC889" w14:textId="77777777" w:rsidTr="00026C82">
        <w:trPr>
          <w:cnfStyle w:val="100000000000" w:firstRow="1" w:lastRow="0" w:firstColumn="0" w:lastColumn="0" w:oddVBand="0" w:evenVBand="0" w:oddHBand="0" w:evenHBand="0" w:firstRowFirstColumn="0" w:firstRowLastColumn="0" w:lastRowFirstColumn="0" w:lastRowLastColumn="0"/>
          <w:trHeight w:val="244"/>
        </w:trPr>
        <w:tc>
          <w:tcPr>
            <w:cnfStyle w:val="001000000000" w:firstRow="0" w:lastRow="0" w:firstColumn="1" w:lastColumn="0" w:oddVBand="0" w:evenVBand="0" w:oddHBand="0" w:evenHBand="0" w:firstRowFirstColumn="0" w:firstRowLastColumn="0" w:lastRowFirstColumn="0" w:lastRowLastColumn="0"/>
            <w:tcW w:w="2125" w:type="dxa"/>
            <w:shd w:val="clear" w:color="auto" w:fill="F1D0C6"/>
          </w:tcPr>
          <w:p w14:paraId="4DC75A15" w14:textId="4C14C4CA" w:rsidR="00BF3D7B" w:rsidRPr="000F23E0" w:rsidRDefault="00BF3D7B" w:rsidP="0062237F">
            <w:pPr>
              <w:pStyle w:val="TableColumnHeadingLeft"/>
              <w:rPr>
                <w:b/>
                <w:bCs w:val="0"/>
              </w:rPr>
            </w:pPr>
            <w:r w:rsidRPr="000F23E0">
              <w:rPr>
                <w:b/>
                <w:bCs w:val="0"/>
              </w:rPr>
              <w:t>Eligible Green Expenditure</w:t>
            </w:r>
          </w:p>
        </w:tc>
        <w:tc>
          <w:tcPr>
            <w:tcW w:w="1842" w:type="dxa"/>
            <w:shd w:val="clear" w:color="auto" w:fill="F1D0C6"/>
          </w:tcPr>
          <w:p w14:paraId="641EFC89" w14:textId="1EBB882D" w:rsidR="00BF3D7B" w:rsidRPr="000F23E0" w:rsidRDefault="00BF3D7B" w:rsidP="0062237F">
            <w:pPr>
              <w:pStyle w:val="TableColumnHeadingRight"/>
              <w:cnfStyle w:val="100000000000" w:firstRow="1" w:lastRow="0" w:firstColumn="0" w:lastColumn="0" w:oddVBand="0" w:evenVBand="0" w:oddHBand="0" w:evenHBand="0" w:firstRowFirstColumn="0" w:firstRowLastColumn="0" w:lastRowFirstColumn="0" w:lastRowLastColumn="0"/>
              <w:rPr>
                <w:b/>
                <w:bCs w:val="0"/>
              </w:rPr>
            </w:pPr>
            <w:r w:rsidRPr="000F23E0">
              <w:rPr>
                <w:b/>
                <w:bCs w:val="0"/>
              </w:rPr>
              <w:t xml:space="preserve">2024–25 Expenditure </w:t>
            </w:r>
          </w:p>
        </w:tc>
        <w:tc>
          <w:tcPr>
            <w:tcW w:w="1843" w:type="dxa"/>
            <w:shd w:val="clear" w:color="auto" w:fill="F1D0C6"/>
          </w:tcPr>
          <w:p w14:paraId="73D7C552" w14:textId="030C1F41" w:rsidR="00BF3D7B" w:rsidRPr="000F23E0" w:rsidRDefault="00EA0F10" w:rsidP="0062237F">
            <w:pPr>
              <w:pStyle w:val="TableColumnHeadingRight"/>
              <w:cnfStyle w:val="100000000000" w:firstRow="1" w:lastRow="0" w:firstColumn="0" w:lastColumn="0" w:oddVBand="0" w:evenVBand="0" w:oddHBand="0" w:evenHBand="0" w:firstRowFirstColumn="0" w:firstRowLastColumn="0" w:lastRowFirstColumn="0" w:lastRowLastColumn="0"/>
              <w:rPr>
                <w:b/>
                <w:bCs w:val="0"/>
              </w:rPr>
            </w:pPr>
            <w:r w:rsidRPr="000F23E0">
              <w:rPr>
                <w:b/>
                <w:bCs w:val="0"/>
              </w:rPr>
              <w:t>Allocation 2026 Report</w:t>
            </w:r>
            <w:r w:rsidR="00BF3D7B" w:rsidRPr="000F23E0">
              <w:rPr>
                <w:b/>
                <w:bCs w:val="0"/>
              </w:rPr>
              <w:t xml:space="preserve"> </w:t>
            </w:r>
          </w:p>
        </w:tc>
        <w:tc>
          <w:tcPr>
            <w:tcW w:w="3554" w:type="dxa"/>
            <w:shd w:val="clear" w:color="auto" w:fill="F1D0C6"/>
          </w:tcPr>
          <w:p w14:paraId="37B9D7FF" w14:textId="7C663431" w:rsidR="00BF3D7B" w:rsidRPr="000F23E0" w:rsidRDefault="00BF3D7B" w:rsidP="0062237F">
            <w:pPr>
              <w:pStyle w:val="TableColumnHeadingRight"/>
              <w:cnfStyle w:val="100000000000" w:firstRow="1" w:lastRow="0" w:firstColumn="0" w:lastColumn="0" w:oddVBand="0" w:evenVBand="0" w:oddHBand="0" w:evenHBand="0" w:firstRowFirstColumn="0" w:firstRowLastColumn="0" w:lastRowFirstColumn="0" w:lastRowLastColumn="0"/>
              <w:rPr>
                <w:b/>
                <w:bCs w:val="0"/>
              </w:rPr>
            </w:pPr>
            <w:r w:rsidRPr="000F23E0">
              <w:rPr>
                <w:b/>
                <w:bCs w:val="0"/>
              </w:rPr>
              <w:t>Total Australian Government Contribution</w:t>
            </w:r>
            <w:r w:rsidR="009019D7" w:rsidRPr="000F23E0">
              <w:rPr>
                <w:vertAlign w:val="superscript"/>
              </w:rPr>
              <w:t>(a)</w:t>
            </w:r>
            <w:r w:rsidRPr="000F23E0">
              <w:rPr>
                <w:b/>
                <w:bCs w:val="0"/>
              </w:rPr>
              <w:t xml:space="preserve"> </w:t>
            </w:r>
          </w:p>
        </w:tc>
      </w:tr>
      <w:tr w:rsidR="00EB7950" w:rsidRPr="000F23E0" w14:paraId="7946BE3F" w14:textId="77777777" w:rsidTr="00026C82">
        <w:trPr>
          <w:trHeight w:val="246"/>
        </w:trPr>
        <w:tc>
          <w:tcPr>
            <w:cnfStyle w:val="001000000000" w:firstRow="0" w:lastRow="0" w:firstColumn="1" w:lastColumn="0" w:oddVBand="0" w:evenVBand="0" w:oddHBand="0" w:evenHBand="0" w:firstRowFirstColumn="0" w:firstRowLastColumn="0" w:lastRowFirstColumn="0" w:lastRowLastColumn="0"/>
            <w:tcW w:w="2125" w:type="dxa"/>
            <w:shd w:val="clear" w:color="auto" w:fill="FDF0E7"/>
          </w:tcPr>
          <w:p w14:paraId="18FD7828" w14:textId="77777777" w:rsidR="00BF3D7B" w:rsidRPr="000F23E0" w:rsidRDefault="00BF3D7B" w:rsidP="0062237F">
            <w:pPr>
              <w:pStyle w:val="TableTextLeft"/>
            </w:pPr>
            <w:r w:rsidRPr="000F23E0">
              <w:t>Rewiring the Nation</w:t>
            </w:r>
          </w:p>
        </w:tc>
        <w:tc>
          <w:tcPr>
            <w:tcW w:w="1842" w:type="dxa"/>
            <w:shd w:val="clear" w:color="auto" w:fill="FEFAF8"/>
          </w:tcPr>
          <w:p w14:paraId="0DE515A9" w14:textId="32BCE52D" w:rsidR="00BF3D7B" w:rsidRPr="000F23E0" w:rsidRDefault="00BF3D7B" w:rsidP="0062237F">
            <w:pPr>
              <w:pStyle w:val="TableTextRight"/>
              <w:cnfStyle w:val="000000000000" w:firstRow="0" w:lastRow="0" w:firstColumn="0" w:lastColumn="0" w:oddVBand="0" w:evenVBand="0" w:oddHBand="0" w:evenHBand="0" w:firstRowFirstColumn="0" w:firstRowLastColumn="0" w:lastRowFirstColumn="0" w:lastRowLastColumn="0"/>
            </w:pPr>
            <w:r w:rsidRPr="000F23E0">
              <w:t>1,515</w:t>
            </w:r>
          </w:p>
        </w:tc>
        <w:tc>
          <w:tcPr>
            <w:tcW w:w="1843" w:type="dxa"/>
            <w:shd w:val="clear" w:color="auto" w:fill="FEFAF8"/>
          </w:tcPr>
          <w:p w14:paraId="26FA042B" w14:textId="202299C1" w:rsidR="00BF3D7B" w:rsidRPr="000F23E0" w:rsidRDefault="00BF3D7B" w:rsidP="0062237F">
            <w:pPr>
              <w:pStyle w:val="TableTextRight"/>
              <w:cnfStyle w:val="000000000000" w:firstRow="0" w:lastRow="0" w:firstColumn="0" w:lastColumn="0" w:oddVBand="0" w:evenVBand="0" w:oddHBand="0" w:evenHBand="0" w:firstRowFirstColumn="0" w:firstRowLastColumn="0" w:lastRowFirstColumn="0" w:lastRowLastColumn="0"/>
            </w:pPr>
            <w:r w:rsidRPr="000F23E0">
              <w:t>820</w:t>
            </w:r>
          </w:p>
        </w:tc>
        <w:tc>
          <w:tcPr>
            <w:tcW w:w="3554" w:type="dxa"/>
            <w:shd w:val="clear" w:color="auto" w:fill="FEFAF8"/>
          </w:tcPr>
          <w:p w14:paraId="607EB0B3" w14:textId="5A8FE25D" w:rsidR="00BF3D7B" w:rsidRPr="000F23E0" w:rsidRDefault="00BF3D7B" w:rsidP="0062237F">
            <w:pPr>
              <w:pStyle w:val="TableTextRight"/>
              <w:cnfStyle w:val="000000000000" w:firstRow="0" w:lastRow="0" w:firstColumn="0" w:lastColumn="0" w:oddVBand="0" w:evenVBand="0" w:oddHBand="0" w:evenHBand="0" w:firstRowFirstColumn="0" w:firstRowLastColumn="0" w:lastRowFirstColumn="0" w:lastRowLastColumn="0"/>
            </w:pPr>
            <w:r w:rsidRPr="000F23E0">
              <w:t>19,000</w:t>
            </w:r>
          </w:p>
        </w:tc>
      </w:tr>
    </w:tbl>
    <w:p w14:paraId="62921B7F" w14:textId="62888D46" w:rsidR="009019D7" w:rsidRPr="000F23E0" w:rsidRDefault="00D04224" w:rsidP="00AB03C9">
      <w:pPr>
        <w:pStyle w:val="ChartandTableFootnoteAlpha"/>
        <w:numPr>
          <w:ilvl w:val="0"/>
          <w:numId w:val="55"/>
        </w:numPr>
      </w:pPr>
      <w:r w:rsidRPr="000F23E0">
        <w:t xml:space="preserve">Based on the </w:t>
      </w:r>
      <w:hyperlink r:id="rId55" w:history="1">
        <w:r w:rsidR="00A80A1B" w:rsidRPr="000F23E0">
          <w:rPr>
            <w:rStyle w:val="Hyperlink"/>
          </w:rPr>
          <w:t>Clean Energy Finance Corporation Investment Mandate Direction 2023</w:t>
        </w:r>
      </w:hyperlink>
      <w:r w:rsidR="00A80A1B" w:rsidRPr="000F23E0">
        <w:t>.</w:t>
      </w:r>
    </w:p>
    <w:p w14:paraId="72B952CA" w14:textId="3B86B762" w:rsidR="00ED3691" w:rsidRPr="000F23E0" w:rsidRDefault="00ED3691" w:rsidP="00E4322A">
      <w:pPr>
        <w:pStyle w:val="Heading4"/>
      </w:pPr>
      <w:r w:rsidRPr="000F23E0">
        <w:t>Co</w:t>
      </w:r>
      <w:r w:rsidR="002C4475" w:rsidRPr="000F23E0">
        <w:noBreakHyphen/>
      </w:r>
      <w:r w:rsidRPr="000F23E0">
        <w:t xml:space="preserve">financing </w:t>
      </w:r>
      <w:r w:rsidR="00496B5B" w:rsidRPr="000F23E0">
        <w:t>a</w:t>
      </w:r>
      <w:r w:rsidRPr="000F23E0">
        <w:t>rrangements</w:t>
      </w:r>
    </w:p>
    <w:p w14:paraId="4AAA0552" w14:textId="44C29B51" w:rsidR="00ED3691" w:rsidRPr="000F23E0" w:rsidRDefault="00ED3691" w:rsidP="007C613D">
      <w:r w:rsidRPr="000F23E0">
        <w:t>The Australian Government is working with state and territory governments to deliver significant transmission projects. Projects may be co</w:t>
      </w:r>
      <w:r w:rsidR="002C4475" w:rsidRPr="000F23E0">
        <w:noBreakHyphen/>
      </w:r>
      <w:r w:rsidRPr="000F23E0">
        <w:t xml:space="preserve">financed with state and territory governments and the private sector. </w:t>
      </w:r>
    </w:p>
    <w:p w14:paraId="779AF107" w14:textId="6F8CEDAF" w:rsidR="00ED3691" w:rsidRPr="000F23E0" w:rsidRDefault="00ED3691" w:rsidP="00E4322A">
      <w:pPr>
        <w:pStyle w:val="Heading4"/>
      </w:pPr>
      <w:r w:rsidRPr="000F23E0">
        <w:t xml:space="preserve">Material </w:t>
      </w:r>
      <w:r w:rsidR="00496B5B" w:rsidRPr="000F23E0">
        <w:t>r</w:t>
      </w:r>
      <w:r w:rsidRPr="000F23E0">
        <w:t>isks</w:t>
      </w:r>
    </w:p>
    <w:p w14:paraId="0E1D9C5F" w14:textId="3E4E9050" w:rsidR="00ED3691" w:rsidRPr="000F23E0" w:rsidRDefault="00ED3691" w:rsidP="007C613D">
      <w:r w:rsidRPr="000F23E0">
        <w:t xml:space="preserve">Rewiring the Nation projects are subject to inherent risks and uncertainties </w:t>
      </w:r>
      <w:r w:rsidR="00F82704" w:rsidRPr="000F23E0">
        <w:t>including</w:t>
      </w:r>
      <w:r w:rsidRPr="000F23E0">
        <w:t xml:space="preserve"> external inputs such as the regulatory environment and market conditions. These may impact timing of future deployment. </w:t>
      </w:r>
    </w:p>
    <w:p w14:paraId="2104A1AF" w14:textId="16583CF3" w:rsidR="00ED3691" w:rsidRPr="000F23E0" w:rsidRDefault="0030179A" w:rsidP="007C613D">
      <w:r w:rsidRPr="000F23E0">
        <w:t>Completing l</w:t>
      </w:r>
      <w:r w:rsidR="00ED3691" w:rsidRPr="000F23E0">
        <w:t>arge infrastructure projects such as those targeted by the CEFC</w:t>
      </w:r>
      <w:r w:rsidR="002C4475" w:rsidRPr="000F23E0">
        <w:t>’</w:t>
      </w:r>
      <w:r w:rsidR="00ED3691" w:rsidRPr="000F23E0">
        <w:t>s Rewiring the Nation Fund depend</w:t>
      </w:r>
      <w:r w:rsidRPr="000F23E0">
        <w:t>s</w:t>
      </w:r>
      <w:r w:rsidR="00ED3691" w:rsidRPr="000F23E0">
        <w:t xml:space="preserve"> on external inputs </w:t>
      </w:r>
      <w:r w:rsidRPr="000F23E0">
        <w:t>such as</w:t>
      </w:r>
      <w:r w:rsidR="00ED3691" w:rsidRPr="000F23E0">
        <w:t xml:space="preserve"> social license and securing of critical energy assets and workforce. Delays in the acquisition of these external inputs has the potential to delay project completion, and corresponding investment deployment.</w:t>
      </w:r>
    </w:p>
    <w:p w14:paraId="49BB80C1" w14:textId="02390650" w:rsidR="00ED3691" w:rsidRPr="000F23E0" w:rsidRDefault="00ED3691" w:rsidP="00026C82">
      <w:pPr>
        <w:pStyle w:val="Heading3"/>
        <w:keepLines/>
      </w:pPr>
      <w:r w:rsidRPr="000F23E0">
        <w:lastRenderedPageBreak/>
        <w:t xml:space="preserve">Project </w:t>
      </w:r>
      <w:r w:rsidR="00496B5B" w:rsidRPr="000F23E0">
        <w:t>i</w:t>
      </w:r>
      <w:r w:rsidRPr="000F23E0">
        <w:t>mpacts</w:t>
      </w:r>
    </w:p>
    <w:p w14:paraId="02EB2B72" w14:textId="79A29F77" w:rsidR="00DD265E" w:rsidRPr="000F23E0" w:rsidRDefault="00DD265E" w:rsidP="00026C82">
      <w:pPr>
        <w:keepNext/>
        <w:keepLines/>
      </w:pPr>
      <w:r w:rsidRPr="000F23E0">
        <w:t>The Central</w:t>
      </w:r>
      <w:r w:rsidR="002C4475" w:rsidRPr="000F23E0">
        <w:noBreakHyphen/>
      </w:r>
      <w:r w:rsidRPr="000F23E0">
        <w:t>West Orana Renewable Energy Zone, Hume</w:t>
      </w:r>
      <w:r w:rsidR="00332F85" w:rsidRPr="000F23E0">
        <w:t>L</w:t>
      </w:r>
      <w:r w:rsidRPr="000F23E0">
        <w:t>ink and Marinus Link projects are expected to contribute to an additional 7</w:t>
      </w:r>
      <w:r w:rsidR="008F3CCA" w:rsidRPr="000F23E0">
        <w:t>,</w:t>
      </w:r>
      <w:r w:rsidRPr="000F23E0">
        <w:t>45</w:t>
      </w:r>
      <w:r w:rsidR="008F3CCA" w:rsidRPr="000F23E0">
        <w:t>0 megawatts</w:t>
      </w:r>
      <w:r w:rsidRPr="000F23E0" w:rsidDel="008F3CCA">
        <w:t xml:space="preserve"> </w:t>
      </w:r>
      <w:r w:rsidRPr="000F23E0">
        <w:t>of network transmission capacity for renewable energy once all currently committed funds are deployed and projects are operational</w:t>
      </w:r>
      <w:r w:rsidR="0026440F" w:rsidRPr="000F23E0">
        <w:t xml:space="preserve"> (Table 6)</w:t>
      </w:r>
      <w:r w:rsidRPr="000F23E0">
        <w:t xml:space="preserve">. </w:t>
      </w:r>
    </w:p>
    <w:p w14:paraId="12EE5649" w14:textId="2557B3E3" w:rsidR="00DD265E" w:rsidRPr="000F23E0" w:rsidRDefault="00DD265E" w:rsidP="00026C82">
      <w:pPr>
        <w:keepNext/>
        <w:keepLines/>
      </w:pPr>
      <w:r w:rsidRPr="000F23E0">
        <w:t>Project Impacts are reported for eligible projects from 2024</w:t>
      </w:r>
      <w:r w:rsidR="001055D5" w:rsidRPr="000F23E0">
        <w:t>–</w:t>
      </w:r>
      <w:r w:rsidRPr="000F23E0">
        <w:t xml:space="preserve">25, which may include projects also eligible in previous periods and covered in previous reports. </w:t>
      </w:r>
    </w:p>
    <w:p w14:paraId="7D50BEF3" w14:textId="5E810F17" w:rsidR="00ED3691" w:rsidRPr="000F23E0" w:rsidRDefault="00ED3691" w:rsidP="00551F72">
      <w:pPr>
        <w:pStyle w:val="TableMainHeading"/>
      </w:pPr>
      <w:bookmarkStart w:id="97" w:name="_Toc220662866"/>
      <w:bookmarkStart w:id="98" w:name="_Toc224637795"/>
      <w:bookmarkStart w:id="99" w:name="_Toc224642459"/>
      <w:bookmarkStart w:id="100" w:name="_Toc225153435"/>
      <w:bookmarkStart w:id="101" w:name="_Toc225154481"/>
      <w:bookmarkStart w:id="102" w:name="_Toc225155746"/>
      <w:r w:rsidRPr="000F23E0">
        <w:t xml:space="preserve">Table </w:t>
      </w:r>
      <w:r w:rsidR="008D3A2F" w:rsidRPr="000F23E0">
        <w:t>6</w:t>
      </w:r>
      <w:r w:rsidR="00627058" w:rsidRPr="000F23E0">
        <w:t>:</w:t>
      </w:r>
      <w:r w:rsidRPr="000F23E0">
        <w:t xml:space="preserve"> Impact </w:t>
      </w:r>
      <w:r w:rsidR="000753EA" w:rsidRPr="000F23E0">
        <w:t>d</w:t>
      </w:r>
      <w:r w:rsidRPr="000F23E0">
        <w:t>ata for Rewiring the Nation</w:t>
      </w:r>
      <w:bookmarkEnd w:id="97"/>
      <w:bookmarkEnd w:id="98"/>
      <w:bookmarkEnd w:id="99"/>
      <w:bookmarkEnd w:id="100"/>
      <w:bookmarkEnd w:id="101"/>
      <w:bookmarkEnd w:id="102"/>
    </w:p>
    <w:tbl>
      <w:tblPr>
        <w:tblStyle w:val="GridTable4-Accent2"/>
        <w:tblW w:w="5000" w:type="pct"/>
        <w:tblInd w:w="-3" w:type="dxa"/>
        <w:tblBorders>
          <w:top w:val="single" w:sz="4" w:space="0" w:color="DFA795"/>
          <w:bottom w:val="single" w:sz="4" w:space="0" w:color="DFA795"/>
        </w:tblBorders>
        <w:tblLook w:val="04A0" w:firstRow="1" w:lastRow="0" w:firstColumn="1" w:lastColumn="0" w:noHBand="0" w:noVBand="1"/>
      </w:tblPr>
      <w:tblGrid>
        <w:gridCol w:w="1749"/>
        <w:gridCol w:w="3541"/>
        <w:gridCol w:w="842"/>
        <w:gridCol w:w="1257"/>
        <w:gridCol w:w="1681"/>
      </w:tblGrid>
      <w:tr w:rsidR="00EB7950" w:rsidRPr="000F23E0" w14:paraId="431B22E8" w14:textId="77777777" w:rsidTr="002C4475">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776" w:type="dxa"/>
            <w:tcBorders>
              <w:bottom w:val="single" w:sz="4" w:space="0" w:color="DFA795"/>
            </w:tcBorders>
            <w:shd w:val="clear" w:color="auto" w:fill="F1D0C6"/>
          </w:tcPr>
          <w:p w14:paraId="1DBA634B" w14:textId="77777777" w:rsidR="00ED3691" w:rsidRPr="000F23E0" w:rsidRDefault="00ED3691" w:rsidP="00026C82">
            <w:pPr>
              <w:pStyle w:val="TableColumnHeadingLeft"/>
              <w:keepLines/>
              <w:rPr>
                <w:b/>
                <w:bCs w:val="0"/>
              </w:rPr>
            </w:pPr>
            <w:r w:rsidRPr="000F23E0">
              <w:rPr>
                <w:b/>
                <w:bCs w:val="0"/>
              </w:rPr>
              <w:t>Metric</w:t>
            </w:r>
          </w:p>
        </w:tc>
        <w:tc>
          <w:tcPr>
            <w:tcW w:w="3609" w:type="dxa"/>
            <w:tcBorders>
              <w:bottom w:val="single" w:sz="4" w:space="0" w:color="DFA795"/>
            </w:tcBorders>
            <w:shd w:val="clear" w:color="auto" w:fill="F1D0C6"/>
          </w:tcPr>
          <w:p w14:paraId="12800732" w14:textId="77777777" w:rsidR="00ED3691" w:rsidRPr="000F23E0" w:rsidRDefault="00ED3691" w:rsidP="00026C82">
            <w:pPr>
              <w:pStyle w:val="TableColumnHeadingLeft"/>
              <w:keepLines/>
              <w:cnfStyle w:val="100000000000" w:firstRow="1" w:lastRow="0" w:firstColumn="0" w:lastColumn="0" w:oddVBand="0" w:evenVBand="0" w:oddHBand="0" w:evenHBand="0" w:firstRowFirstColumn="0" w:firstRowLastColumn="0" w:lastRowFirstColumn="0" w:lastRowLastColumn="0"/>
              <w:rPr>
                <w:b/>
                <w:bCs w:val="0"/>
              </w:rPr>
            </w:pPr>
            <w:r w:rsidRPr="000F23E0">
              <w:rPr>
                <w:b/>
                <w:bCs w:val="0"/>
              </w:rPr>
              <w:t>Project</w:t>
            </w:r>
          </w:p>
        </w:tc>
        <w:tc>
          <w:tcPr>
            <w:tcW w:w="850" w:type="dxa"/>
            <w:tcBorders>
              <w:bottom w:val="single" w:sz="4" w:space="0" w:color="DFA795"/>
            </w:tcBorders>
            <w:shd w:val="clear" w:color="auto" w:fill="F1D0C6"/>
          </w:tcPr>
          <w:p w14:paraId="54A0BF90" w14:textId="2195C90F" w:rsidR="00ED3691" w:rsidRPr="000F23E0" w:rsidRDefault="00ED3691" w:rsidP="00026C82">
            <w:pPr>
              <w:pStyle w:val="TableColumnHeadingRight"/>
              <w:keepLines/>
              <w:cnfStyle w:val="100000000000" w:firstRow="1" w:lastRow="0" w:firstColumn="0" w:lastColumn="0" w:oddVBand="0" w:evenVBand="0" w:oddHBand="0" w:evenHBand="0" w:firstRowFirstColumn="0" w:firstRowLastColumn="0" w:lastRowFirstColumn="0" w:lastRowLastColumn="0"/>
              <w:rPr>
                <w:b/>
              </w:rPr>
            </w:pPr>
            <w:r w:rsidRPr="000F23E0">
              <w:rPr>
                <w:b/>
              </w:rPr>
              <w:t>Value</w:t>
            </w:r>
          </w:p>
        </w:tc>
        <w:tc>
          <w:tcPr>
            <w:tcW w:w="1267" w:type="dxa"/>
            <w:tcBorders>
              <w:bottom w:val="single" w:sz="4" w:space="0" w:color="DFA795"/>
            </w:tcBorders>
            <w:shd w:val="clear" w:color="auto" w:fill="F1D0C6"/>
          </w:tcPr>
          <w:p w14:paraId="35E1CC35" w14:textId="77777777" w:rsidR="00ED3691" w:rsidRPr="000F23E0" w:rsidRDefault="00ED3691" w:rsidP="00026C82">
            <w:pPr>
              <w:pStyle w:val="TableColumnHeadingRight"/>
              <w:keepLines/>
              <w:cnfStyle w:val="100000000000" w:firstRow="1" w:lastRow="0" w:firstColumn="0" w:lastColumn="0" w:oddVBand="0" w:evenVBand="0" w:oddHBand="0" w:evenHBand="0" w:firstRowFirstColumn="0" w:firstRowLastColumn="0" w:lastRowFirstColumn="0" w:lastRowLastColumn="0"/>
              <w:rPr>
                <w:b/>
              </w:rPr>
            </w:pPr>
            <w:r w:rsidRPr="000F23E0">
              <w:rPr>
                <w:b/>
              </w:rPr>
              <w:t>Recorded/ Projected</w:t>
            </w:r>
          </w:p>
        </w:tc>
        <w:tc>
          <w:tcPr>
            <w:tcW w:w="1701" w:type="dxa"/>
            <w:tcBorders>
              <w:bottom w:val="single" w:sz="4" w:space="0" w:color="DFA795"/>
            </w:tcBorders>
            <w:shd w:val="clear" w:color="auto" w:fill="F1D0C6"/>
          </w:tcPr>
          <w:p w14:paraId="3263DF60" w14:textId="77777777" w:rsidR="00ED3691" w:rsidRPr="000F23E0" w:rsidRDefault="00ED3691" w:rsidP="00026C82">
            <w:pPr>
              <w:pStyle w:val="TableColumnHeadingRight"/>
              <w:keepLines/>
              <w:cnfStyle w:val="100000000000" w:firstRow="1" w:lastRow="0" w:firstColumn="0" w:lastColumn="0" w:oddVBand="0" w:evenVBand="0" w:oddHBand="0" w:evenHBand="0" w:firstRowFirstColumn="0" w:firstRowLastColumn="0" w:lastRowFirstColumn="0" w:lastRowLastColumn="0"/>
              <w:rPr>
                <w:b/>
              </w:rPr>
            </w:pPr>
            <w:r w:rsidRPr="000F23E0">
              <w:rPr>
                <w:b/>
              </w:rPr>
              <w:t>Time Period</w:t>
            </w:r>
          </w:p>
        </w:tc>
      </w:tr>
      <w:tr w:rsidR="004D6BFF" w:rsidRPr="000F23E0" w14:paraId="0126D72B" w14:textId="77777777" w:rsidTr="00026C82">
        <w:trPr>
          <w:trHeight w:val="360"/>
        </w:trPr>
        <w:tc>
          <w:tcPr>
            <w:cnfStyle w:val="001000000000" w:firstRow="0" w:lastRow="0" w:firstColumn="1" w:lastColumn="0" w:oddVBand="0" w:evenVBand="0" w:oddHBand="0" w:evenHBand="0" w:firstRowFirstColumn="0" w:firstRowLastColumn="0" w:lastRowFirstColumn="0" w:lastRowLastColumn="0"/>
            <w:tcW w:w="1776" w:type="dxa"/>
            <w:vMerge w:val="restart"/>
            <w:tcBorders>
              <w:top w:val="single" w:sz="4" w:space="0" w:color="DFA795"/>
              <w:bottom w:val="nil"/>
            </w:tcBorders>
            <w:shd w:val="clear" w:color="auto" w:fill="FDF0E7"/>
          </w:tcPr>
          <w:p w14:paraId="2C751BFB" w14:textId="0C0EF3FE" w:rsidR="00D117A4" w:rsidRPr="000F23E0" w:rsidRDefault="00F0581F" w:rsidP="00026C82">
            <w:pPr>
              <w:pStyle w:val="TableTextLeft"/>
              <w:keepNext/>
              <w:keepLines/>
            </w:pPr>
            <w:r w:rsidRPr="000F23E0">
              <w:t>Increase in n</w:t>
            </w:r>
            <w:r w:rsidR="00D117A4" w:rsidRPr="000F23E0">
              <w:t>etwork capacity (</w:t>
            </w:r>
            <w:r w:rsidR="00455F4F" w:rsidRPr="000F23E0">
              <w:t>MW</w:t>
            </w:r>
            <w:r w:rsidR="00D117A4" w:rsidRPr="000F23E0">
              <w:t xml:space="preserve">) </w:t>
            </w:r>
          </w:p>
        </w:tc>
        <w:tc>
          <w:tcPr>
            <w:tcW w:w="3609" w:type="dxa"/>
            <w:tcBorders>
              <w:top w:val="single" w:sz="4" w:space="0" w:color="DFA795"/>
              <w:bottom w:val="single" w:sz="4" w:space="0" w:color="DFA795"/>
            </w:tcBorders>
            <w:shd w:val="clear" w:color="auto" w:fill="FEFAF8"/>
          </w:tcPr>
          <w:p w14:paraId="23BF3A30" w14:textId="77777777" w:rsidR="00D117A4" w:rsidRPr="000F23E0" w:rsidRDefault="00D117A4" w:rsidP="00026C82">
            <w:pPr>
              <w:pStyle w:val="TableTextLeft"/>
              <w:keepNext/>
              <w:keepLines/>
              <w:cnfStyle w:val="000000000000" w:firstRow="0" w:lastRow="0" w:firstColumn="0" w:lastColumn="0" w:oddVBand="0" w:evenVBand="0" w:oddHBand="0" w:evenHBand="0" w:firstRowFirstColumn="0" w:firstRowLastColumn="0" w:lastRowFirstColumn="0" w:lastRowLastColumn="0"/>
            </w:pPr>
            <w:r w:rsidRPr="000F23E0">
              <w:rPr>
                <w:rStyle w:val="Hyperlink"/>
                <w:rFonts w:eastAsiaTheme="minorEastAsia"/>
                <w:bCs/>
              </w:rPr>
              <w:t>Central-West Orana Renewable Energy Zone</w:t>
            </w:r>
            <w:r w:rsidRPr="000F23E0">
              <w:rPr>
                <w:rStyle w:val="EndnoteReference"/>
                <w:rFonts w:eastAsiaTheme="minorEastAsia"/>
                <w:bCs/>
              </w:rPr>
              <w:endnoteReference w:id="31"/>
            </w:r>
          </w:p>
        </w:tc>
        <w:tc>
          <w:tcPr>
            <w:tcW w:w="850" w:type="dxa"/>
            <w:tcBorders>
              <w:top w:val="single" w:sz="4" w:space="0" w:color="DFA795"/>
              <w:bottom w:val="single" w:sz="4" w:space="0" w:color="DFA795"/>
            </w:tcBorders>
            <w:shd w:val="clear" w:color="auto" w:fill="FEFAF8"/>
          </w:tcPr>
          <w:p w14:paraId="7A27FA48" w14:textId="05ACAFFC" w:rsidR="00D117A4" w:rsidRPr="000F23E0" w:rsidRDefault="00D117A4" w:rsidP="00026C82">
            <w:pPr>
              <w:pStyle w:val="TableTextRight"/>
              <w:keepNext/>
              <w:keepLines/>
              <w:cnfStyle w:val="000000000000" w:firstRow="0" w:lastRow="0" w:firstColumn="0" w:lastColumn="0" w:oddVBand="0" w:evenVBand="0" w:oddHBand="0" w:evenHBand="0" w:firstRowFirstColumn="0" w:firstRowLastColumn="0" w:lastRowFirstColumn="0" w:lastRowLastColumn="0"/>
            </w:pPr>
            <w:r w:rsidRPr="000F23E0">
              <w:t>4</w:t>
            </w:r>
            <w:r w:rsidR="008F3CCA" w:rsidRPr="000F23E0">
              <w:t>,</w:t>
            </w:r>
            <w:r w:rsidRPr="000F23E0">
              <w:t>5</w:t>
            </w:r>
            <w:r w:rsidR="008F3CCA" w:rsidRPr="000F23E0">
              <w:t>00</w:t>
            </w:r>
          </w:p>
        </w:tc>
        <w:tc>
          <w:tcPr>
            <w:tcW w:w="1267" w:type="dxa"/>
            <w:tcBorders>
              <w:top w:val="single" w:sz="4" w:space="0" w:color="DFA795"/>
              <w:bottom w:val="single" w:sz="4" w:space="0" w:color="DFA795"/>
            </w:tcBorders>
            <w:shd w:val="clear" w:color="auto" w:fill="FEFAF8"/>
          </w:tcPr>
          <w:p w14:paraId="6AB99ADC" w14:textId="77777777" w:rsidR="00D117A4" w:rsidRPr="000F23E0" w:rsidRDefault="00D117A4" w:rsidP="00026C82">
            <w:pPr>
              <w:pStyle w:val="TableTextRight"/>
              <w:keepNext/>
              <w:keepLines/>
              <w:cnfStyle w:val="000000000000" w:firstRow="0" w:lastRow="0" w:firstColumn="0" w:lastColumn="0" w:oddVBand="0" w:evenVBand="0" w:oddHBand="0" w:evenHBand="0" w:firstRowFirstColumn="0" w:firstRowLastColumn="0" w:lastRowFirstColumn="0" w:lastRowLastColumn="0"/>
            </w:pPr>
            <w:r w:rsidRPr="000F23E0">
              <w:t>Projected</w:t>
            </w:r>
          </w:p>
        </w:tc>
        <w:tc>
          <w:tcPr>
            <w:tcW w:w="1701" w:type="dxa"/>
            <w:tcBorders>
              <w:top w:val="single" w:sz="4" w:space="0" w:color="DFA795"/>
              <w:bottom w:val="single" w:sz="4" w:space="0" w:color="DFA795"/>
            </w:tcBorders>
            <w:shd w:val="clear" w:color="auto" w:fill="FEFAF8"/>
          </w:tcPr>
          <w:p w14:paraId="6D76C9C1" w14:textId="77777777" w:rsidR="00D117A4" w:rsidRPr="000F23E0" w:rsidRDefault="00D117A4" w:rsidP="00026C82">
            <w:pPr>
              <w:pStyle w:val="TableTextRight"/>
              <w:keepNext/>
              <w:keepLines/>
              <w:cnfStyle w:val="000000000000" w:firstRow="0" w:lastRow="0" w:firstColumn="0" w:lastColumn="0" w:oddVBand="0" w:evenVBand="0" w:oddHBand="0" w:evenHBand="0" w:firstRowFirstColumn="0" w:firstRowLastColumn="0" w:lastRowFirstColumn="0" w:lastRowLastColumn="0"/>
            </w:pPr>
            <w:r w:rsidRPr="000F23E0">
              <w:t>From completion</w:t>
            </w:r>
          </w:p>
        </w:tc>
      </w:tr>
      <w:tr w:rsidR="004D6BFF" w:rsidRPr="000F23E0" w14:paraId="15E5E817" w14:textId="77777777" w:rsidTr="00026C82">
        <w:trPr>
          <w:trHeight w:val="360"/>
        </w:trPr>
        <w:tc>
          <w:tcPr>
            <w:cnfStyle w:val="001000000000" w:firstRow="0" w:lastRow="0" w:firstColumn="1" w:lastColumn="0" w:oddVBand="0" w:evenVBand="0" w:oddHBand="0" w:evenHBand="0" w:firstRowFirstColumn="0" w:firstRowLastColumn="0" w:lastRowFirstColumn="0" w:lastRowLastColumn="0"/>
            <w:tcW w:w="1776" w:type="dxa"/>
            <w:vMerge/>
            <w:tcBorders>
              <w:top w:val="nil"/>
              <w:bottom w:val="single" w:sz="4" w:space="0" w:color="DFA795"/>
            </w:tcBorders>
            <w:shd w:val="clear" w:color="auto" w:fill="FDF0E7"/>
          </w:tcPr>
          <w:p w14:paraId="4A194F62" w14:textId="77777777" w:rsidR="00D117A4" w:rsidRPr="000F23E0" w:rsidRDefault="00D117A4" w:rsidP="00026C82">
            <w:pPr>
              <w:keepNext/>
              <w:keepLines/>
              <w:spacing w:before="120" w:after="120"/>
            </w:pPr>
          </w:p>
        </w:tc>
        <w:tc>
          <w:tcPr>
            <w:tcW w:w="3609" w:type="dxa"/>
            <w:tcBorders>
              <w:top w:val="single" w:sz="4" w:space="0" w:color="DFA795"/>
              <w:bottom w:val="single" w:sz="4" w:space="0" w:color="DFA795"/>
            </w:tcBorders>
            <w:shd w:val="clear" w:color="auto" w:fill="FEFAF8"/>
          </w:tcPr>
          <w:p w14:paraId="4807365F" w14:textId="456BB2A8" w:rsidR="00D117A4" w:rsidRPr="000F23E0" w:rsidRDefault="00DB163B" w:rsidP="00026C82">
            <w:pPr>
              <w:pStyle w:val="TableTextLeft"/>
              <w:keepNext/>
              <w:keepLines/>
              <w:cnfStyle w:val="000000000000" w:firstRow="0" w:lastRow="0" w:firstColumn="0" w:lastColumn="0" w:oddVBand="0" w:evenVBand="0" w:oddHBand="0" w:evenHBand="0" w:firstRowFirstColumn="0" w:firstRowLastColumn="0" w:lastRowFirstColumn="0" w:lastRowLastColumn="0"/>
            </w:pPr>
            <w:r w:rsidRPr="000F23E0">
              <w:t>Hume</w:t>
            </w:r>
            <w:r w:rsidR="00332F85" w:rsidRPr="000F23E0">
              <w:t>L</w:t>
            </w:r>
            <w:r w:rsidRPr="000F23E0">
              <w:t>ink</w:t>
            </w:r>
            <w:r w:rsidRPr="000F23E0">
              <w:rPr>
                <w:rStyle w:val="EndnoteReference"/>
              </w:rPr>
              <w:endnoteReference w:id="32"/>
            </w:r>
          </w:p>
        </w:tc>
        <w:tc>
          <w:tcPr>
            <w:tcW w:w="850" w:type="dxa"/>
            <w:tcBorders>
              <w:top w:val="single" w:sz="4" w:space="0" w:color="DFA795"/>
              <w:bottom w:val="single" w:sz="4" w:space="0" w:color="DFA795"/>
            </w:tcBorders>
            <w:shd w:val="clear" w:color="auto" w:fill="FEFAF8"/>
          </w:tcPr>
          <w:p w14:paraId="57BDC2A9" w14:textId="012DC120" w:rsidR="00D117A4" w:rsidRPr="000F23E0" w:rsidRDefault="00DB163B" w:rsidP="00026C82">
            <w:pPr>
              <w:pStyle w:val="TableTextRight"/>
              <w:keepNext/>
              <w:keepLines/>
              <w:cnfStyle w:val="000000000000" w:firstRow="0" w:lastRow="0" w:firstColumn="0" w:lastColumn="0" w:oddVBand="0" w:evenVBand="0" w:oddHBand="0" w:evenHBand="0" w:firstRowFirstColumn="0" w:firstRowLastColumn="0" w:lastRowFirstColumn="0" w:lastRowLastColumn="0"/>
            </w:pPr>
            <w:r w:rsidRPr="000F23E0">
              <w:t>2</w:t>
            </w:r>
            <w:r w:rsidR="008F3CCA" w:rsidRPr="000F23E0">
              <w:t>,</w:t>
            </w:r>
            <w:r w:rsidRPr="000F23E0">
              <w:t>2</w:t>
            </w:r>
            <w:r w:rsidR="008F3CCA" w:rsidRPr="000F23E0">
              <w:t>00</w:t>
            </w:r>
          </w:p>
        </w:tc>
        <w:tc>
          <w:tcPr>
            <w:tcW w:w="1267" w:type="dxa"/>
            <w:tcBorders>
              <w:top w:val="single" w:sz="4" w:space="0" w:color="DFA795"/>
              <w:bottom w:val="single" w:sz="4" w:space="0" w:color="DFA795"/>
            </w:tcBorders>
            <w:shd w:val="clear" w:color="auto" w:fill="FEFAF8"/>
          </w:tcPr>
          <w:p w14:paraId="25E1B9AB" w14:textId="4F8F4A87" w:rsidR="00D117A4" w:rsidRPr="000F23E0" w:rsidRDefault="00D117A4" w:rsidP="00026C82">
            <w:pPr>
              <w:pStyle w:val="TableTextRight"/>
              <w:keepNext/>
              <w:keepLines/>
              <w:cnfStyle w:val="000000000000" w:firstRow="0" w:lastRow="0" w:firstColumn="0" w:lastColumn="0" w:oddVBand="0" w:evenVBand="0" w:oddHBand="0" w:evenHBand="0" w:firstRowFirstColumn="0" w:firstRowLastColumn="0" w:lastRowFirstColumn="0" w:lastRowLastColumn="0"/>
            </w:pPr>
            <w:r w:rsidRPr="000F23E0">
              <w:t>Projected</w:t>
            </w:r>
          </w:p>
        </w:tc>
        <w:tc>
          <w:tcPr>
            <w:tcW w:w="1701" w:type="dxa"/>
            <w:tcBorders>
              <w:top w:val="single" w:sz="4" w:space="0" w:color="DFA795"/>
              <w:bottom w:val="single" w:sz="4" w:space="0" w:color="DFA795"/>
            </w:tcBorders>
            <w:shd w:val="clear" w:color="auto" w:fill="FEFAF8"/>
          </w:tcPr>
          <w:p w14:paraId="5F9C9AA7" w14:textId="45304C4A" w:rsidR="00D117A4" w:rsidRPr="000F23E0" w:rsidRDefault="00D117A4" w:rsidP="00026C82">
            <w:pPr>
              <w:pStyle w:val="TableTextRight"/>
              <w:keepNext/>
              <w:keepLines/>
              <w:cnfStyle w:val="000000000000" w:firstRow="0" w:lastRow="0" w:firstColumn="0" w:lastColumn="0" w:oddVBand="0" w:evenVBand="0" w:oddHBand="0" w:evenHBand="0" w:firstRowFirstColumn="0" w:firstRowLastColumn="0" w:lastRowFirstColumn="0" w:lastRowLastColumn="0"/>
            </w:pPr>
            <w:r w:rsidRPr="000F23E0">
              <w:t>From completion</w:t>
            </w:r>
          </w:p>
        </w:tc>
      </w:tr>
      <w:tr w:rsidR="00EB7950" w:rsidRPr="000F23E0" w14:paraId="2EE81535" w14:textId="77777777" w:rsidTr="00026C82">
        <w:trPr>
          <w:trHeight w:val="360"/>
        </w:trPr>
        <w:tc>
          <w:tcPr>
            <w:cnfStyle w:val="001000000000" w:firstRow="0" w:lastRow="0" w:firstColumn="1" w:lastColumn="0" w:oddVBand="0" w:evenVBand="0" w:oddHBand="0" w:evenHBand="0" w:firstRowFirstColumn="0" w:firstRowLastColumn="0" w:lastRowFirstColumn="0" w:lastRowLastColumn="0"/>
            <w:tcW w:w="1776" w:type="dxa"/>
            <w:vMerge/>
            <w:tcBorders>
              <w:top w:val="single" w:sz="4" w:space="0" w:color="DFA795"/>
            </w:tcBorders>
            <w:shd w:val="clear" w:color="auto" w:fill="FDF0E7"/>
          </w:tcPr>
          <w:p w14:paraId="7113AF2B" w14:textId="77777777" w:rsidR="00D117A4" w:rsidRPr="000F23E0" w:rsidRDefault="00D117A4" w:rsidP="00026C82">
            <w:pPr>
              <w:keepNext/>
              <w:keepLines/>
              <w:spacing w:before="120" w:after="120"/>
            </w:pPr>
          </w:p>
        </w:tc>
        <w:tc>
          <w:tcPr>
            <w:tcW w:w="3609" w:type="dxa"/>
            <w:tcBorders>
              <w:top w:val="single" w:sz="4" w:space="0" w:color="DFA795"/>
            </w:tcBorders>
            <w:shd w:val="clear" w:color="auto" w:fill="FEFAF8"/>
          </w:tcPr>
          <w:p w14:paraId="1B33E834" w14:textId="5FF4EA6A" w:rsidR="00D117A4" w:rsidRPr="000F23E0" w:rsidRDefault="00DB163B" w:rsidP="00026C82">
            <w:pPr>
              <w:pStyle w:val="TableTextLeft"/>
              <w:keepNext/>
              <w:keepLines/>
              <w:cnfStyle w:val="000000000000" w:firstRow="0" w:lastRow="0" w:firstColumn="0" w:lastColumn="0" w:oddVBand="0" w:evenVBand="0" w:oddHBand="0" w:evenHBand="0" w:firstRowFirstColumn="0" w:firstRowLastColumn="0" w:lastRowFirstColumn="0" w:lastRowLastColumn="0"/>
            </w:pPr>
            <w:r w:rsidRPr="000F23E0">
              <w:t>Marinus Link (Stage 1)</w:t>
            </w:r>
            <w:r w:rsidRPr="000F23E0">
              <w:rPr>
                <w:rStyle w:val="EndnoteReference"/>
              </w:rPr>
              <w:endnoteReference w:id="33"/>
            </w:r>
          </w:p>
        </w:tc>
        <w:tc>
          <w:tcPr>
            <w:tcW w:w="850" w:type="dxa"/>
            <w:tcBorders>
              <w:top w:val="single" w:sz="4" w:space="0" w:color="DFA795"/>
            </w:tcBorders>
            <w:shd w:val="clear" w:color="auto" w:fill="FEFAF8"/>
          </w:tcPr>
          <w:p w14:paraId="315FD5CE" w14:textId="545FE945" w:rsidR="00D117A4" w:rsidRPr="000F23E0" w:rsidRDefault="00DB163B" w:rsidP="00026C82">
            <w:pPr>
              <w:pStyle w:val="TableTextRight"/>
              <w:keepNext/>
              <w:keepLines/>
              <w:cnfStyle w:val="000000000000" w:firstRow="0" w:lastRow="0" w:firstColumn="0" w:lastColumn="0" w:oddVBand="0" w:evenVBand="0" w:oddHBand="0" w:evenHBand="0" w:firstRowFirstColumn="0" w:firstRowLastColumn="0" w:lastRowFirstColumn="0" w:lastRowLastColumn="0"/>
            </w:pPr>
            <w:r w:rsidRPr="000F23E0">
              <w:t>75</w:t>
            </w:r>
            <w:r w:rsidR="0072686A" w:rsidRPr="000F23E0">
              <w:t>0</w:t>
            </w:r>
          </w:p>
        </w:tc>
        <w:tc>
          <w:tcPr>
            <w:tcW w:w="1267" w:type="dxa"/>
            <w:tcBorders>
              <w:top w:val="single" w:sz="4" w:space="0" w:color="DFA795"/>
            </w:tcBorders>
            <w:shd w:val="clear" w:color="auto" w:fill="FEFAF8"/>
          </w:tcPr>
          <w:p w14:paraId="4499FB2E" w14:textId="4C8AECD9" w:rsidR="00D117A4" w:rsidRPr="000F23E0" w:rsidRDefault="00850CA3" w:rsidP="00026C82">
            <w:pPr>
              <w:pStyle w:val="TableTextRight"/>
              <w:keepNext/>
              <w:keepLines/>
              <w:cnfStyle w:val="000000000000" w:firstRow="0" w:lastRow="0" w:firstColumn="0" w:lastColumn="0" w:oddVBand="0" w:evenVBand="0" w:oddHBand="0" w:evenHBand="0" w:firstRowFirstColumn="0" w:firstRowLastColumn="0" w:lastRowFirstColumn="0" w:lastRowLastColumn="0"/>
            </w:pPr>
            <w:r w:rsidRPr="000F23E0">
              <w:t>Projected</w:t>
            </w:r>
          </w:p>
        </w:tc>
        <w:tc>
          <w:tcPr>
            <w:tcW w:w="1701" w:type="dxa"/>
            <w:tcBorders>
              <w:top w:val="single" w:sz="4" w:space="0" w:color="DFA795"/>
            </w:tcBorders>
            <w:shd w:val="clear" w:color="auto" w:fill="FEFAF8"/>
          </w:tcPr>
          <w:p w14:paraId="6245E827" w14:textId="59733547" w:rsidR="00D117A4" w:rsidRPr="000F23E0" w:rsidRDefault="00850CA3" w:rsidP="00026C82">
            <w:pPr>
              <w:pStyle w:val="TableTextRight"/>
              <w:keepNext/>
              <w:keepLines/>
              <w:cnfStyle w:val="000000000000" w:firstRow="0" w:lastRow="0" w:firstColumn="0" w:lastColumn="0" w:oddVBand="0" w:evenVBand="0" w:oddHBand="0" w:evenHBand="0" w:firstRowFirstColumn="0" w:firstRowLastColumn="0" w:lastRowFirstColumn="0" w:lastRowLastColumn="0"/>
            </w:pPr>
            <w:r w:rsidRPr="000F23E0">
              <w:t>From completion</w:t>
            </w:r>
          </w:p>
        </w:tc>
      </w:tr>
    </w:tbl>
    <w:p w14:paraId="300571A7" w14:textId="36129956" w:rsidR="00ED3691" w:rsidRPr="000F23E0" w:rsidRDefault="00ED3691" w:rsidP="00026C82">
      <w:pPr>
        <w:pStyle w:val="Heading4"/>
        <w:keepNext/>
        <w:keepLines/>
      </w:pPr>
      <w:r w:rsidRPr="000F23E0">
        <w:t xml:space="preserve">Social </w:t>
      </w:r>
      <w:r w:rsidR="000753EA" w:rsidRPr="000F23E0">
        <w:t>c</w:t>
      </w:r>
      <w:r w:rsidRPr="000F23E0">
        <w:t>o</w:t>
      </w:r>
      <w:r w:rsidR="002C4475" w:rsidRPr="000F23E0">
        <w:noBreakHyphen/>
      </w:r>
      <w:r w:rsidRPr="000F23E0">
        <w:t>benefits</w:t>
      </w:r>
    </w:p>
    <w:p w14:paraId="5C48E345" w14:textId="1AB39090" w:rsidR="00EA4ABE" w:rsidRPr="000F23E0" w:rsidRDefault="00ED3691" w:rsidP="007C613D">
      <w:r w:rsidRPr="000F23E0">
        <w:t xml:space="preserve">Rewiring the Nation projects will seek to positively impact the regions where projects are proposed. </w:t>
      </w:r>
      <w:r w:rsidR="00EA4ABE" w:rsidRPr="000F23E0">
        <w:t>For example, EnergyCo NSW expects that the Central</w:t>
      </w:r>
      <w:r w:rsidR="002C4475" w:rsidRPr="000F23E0">
        <w:noBreakHyphen/>
      </w:r>
      <w:r w:rsidR="00EA4ABE" w:rsidRPr="000F23E0">
        <w:t>West Orana Renewable Energy Zone could attract up to $25 billion in private investment and will create approximately 1,850 direct jobs in the local area during construction and about 930 ongoing operational jobs from 2034</w:t>
      </w:r>
      <w:r w:rsidR="00B30D97" w:rsidRPr="000F23E0">
        <w:t xml:space="preserve"> (Table 7)</w:t>
      </w:r>
      <w:r w:rsidR="00EA4ABE" w:rsidRPr="000F23E0">
        <w:t>. The REZ will also create additional demand for workers in local manufacturing, retail, transport and the supply of goods and services.</w:t>
      </w:r>
      <w:r w:rsidR="0095150B" w:rsidRPr="000F23E0">
        <w:rPr>
          <w:rStyle w:val="EndnoteReference"/>
        </w:rPr>
        <w:endnoteReference w:id="34"/>
      </w:r>
    </w:p>
    <w:p w14:paraId="1F20228A" w14:textId="77777777" w:rsidR="00ED3691" w:rsidRPr="000F23E0" w:rsidRDefault="00ED3691" w:rsidP="007C613D">
      <w:r w:rsidRPr="000F23E0">
        <w:t>In investing through the Rewiring the Nation Fund, the Investment Mandate requires the CEFC to consider, where practical, the essential role of social licence matters in the successful deployment of clean energy technologies as part of the transaction process.</w:t>
      </w:r>
    </w:p>
    <w:p w14:paraId="2ED9C31A" w14:textId="3B1E948F" w:rsidR="00ED3691" w:rsidRPr="000F23E0" w:rsidRDefault="00ED3691" w:rsidP="007C613D">
      <w:r w:rsidRPr="000F23E0">
        <w:t>CEFC investment proposals are screened for impacts on Aboriginal and Torres Strait Islanders through the CEFC First Nations Screening Approach. These considerations also form part of CEFC</w:t>
      </w:r>
      <w:r w:rsidR="002C4475" w:rsidRPr="000F23E0">
        <w:t>’</w:t>
      </w:r>
      <w:r w:rsidRPr="000F23E0">
        <w:t>s Rewiring the Nation</w:t>
      </w:r>
      <w:r w:rsidR="002C4475" w:rsidRPr="000F23E0">
        <w:noBreakHyphen/>
      </w:r>
      <w:r w:rsidRPr="000F23E0">
        <w:t>related investment decisions.</w:t>
      </w:r>
    </w:p>
    <w:p w14:paraId="0D6472E0" w14:textId="77777777" w:rsidR="00BE7985" w:rsidRPr="000F23E0" w:rsidRDefault="00BE7985" w:rsidP="00BE7985">
      <w:bookmarkStart w:id="103" w:name="_Toc220662867"/>
      <w:bookmarkStart w:id="104" w:name="_Toc224637796"/>
      <w:r w:rsidRPr="000F23E0">
        <w:br w:type="page"/>
      </w:r>
    </w:p>
    <w:p w14:paraId="731E9469" w14:textId="5D4A7B2E" w:rsidR="00ED3691" w:rsidRPr="000F23E0" w:rsidRDefault="00ED3691" w:rsidP="00551F72">
      <w:pPr>
        <w:pStyle w:val="TableMainHeading"/>
      </w:pPr>
      <w:bookmarkStart w:id="105" w:name="_Toc224642460"/>
      <w:bookmarkStart w:id="106" w:name="_Toc225153436"/>
      <w:bookmarkStart w:id="107" w:name="_Toc225154482"/>
      <w:bookmarkStart w:id="108" w:name="_Toc225155747"/>
      <w:r w:rsidRPr="000F23E0">
        <w:lastRenderedPageBreak/>
        <w:t xml:space="preserve">Table </w:t>
      </w:r>
      <w:r w:rsidR="0026440F" w:rsidRPr="000F23E0">
        <w:t>7</w:t>
      </w:r>
      <w:r w:rsidRPr="000F23E0">
        <w:t xml:space="preserve">: Social </w:t>
      </w:r>
      <w:r w:rsidR="000753EA" w:rsidRPr="000F23E0">
        <w:t>i</w:t>
      </w:r>
      <w:r w:rsidRPr="000F23E0">
        <w:t xml:space="preserve">mpact </w:t>
      </w:r>
      <w:r w:rsidR="000753EA" w:rsidRPr="000F23E0">
        <w:t>d</w:t>
      </w:r>
      <w:r w:rsidRPr="000F23E0">
        <w:t>ata for Rewiring the Nation</w:t>
      </w:r>
      <w:bookmarkEnd w:id="103"/>
      <w:bookmarkEnd w:id="104"/>
      <w:bookmarkEnd w:id="105"/>
      <w:bookmarkEnd w:id="106"/>
      <w:bookmarkEnd w:id="107"/>
      <w:bookmarkEnd w:id="108"/>
    </w:p>
    <w:tbl>
      <w:tblPr>
        <w:tblStyle w:val="GridTable4-Accent2"/>
        <w:tblW w:w="5000" w:type="pct"/>
        <w:tblInd w:w="0" w:type="dxa"/>
        <w:tblBorders>
          <w:top w:val="single" w:sz="4" w:space="0" w:color="DFA795"/>
          <w:bottom w:val="single" w:sz="4" w:space="0" w:color="DFA795"/>
        </w:tblBorders>
        <w:shd w:val="clear" w:color="auto" w:fill="DFA795"/>
        <w:tblLook w:val="04A0" w:firstRow="1" w:lastRow="0" w:firstColumn="1" w:lastColumn="0" w:noHBand="0" w:noVBand="1"/>
      </w:tblPr>
      <w:tblGrid>
        <w:gridCol w:w="1276"/>
        <w:gridCol w:w="3402"/>
        <w:gridCol w:w="1134"/>
        <w:gridCol w:w="1701"/>
        <w:gridCol w:w="1557"/>
      </w:tblGrid>
      <w:tr w:rsidR="002C4475" w:rsidRPr="000F23E0" w14:paraId="08BE692A" w14:textId="77777777" w:rsidTr="00BB60BE">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276" w:type="dxa"/>
            <w:tcBorders>
              <w:top w:val="single" w:sz="4" w:space="0" w:color="DFA795"/>
              <w:bottom w:val="single" w:sz="4" w:space="0" w:color="DFA795"/>
            </w:tcBorders>
            <w:shd w:val="clear" w:color="auto" w:fill="F1D0C6"/>
          </w:tcPr>
          <w:p w14:paraId="7730636C" w14:textId="77777777" w:rsidR="00ED3691" w:rsidRPr="000F23E0" w:rsidRDefault="00ED3691" w:rsidP="00445744">
            <w:pPr>
              <w:pStyle w:val="TableColumnHeadingLeft"/>
              <w:rPr>
                <w:b/>
                <w:bCs w:val="0"/>
              </w:rPr>
            </w:pPr>
            <w:r w:rsidRPr="000F23E0">
              <w:rPr>
                <w:b/>
                <w:bCs w:val="0"/>
              </w:rPr>
              <w:t>Metric</w:t>
            </w:r>
          </w:p>
        </w:tc>
        <w:tc>
          <w:tcPr>
            <w:tcW w:w="3402" w:type="dxa"/>
            <w:tcBorders>
              <w:top w:val="single" w:sz="4" w:space="0" w:color="DFA795"/>
              <w:bottom w:val="single" w:sz="4" w:space="0" w:color="DFA795"/>
            </w:tcBorders>
            <w:shd w:val="clear" w:color="auto" w:fill="F1D0C6"/>
          </w:tcPr>
          <w:p w14:paraId="16631A00" w14:textId="77777777" w:rsidR="00ED3691" w:rsidRPr="000F23E0" w:rsidRDefault="00ED3691" w:rsidP="00445744">
            <w:pPr>
              <w:pStyle w:val="TableColumnHeadingLeft"/>
              <w:cnfStyle w:val="100000000000" w:firstRow="1" w:lastRow="0" w:firstColumn="0" w:lastColumn="0" w:oddVBand="0" w:evenVBand="0" w:oddHBand="0" w:evenHBand="0" w:firstRowFirstColumn="0" w:firstRowLastColumn="0" w:lastRowFirstColumn="0" w:lastRowLastColumn="0"/>
              <w:rPr>
                <w:b/>
                <w:bCs w:val="0"/>
              </w:rPr>
            </w:pPr>
            <w:r w:rsidRPr="000F23E0">
              <w:rPr>
                <w:b/>
                <w:bCs w:val="0"/>
              </w:rPr>
              <w:t>Project</w:t>
            </w:r>
          </w:p>
        </w:tc>
        <w:tc>
          <w:tcPr>
            <w:tcW w:w="1134" w:type="dxa"/>
            <w:tcBorders>
              <w:top w:val="single" w:sz="4" w:space="0" w:color="DFA795"/>
              <w:bottom w:val="single" w:sz="4" w:space="0" w:color="DFA795"/>
            </w:tcBorders>
            <w:shd w:val="clear" w:color="auto" w:fill="F1D0C6"/>
          </w:tcPr>
          <w:p w14:paraId="72E93DE6" w14:textId="39C38F7B" w:rsidR="00ED3691" w:rsidRPr="000F23E0" w:rsidRDefault="00ED3691" w:rsidP="00445744">
            <w:pPr>
              <w:pStyle w:val="TableColumnHeadingRight"/>
              <w:cnfStyle w:val="100000000000" w:firstRow="1" w:lastRow="0" w:firstColumn="0" w:lastColumn="0" w:oddVBand="0" w:evenVBand="0" w:oddHBand="0" w:evenHBand="0" w:firstRowFirstColumn="0" w:firstRowLastColumn="0" w:lastRowFirstColumn="0" w:lastRowLastColumn="0"/>
              <w:rPr>
                <w:b/>
              </w:rPr>
            </w:pPr>
            <w:r w:rsidRPr="000F23E0">
              <w:rPr>
                <w:b/>
              </w:rPr>
              <w:t>Value</w:t>
            </w:r>
          </w:p>
        </w:tc>
        <w:tc>
          <w:tcPr>
            <w:tcW w:w="1701" w:type="dxa"/>
            <w:tcBorders>
              <w:top w:val="single" w:sz="4" w:space="0" w:color="DFA795"/>
              <w:bottom w:val="single" w:sz="4" w:space="0" w:color="DFA795"/>
            </w:tcBorders>
            <w:shd w:val="clear" w:color="auto" w:fill="F1D0C6"/>
          </w:tcPr>
          <w:p w14:paraId="78F8A0D4" w14:textId="77777777" w:rsidR="00ED3691" w:rsidRPr="000F23E0" w:rsidRDefault="00ED3691" w:rsidP="00332F85">
            <w:pPr>
              <w:pStyle w:val="TableColumnHeadingRight"/>
              <w:cnfStyle w:val="100000000000" w:firstRow="1" w:lastRow="0" w:firstColumn="0" w:lastColumn="0" w:oddVBand="0" w:evenVBand="0" w:oddHBand="0" w:evenHBand="0" w:firstRowFirstColumn="0" w:firstRowLastColumn="0" w:lastRowFirstColumn="0" w:lastRowLastColumn="0"/>
              <w:rPr>
                <w:b/>
              </w:rPr>
            </w:pPr>
            <w:r w:rsidRPr="000F23E0">
              <w:rPr>
                <w:b/>
              </w:rPr>
              <w:t>Recorded/ Projected</w:t>
            </w:r>
          </w:p>
        </w:tc>
        <w:tc>
          <w:tcPr>
            <w:tcW w:w="1557" w:type="dxa"/>
            <w:tcBorders>
              <w:top w:val="single" w:sz="4" w:space="0" w:color="DFA795"/>
              <w:bottom w:val="single" w:sz="4" w:space="0" w:color="DFA795"/>
            </w:tcBorders>
            <w:shd w:val="clear" w:color="auto" w:fill="F1D0C6"/>
          </w:tcPr>
          <w:p w14:paraId="753EE404" w14:textId="77777777" w:rsidR="00ED3691" w:rsidRPr="000F23E0" w:rsidRDefault="00ED3691" w:rsidP="00332F85">
            <w:pPr>
              <w:pStyle w:val="TableColumnHeadingRight"/>
              <w:cnfStyle w:val="100000000000" w:firstRow="1" w:lastRow="0" w:firstColumn="0" w:lastColumn="0" w:oddVBand="0" w:evenVBand="0" w:oddHBand="0" w:evenHBand="0" w:firstRowFirstColumn="0" w:firstRowLastColumn="0" w:lastRowFirstColumn="0" w:lastRowLastColumn="0"/>
              <w:rPr>
                <w:b/>
              </w:rPr>
            </w:pPr>
            <w:r w:rsidRPr="000F23E0">
              <w:rPr>
                <w:b/>
              </w:rPr>
              <w:t>Time Period</w:t>
            </w:r>
          </w:p>
        </w:tc>
      </w:tr>
      <w:tr w:rsidR="00EB16FD" w:rsidRPr="000F23E0" w14:paraId="0755774B" w14:textId="77777777" w:rsidTr="00BB60BE">
        <w:trPr>
          <w:trHeight w:val="221"/>
        </w:trPr>
        <w:tc>
          <w:tcPr>
            <w:cnfStyle w:val="001000000000" w:firstRow="0" w:lastRow="0" w:firstColumn="1" w:lastColumn="0" w:oddVBand="0" w:evenVBand="0" w:oddHBand="0" w:evenHBand="0" w:firstRowFirstColumn="0" w:firstRowLastColumn="0" w:lastRowFirstColumn="0" w:lastRowLastColumn="0"/>
            <w:tcW w:w="1276" w:type="dxa"/>
            <w:tcBorders>
              <w:top w:val="single" w:sz="4" w:space="0" w:color="DFA795"/>
              <w:bottom w:val="single" w:sz="4" w:space="0" w:color="DFA795"/>
            </w:tcBorders>
            <w:shd w:val="clear" w:color="auto" w:fill="FDF0E7"/>
          </w:tcPr>
          <w:p w14:paraId="0BD51F8B" w14:textId="77777777" w:rsidR="00ED3691" w:rsidRPr="000F23E0" w:rsidRDefault="00ED3691" w:rsidP="00BB60BE">
            <w:pPr>
              <w:pStyle w:val="TableTextLeft"/>
            </w:pPr>
            <w:r w:rsidRPr="000F23E0">
              <w:t>Jobs Created</w:t>
            </w:r>
          </w:p>
        </w:tc>
        <w:tc>
          <w:tcPr>
            <w:tcW w:w="3402" w:type="dxa"/>
            <w:tcBorders>
              <w:top w:val="single" w:sz="4" w:space="0" w:color="DFA795"/>
              <w:bottom w:val="single" w:sz="4" w:space="0" w:color="DFA795"/>
            </w:tcBorders>
            <w:shd w:val="clear" w:color="auto" w:fill="FEFAF8"/>
          </w:tcPr>
          <w:p w14:paraId="0A27BC37" w14:textId="77777777" w:rsidR="00ED3691" w:rsidRPr="000F23E0" w:rsidRDefault="00ED3691" w:rsidP="00BB60BE">
            <w:pPr>
              <w:pStyle w:val="TableTextLeft"/>
              <w:cnfStyle w:val="000000000000" w:firstRow="0" w:lastRow="0" w:firstColumn="0" w:lastColumn="0" w:oddVBand="0" w:evenVBand="0" w:oddHBand="0" w:evenHBand="0" w:firstRowFirstColumn="0" w:firstRowLastColumn="0" w:lastRowFirstColumn="0" w:lastRowLastColumn="0"/>
            </w:pPr>
            <w:r w:rsidRPr="000F23E0">
              <w:rPr>
                <w:rStyle w:val="Hyperlink"/>
                <w:rFonts w:eastAsiaTheme="minorEastAsia"/>
              </w:rPr>
              <w:t>Central-West Orana Renewable Energy Zone</w:t>
            </w:r>
          </w:p>
        </w:tc>
        <w:tc>
          <w:tcPr>
            <w:tcW w:w="1134" w:type="dxa"/>
            <w:tcBorders>
              <w:top w:val="single" w:sz="4" w:space="0" w:color="DFA795"/>
              <w:bottom w:val="single" w:sz="4" w:space="0" w:color="DFA795"/>
            </w:tcBorders>
            <w:shd w:val="clear" w:color="auto" w:fill="FEFAF8"/>
          </w:tcPr>
          <w:p w14:paraId="316C3D9B" w14:textId="479F7E4A" w:rsidR="00ED3691" w:rsidRPr="000F23E0" w:rsidRDefault="008227D3" w:rsidP="00BB60BE">
            <w:pPr>
              <w:pStyle w:val="TableTextRight"/>
              <w:cnfStyle w:val="000000000000" w:firstRow="0" w:lastRow="0" w:firstColumn="0" w:lastColumn="0" w:oddVBand="0" w:evenVBand="0" w:oddHBand="0" w:evenHBand="0" w:firstRowFirstColumn="0" w:firstRowLastColumn="0" w:lastRowFirstColumn="0" w:lastRowLastColumn="0"/>
            </w:pPr>
            <w:r w:rsidRPr="000F23E0">
              <w:t>1,850</w:t>
            </w:r>
            <w:r w:rsidRPr="000F23E0">
              <w:rPr>
                <w:rStyle w:val="EndnoteReference"/>
              </w:rPr>
              <w:endnoteReference w:id="35"/>
            </w:r>
          </w:p>
        </w:tc>
        <w:tc>
          <w:tcPr>
            <w:tcW w:w="1701" w:type="dxa"/>
            <w:tcBorders>
              <w:top w:val="single" w:sz="4" w:space="0" w:color="DFA795"/>
              <w:bottom w:val="single" w:sz="4" w:space="0" w:color="DFA795"/>
            </w:tcBorders>
            <w:shd w:val="clear" w:color="auto" w:fill="FEFAF8"/>
            <w:vAlign w:val="center"/>
          </w:tcPr>
          <w:p w14:paraId="208442EB" w14:textId="77777777" w:rsidR="00ED3691" w:rsidRPr="000F23E0" w:rsidRDefault="00ED3691" w:rsidP="00BB60BE">
            <w:pPr>
              <w:pStyle w:val="TableTextRight"/>
              <w:cnfStyle w:val="000000000000" w:firstRow="0" w:lastRow="0" w:firstColumn="0" w:lastColumn="0" w:oddVBand="0" w:evenVBand="0" w:oddHBand="0" w:evenHBand="0" w:firstRowFirstColumn="0" w:firstRowLastColumn="0" w:lastRowFirstColumn="0" w:lastRowLastColumn="0"/>
            </w:pPr>
            <w:r w:rsidRPr="000F23E0">
              <w:t>Projected</w:t>
            </w:r>
          </w:p>
        </w:tc>
        <w:tc>
          <w:tcPr>
            <w:tcW w:w="1557" w:type="dxa"/>
            <w:tcBorders>
              <w:top w:val="single" w:sz="4" w:space="0" w:color="DFA795"/>
              <w:bottom w:val="single" w:sz="4" w:space="0" w:color="DFA795"/>
            </w:tcBorders>
            <w:shd w:val="clear" w:color="auto" w:fill="FEFAF8"/>
            <w:vAlign w:val="center"/>
          </w:tcPr>
          <w:p w14:paraId="0D080286" w14:textId="77777777" w:rsidR="00ED3691" w:rsidRPr="000F23E0" w:rsidRDefault="00ED3691" w:rsidP="00BB60BE">
            <w:pPr>
              <w:pStyle w:val="TableTextRight"/>
              <w:cnfStyle w:val="000000000000" w:firstRow="0" w:lastRow="0" w:firstColumn="0" w:lastColumn="0" w:oddVBand="0" w:evenVBand="0" w:oddHBand="0" w:evenHBand="0" w:firstRowFirstColumn="0" w:firstRowLastColumn="0" w:lastRowFirstColumn="0" w:lastRowLastColumn="0"/>
            </w:pPr>
            <w:r w:rsidRPr="000F23E0">
              <w:t>Peak construction</w:t>
            </w:r>
          </w:p>
        </w:tc>
      </w:tr>
      <w:tr w:rsidR="00EB16FD" w:rsidRPr="000F23E0" w14:paraId="24F467C2" w14:textId="77777777" w:rsidTr="00BB60BE">
        <w:trPr>
          <w:trHeight w:val="116"/>
        </w:trPr>
        <w:tc>
          <w:tcPr>
            <w:cnfStyle w:val="001000000000" w:firstRow="0" w:lastRow="0" w:firstColumn="1" w:lastColumn="0" w:oddVBand="0" w:evenVBand="0" w:oddHBand="0" w:evenHBand="0" w:firstRowFirstColumn="0" w:firstRowLastColumn="0" w:lastRowFirstColumn="0" w:lastRowLastColumn="0"/>
            <w:tcW w:w="1276" w:type="dxa"/>
            <w:tcBorders>
              <w:top w:val="single" w:sz="4" w:space="0" w:color="DFA795"/>
              <w:bottom w:val="single" w:sz="4" w:space="0" w:color="DFA795"/>
            </w:tcBorders>
            <w:shd w:val="clear" w:color="auto" w:fill="FDF0E7"/>
          </w:tcPr>
          <w:p w14:paraId="74CE3CF4" w14:textId="31B06806" w:rsidR="00ED3691" w:rsidRPr="000F23E0" w:rsidRDefault="00CC4F30" w:rsidP="00BB60BE">
            <w:pPr>
              <w:pStyle w:val="TableTextLeft"/>
            </w:pPr>
            <w:r w:rsidRPr="000F23E0">
              <w:t>Jobs Created</w:t>
            </w:r>
          </w:p>
        </w:tc>
        <w:tc>
          <w:tcPr>
            <w:tcW w:w="3402" w:type="dxa"/>
            <w:tcBorders>
              <w:top w:val="single" w:sz="4" w:space="0" w:color="DFA795"/>
              <w:bottom w:val="single" w:sz="4" w:space="0" w:color="DFA795"/>
            </w:tcBorders>
            <w:shd w:val="clear" w:color="auto" w:fill="FEFAF8"/>
          </w:tcPr>
          <w:p w14:paraId="27054C23" w14:textId="4166415C" w:rsidR="00ED3691" w:rsidRPr="000F23E0" w:rsidRDefault="00CC4F30" w:rsidP="00BB60BE">
            <w:pPr>
              <w:pStyle w:val="TableTextLeft"/>
              <w:cnfStyle w:val="000000000000" w:firstRow="0" w:lastRow="0" w:firstColumn="0" w:lastColumn="0" w:oddVBand="0" w:evenVBand="0" w:oddHBand="0" w:evenHBand="0" w:firstRowFirstColumn="0" w:firstRowLastColumn="0" w:lastRowFirstColumn="0" w:lastRowLastColumn="0"/>
            </w:pPr>
            <w:r w:rsidRPr="000F23E0">
              <w:rPr>
                <w:rStyle w:val="Hyperlink"/>
                <w:rFonts w:eastAsiaTheme="minorEastAsia"/>
              </w:rPr>
              <w:t>Hume</w:t>
            </w:r>
            <w:r w:rsidR="00332F85" w:rsidRPr="000F23E0">
              <w:rPr>
                <w:rStyle w:val="Hyperlink"/>
                <w:rFonts w:eastAsiaTheme="minorEastAsia"/>
              </w:rPr>
              <w:t>L</w:t>
            </w:r>
            <w:r w:rsidRPr="000F23E0">
              <w:rPr>
                <w:rStyle w:val="Hyperlink"/>
                <w:rFonts w:eastAsiaTheme="minorEastAsia"/>
              </w:rPr>
              <w:t>ink</w:t>
            </w:r>
          </w:p>
        </w:tc>
        <w:tc>
          <w:tcPr>
            <w:tcW w:w="1134" w:type="dxa"/>
            <w:tcBorders>
              <w:top w:val="single" w:sz="4" w:space="0" w:color="DFA795"/>
              <w:bottom w:val="single" w:sz="4" w:space="0" w:color="DFA795"/>
            </w:tcBorders>
            <w:shd w:val="clear" w:color="auto" w:fill="FEFAF8"/>
          </w:tcPr>
          <w:p w14:paraId="114698FC" w14:textId="15DEDFBA" w:rsidR="00ED3691" w:rsidRPr="000F23E0" w:rsidRDefault="00CC4F30" w:rsidP="00BB60BE">
            <w:pPr>
              <w:pStyle w:val="TableTextRight"/>
              <w:cnfStyle w:val="000000000000" w:firstRow="0" w:lastRow="0" w:firstColumn="0" w:lastColumn="0" w:oddVBand="0" w:evenVBand="0" w:oddHBand="0" w:evenHBand="0" w:firstRowFirstColumn="0" w:firstRowLastColumn="0" w:lastRowFirstColumn="0" w:lastRowLastColumn="0"/>
            </w:pPr>
            <w:r w:rsidRPr="000F23E0">
              <w:t>1,600</w:t>
            </w:r>
            <w:r w:rsidRPr="000F23E0">
              <w:rPr>
                <w:rStyle w:val="EndnoteReference"/>
              </w:rPr>
              <w:endnoteReference w:id="36"/>
            </w:r>
          </w:p>
        </w:tc>
        <w:tc>
          <w:tcPr>
            <w:tcW w:w="1701" w:type="dxa"/>
            <w:tcBorders>
              <w:top w:val="single" w:sz="4" w:space="0" w:color="DFA795"/>
              <w:bottom w:val="single" w:sz="4" w:space="0" w:color="DFA795"/>
            </w:tcBorders>
            <w:shd w:val="clear" w:color="auto" w:fill="FEFAF8"/>
            <w:vAlign w:val="center"/>
          </w:tcPr>
          <w:p w14:paraId="5C67ACD9" w14:textId="328C34A5" w:rsidR="00ED3691" w:rsidRPr="000F23E0" w:rsidRDefault="00ED3691" w:rsidP="00BB60BE">
            <w:pPr>
              <w:pStyle w:val="TableTextRight"/>
              <w:cnfStyle w:val="000000000000" w:firstRow="0" w:lastRow="0" w:firstColumn="0" w:lastColumn="0" w:oddVBand="0" w:evenVBand="0" w:oddHBand="0" w:evenHBand="0" w:firstRowFirstColumn="0" w:firstRowLastColumn="0" w:lastRowFirstColumn="0" w:lastRowLastColumn="0"/>
            </w:pPr>
            <w:r w:rsidRPr="000F23E0">
              <w:t>Projected</w:t>
            </w:r>
          </w:p>
        </w:tc>
        <w:tc>
          <w:tcPr>
            <w:tcW w:w="1557" w:type="dxa"/>
            <w:tcBorders>
              <w:top w:val="single" w:sz="4" w:space="0" w:color="DFA795"/>
              <w:bottom w:val="single" w:sz="4" w:space="0" w:color="DFA795"/>
            </w:tcBorders>
            <w:shd w:val="clear" w:color="auto" w:fill="FEFAF8"/>
            <w:vAlign w:val="center"/>
          </w:tcPr>
          <w:p w14:paraId="105EEE9B" w14:textId="76D1130F" w:rsidR="00ED3691" w:rsidRPr="000F23E0" w:rsidRDefault="00CC4F30" w:rsidP="00BB60BE">
            <w:pPr>
              <w:pStyle w:val="TableTextRight"/>
              <w:cnfStyle w:val="000000000000" w:firstRow="0" w:lastRow="0" w:firstColumn="0" w:lastColumn="0" w:oddVBand="0" w:evenVBand="0" w:oddHBand="0" w:evenHBand="0" w:firstRowFirstColumn="0" w:firstRowLastColumn="0" w:lastRowFirstColumn="0" w:lastRowLastColumn="0"/>
            </w:pPr>
            <w:r w:rsidRPr="000F23E0">
              <w:t>Peak construction</w:t>
            </w:r>
          </w:p>
        </w:tc>
      </w:tr>
      <w:tr w:rsidR="00A27E5C" w:rsidRPr="000F23E0" w14:paraId="59CFB8D9" w14:textId="77777777" w:rsidTr="00BB60BE">
        <w:trPr>
          <w:trHeight w:val="92"/>
        </w:trPr>
        <w:tc>
          <w:tcPr>
            <w:cnfStyle w:val="001000000000" w:firstRow="0" w:lastRow="0" w:firstColumn="1" w:lastColumn="0" w:oddVBand="0" w:evenVBand="0" w:oddHBand="0" w:evenHBand="0" w:firstRowFirstColumn="0" w:firstRowLastColumn="0" w:lastRowFirstColumn="0" w:lastRowLastColumn="0"/>
            <w:tcW w:w="1276" w:type="dxa"/>
            <w:tcBorders>
              <w:top w:val="single" w:sz="4" w:space="0" w:color="DFA795"/>
              <w:bottom w:val="single" w:sz="4" w:space="0" w:color="DFA795"/>
            </w:tcBorders>
            <w:shd w:val="clear" w:color="auto" w:fill="FDF0E7"/>
          </w:tcPr>
          <w:p w14:paraId="23407057" w14:textId="143FB39F" w:rsidR="00A27E5C" w:rsidRPr="000F23E0" w:rsidRDefault="003F6F2A" w:rsidP="00BB60BE">
            <w:pPr>
              <w:pStyle w:val="TableTextLeft"/>
            </w:pPr>
            <w:r w:rsidRPr="000F23E0">
              <w:t>Jobs Created</w:t>
            </w:r>
          </w:p>
        </w:tc>
        <w:tc>
          <w:tcPr>
            <w:tcW w:w="3402" w:type="dxa"/>
            <w:tcBorders>
              <w:top w:val="single" w:sz="4" w:space="0" w:color="DFA795"/>
              <w:bottom w:val="single" w:sz="4" w:space="0" w:color="DFA795"/>
            </w:tcBorders>
            <w:shd w:val="clear" w:color="auto" w:fill="FEFAF8"/>
          </w:tcPr>
          <w:p w14:paraId="7A228308" w14:textId="0B4299A5" w:rsidR="00A27E5C" w:rsidRPr="000F23E0" w:rsidRDefault="00CC4F30" w:rsidP="00BB60BE">
            <w:pPr>
              <w:pStyle w:val="TableTextLeft"/>
              <w:cnfStyle w:val="000000000000" w:firstRow="0" w:lastRow="0" w:firstColumn="0" w:lastColumn="0" w:oddVBand="0" w:evenVBand="0" w:oddHBand="0" w:evenHBand="0" w:firstRowFirstColumn="0" w:firstRowLastColumn="0" w:lastRowFirstColumn="0" w:lastRowLastColumn="0"/>
              <w:rPr>
                <w:rStyle w:val="Hyperlink"/>
                <w:rFonts w:eastAsiaTheme="minorEastAsia"/>
              </w:rPr>
            </w:pPr>
            <w:r w:rsidRPr="000F23E0">
              <w:rPr>
                <w:rStyle w:val="Hyperlink"/>
                <w:rFonts w:eastAsiaTheme="minorEastAsia"/>
              </w:rPr>
              <w:t>Marinus Link</w:t>
            </w:r>
          </w:p>
        </w:tc>
        <w:tc>
          <w:tcPr>
            <w:tcW w:w="1134" w:type="dxa"/>
            <w:tcBorders>
              <w:top w:val="single" w:sz="4" w:space="0" w:color="DFA795"/>
              <w:bottom w:val="single" w:sz="4" w:space="0" w:color="DFA795"/>
            </w:tcBorders>
            <w:shd w:val="clear" w:color="auto" w:fill="FEFAF8"/>
          </w:tcPr>
          <w:p w14:paraId="1909CA69" w14:textId="4579DB72" w:rsidR="00A27E5C" w:rsidRPr="000F23E0" w:rsidRDefault="00CC4F30" w:rsidP="00BB60BE">
            <w:pPr>
              <w:pStyle w:val="TableTextRight"/>
              <w:cnfStyle w:val="000000000000" w:firstRow="0" w:lastRow="0" w:firstColumn="0" w:lastColumn="0" w:oddVBand="0" w:evenVBand="0" w:oddHBand="0" w:evenHBand="0" w:firstRowFirstColumn="0" w:firstRowLastColumn="0" w:lastRowFirstColumn="0" w:lastRowLastColumn="0"/>
            </w:pPr>
            <w:r w:rsidRPr="000F23E0">
              <w:t>1,400 (Tas)</w:t>
            </w:r>
            <w:r w:rsidR="004D1186" w:rsidRPr="000F23E0">
              <w:rPr>
                <w:rStyle w:val="EndnoteReference"/>
                <w:rFonts w:eastAsiaTheme="minorEastAsia"/>
              </w:rPr>
              <w:endnoteReference w:id="37"/>
            </w:r>
            <w:r w:rsidR="00BB60BE" w:rsidRPr="000F23E0">
              <w:t xml:space="preserve"> </w:t>
            </w:r>
            <w:r w:rsidRPr="000F23E0">
              <w:t>1,000 (Vic)</w:t>
            </w:r>
          </w:p>
        </w:tc>
        <w:tc>
          <w:tcPr>
            <w:tcW w:w="1701" w:type="dxa"/>
            <w:tcBorders>
              <w:top w:val="single" w:sz="4" w:space="0" w:color="DFA795"/>
              <w:bottom w:val="single" w:sz="4" w:space="0" w:color="DFA795"/>
            </w:tcBorders>
            <w:shd w:val="clear" w:color="auto" w:fill="FEFAF8"/>
            <w:vAlign w:val="center"/>
          </w:tcPr>
          <w:p w14:paraId="27A6E567" w14:textId="5F1C6D60" w:rsidR="00A27E5C" w:rsidRPr="000F23E0" w:rsidRDefault="005A632C" w:rsidP="00BB60BE">
            <w:pPr>
              <w:pStyle w:val="TableTextRight"/>
              <w:cnfStyle w:val="000000000000" w:firstRow="0" w:lastRow="0" w:firstColumn="0" w:lastColumn="0" w:oddVBand="0" w:evenVBand="0" w:oddHBand="0" w:evenHBand="0" w:firstRowFirstColumn="0" w:firstRowLastColumn="0" w:lastRowFirstColumn="0" w:lastRowLastColumn="0"/>
            </w:pPr>
            <w:r w:rsidRPr="000F23E0">
              <w:t>Projected</w:t>
            </w:r>
          </w:p>
        </w:tc>
        <w:tc>
          <w:tcPr>
            <w:tcW w:w="1557" w:type="dxa"/>
            <w:tcBorders>
              <w:top w:val="single" w:sz="4" w:space="0" w:color="DFA795"/>
              <w:bottom w:val="single" w:sz="4" w:space="0" w:color="DFA795"/>
            </w:tcBorders>
            <w:shd w:val="clear" w:color="auto" w:fill="FEFAF8"/>
            <w:vAlign w:val="center"/>
          </w:tcPr>
          <w:p w14:paraId="48BB704B" w14:textId="079C5017" w:rsidR="00A27E5C" w:rsidRPr="000F23E0" w:rsidRDefault="005A632C" w:rsidP="00BB60BE">
            <w:pPr>
              <w:pStyle w:val="TableTextRight"/>
              <w:cnfStyle w:val="000000000000" w:firstRow="0" w:lastRow="0" w:firstColumn="0" w:lastColumn="0" w:oddVBand="0" w:evenVBand="0" w:oddHBand="0" w:evenHBand="0" w:firstRowFirstColumn="0" w:firstRowLastColumn="0" w:lastRowFirstColumn="0" w:lastRowLastColumn="0"/>
            </w:pPr>
            <w:r w:rsidRPr="000F23E0">
              <w:t>Peak construction</w:t>
            </w:r>
          </w:p>
        </w:tc>
      </w:tr>
    </w:tbl>
    <w:p w14:paraId="348AACDF" w14:textId="77777777" w:rsidR="002D33EA" w:rsidRPr="000F23E0" w:rsidRDefault="002D33EA" w:rsidP="002D33EA"/>
    <w:tbl>
      <w:tblPr>
        <w:tblW w:w="5000" w:type="pct"/>
        <w:shd w:val="clear" w:color="auto" w:fill="FDF0E7"/>
        <w:tblCellMar>
          <w:top w:w="113" w:type="dxa"/>
          <w:left w:w="284" w:type="dxa"/>
          <w:bottom w:w="113" w:type="dxa"/>
          <w:right w:w="284" w:type="dxa"/>
        </w:tblCellMar>
        <w:tblLook w:val="04A0" w:firstRow="1" w:lastRow="0" w:firstColumn="1" w:lastColumn="0" w:noHBand="0" w:noVBand="1"/>
      </w:tblPr>
      <w:tblGrid>
        <w:gridCol w:w="9070"/>
      </w:tblGrid>
      <w:tr w:rsidR="007C1976" w:rsidRPr="000F23E0" w14:paraId="5DFC99A3" w14:textId="77777777" w:rsidTr="002C4475">
        <w:tc>
          <w:tcPr>
            <w:tcW w:w="5000" w:type="pct"/>
            <w:shd w:val="clear" w:color="auto" w:fill="FDF0E7"/>
            <w:hideMark/>
          </w:tcPr>
          <w:p w14:paraId="6983267E" w14:textId="712974EB" w:rsidR="005E4145" w:rsidRPr="000F23E0" w:rsidRDefault="00ED3691" w:rsidP="00C7040D">
            <w:pPr>
              <w:pStyle w:val="Caseheading"/>
            </w:pPr>
            <w:r w:rsidRPr="000F23E0">
              <w:t xml:space="preserve">Case </w:t>
            </w:r>
            <w:r w:rsidR="0073268D" w:rsidRPr="000F23E0">
              <w:t>s</w:t>
            </w:r>
            <w:r w:rsidRPr="000F23E0">
              <w:t xml:space="preserve">tudy 2: </w:t>
            </w:r>
            <w:hyperlink r:id="rId56" w:history="1">
              <w:r w:rsidR="005E4145" w:rsidRPr="000F23E0">
                <w:rPr>
                  <w:rStyle w:val="Hyperlink"/>
                </w:rPr>
                <w:t>Humelink</w:t>
              </w:r>
              <w:r w:rsidR="00490246" w:rsidRPr="000F23E0">
                <w:rPr>
                  <w:rStyle w:val="Hyperlink"/>
                </w:rPr>
                <w:t xml:space="preserve"> </w:t>
              </w:r>
              <w:r w:rsidR="00E339D6" w:rsidRPr="000F23E0">
                <w:rPr>
                  <w:rStyle w:val="Hyperlink"/>
                </w:rPr>
                <w:t>to provide essential infrastructure for net zero</w:t>
              </w:r>
              <w:r w:rsidR="002C4475" w:rsidRPr="000F23E0">
                <w:rPr>
                  <w:rStyle w:val="Hyperlink"/>
                </w:rPr>
                <w:t> </w:t>
              </w:r>
              <w:r w:rsidR="00E339D6" w:rsidRPr="000F23E0">
                <w:rPr>
                  <w:rStyle w:val="Hyperlink"/>
                </w:rPr>
                <w:t>transition</w:t>
              </w:r>
            </w:hyperlink>
            <w:r w:rsidR="005E4145" w:rsidRPr="000F23E0">
              <w:t xml:space="preserve"> </w:t>
            </w:r>
          </w:p>
          <w:p w14:paraId="034606DC" w14:textId="44F13C08" w:rsidR="005E4145" w:rsidRPr="000F23E0" w:rsidRDefault="005E4145" w:rsidP="00D05E2B">
            <w:pPr>
              <w:pStyle w:val="BoxText"/>
            </w:pPr>
            <w:r w:rsidRPr="000F23E0">
              <w:t>The CEFC committed up to $1.935 billion to enable the construction of HumeLink, part of a</w:t>
            </w:r>
            <w:r w:rsidR="00BB60BE" w:rsidRPr="000F23E0">
              <w:t> </w:t>
            </w:r>
            <w:r w:rsidRPr="000F23E0">
              <w:t xml:space="preserve">clean energy </w:t>
            </w:r>
            <w:r w:rsidR="00386EAA" w:rsidRPr="000F23E0">
              <w:t>‘</w:t>
            </w:r>
            <w:r w:rsidRPr="000F23E0">
              <w:t>superhighway</w:t>
            </w:r>
            <w:r w:rsidR="00386EAA" w:rsidRPr="000F23E0">
              <w:t>’</w:t>
            </w:r>
            <w:r w:rsidRPr="000F23E0">
              <w:t xml:space="preserve"> connecting millions of consumers to low emissions, low-cost renewable energy.</w:t>
            </w:r>
          </w:p>
          <w:p w14:paraId="3081E77C" w14:textId="77777777" w:rsidR="005E4145" w:rsidRPr="000F23E0" w:rsidRDefault="005E4145" w:rsidP="00D05E2B">
            <w:pPr>
              <w:pStyle w:val="BoxText"/>
            </w:pPr>
            <w:r w:rsidRPr="000F23E0">
              <w:t xml:space="preserve">The CEFC worked with Transgrid to develop a tailored financing package, combining concessional senior debt with subordinated notes. The investment commitment was subsequently reduced to $1.35 billion due to changes in financial market conditions and increased private sector investment participation. </w:t>
            </w:r>
          </w:p>
          <w:p w14:paraId="029A576B" w14:textId="77777777" w:rsidR="005E4145" w:rsidRPr="000F23E0" w:rsidRDefault="005E4145" w:rsidP="00D05E2B">
            <w:pPr>
              <w:pStyle w:val="BoxText"/>
              <w:rPr>
                <w:highlight w:val="yellow"/>
              </w:rPr>
            </w:pPr>
            <w:r w:rsidRPr="000F23E0">
              <w:t>HumeLink will link the Greater Sydney electricity load centre with the Snowy Mountains Hydroelectric Scheme (Snowy 2.0), EnergyConnect in southwest NSW and the NSW element of VNI West (NSW). The infrastructure will deliver up to 2,200 MW of pumped storage to major population centres and unlock additional renewable capacity.</w:t>
            </w:r>
          </w:p>
          <w:p w14:paraId="76186668" w14:textId="77777777" w:rsidR="005E4145" w:rsidRPr="000F23E0" w:rsidRDefault="005E4145" w:rsidP="00D05E2B">
            <w:pPr>
              <w:pStyle w:val="BoxText"/>
            </w:pPr>
            <w:r w:rsidRPr="000F23E0">
              <w:t>HumeLink will deliver more than $1 billion in net benefits to Australian households and businesses by providing access to more sustainable, affordable and reliable energy. It will also provide an economic boost to regional communities, creating up to 1,600 construction jobs and delivering $6.3 billion in direct and indirect investment in local economies.</w:t>
            </w:r>
          </w:p>
          <w:p w14:paraId="1EF2A6FA" w14:textId="79870BF9" w:rsidR="00ED3691" w:rsidRPr="000F23E0" w:rsidRDefault="005E4145" w:rsidP="00D05E2B">
            <w:pPr>
              <w:pStyle w:val="BoxText"/>
            </w:pPr>
            <w:r w:rsidRPr="000F23E0">
              <w:t>Transgrid is prioritising local employment, training and skills development to provide lasting community benefits, including investing more than $11 million directly into the community to provide enduring social legacy outcomes</w:t>
            </w:r>
            <w:r w:rsidR="00896868" w:rsidRPr="000F23E0">
              <w:t>.</w:t>
            </w:r>
          </w:p>
        </w:tc>
      </w:tr>
    </w:tbl>
    <w:p w14:paraId="72F92DE3" w14:textId="77777777" w:rsidR="00ED3691" w:rsidRPr="000F23E0" w:rsidRDefault="00ED3691" w:rsidP="00ED3691">
      <w:pPr>
        <w:spacing w:before="0" w:after="160" w:line="259" w:lineRule="auto"/>
      </w:pPr>
      <w:r w:rsidRPr="000F23E0">
        <w:br w:type="page"/>
      </w:r>
    </w:p>
    <w:p w14:paraId="4D16EB60" w14:textId="02392883" w:rsidR="00D461D1" w:rsidRPr="000F23E0" w:rsidRDefault="00D461D1" w:rsidP="006475BB">
      <w:pPr>
        <w:pStyle w:val="Heading2"/>
      </w:pPr>
      <w:bookmarkStart w:id="109" w:name="_Toc225155748"/>
      <w:r w:rsidRPr="000F23E0">
        <w:lastRenderedPageBreak/>
        <w:t>Snowy Hydro</w:t>
      </w:r>
      <w:bookmarkEnd w:id="109"/>
    </w:p>
    <w:p w14:paraId="21E24D1E" w14:textId="786C0AAC" w:rsidR="00E60233" w:rsidRPr="000F23E0" w:rsidRDefault="004C6702" w:rsidP="00D461D1">
      <w:r w:rsidRPr="000F23E0">
        <w:t xml:space="preserve">Snowy 2.0 is </w:t>
      </w:r>
      <w:r w:rsidR="00DB68D5" w:rsidRPr="000F23E0">
        <w:t>a</w:t>
      </w:r>
      <w:r w:rsidR="00876CD2" w:rsidRPr="000F23E0">
        <w:t>n</w:t>
      </w:r>
      <w:r w:rsidR="00DB68D5" w:rsidRPr="000F23E0">
        <w:t xml:space="preserve"> </w:t>
      </w:r>
      <w:r w:rsidRPr="000F23E0">
        <w:t xml:space="preserve">important </w:t>
      </w:r>
      <w:r w:rsidR="00DB68D5" w:rsidRPr="000F23E0">
        <w:t xml:space="preserve">project </w:t>
      </w:r>
      <w:r w:rsidRPr="000F23E0">
        <w:t>for the future security and reliability of Australia</w:t>
      </w:r>
      <w:r w:rsidR="002C4475" w:rsidRPr="000F23E0">
        <w:t>’</w:t>
      </w:r>
      <w:r w:rsidRPr="000F23E0">
        <w:t xml:space="preserve">s energy </w:t>
      </w:r>
      <w:r w:rsidR="000753EA" w:rsidRPr="000F23E0">
        <w:t>system and</w:t>
      </w:r>
      <w:r w:rsidR="00DB68D5" w:rsidRPr="000F23E0">
        <w:t xml:space="preserve"> </w:t>
      </w:r>
      <w:r w:rsidRPr="000F23E0">
        <w:t>will provide firming capacity to support the transition to a decarbonised grid.</w:t>
      </w:r>
      <w:r w:rsidR="009205E2" w:rsidRPr="000F23E0">
        <w:t xml:space="preserve"> </w:t>
      </w:r>
      <w:r w:rsidR="00E60233" w:rsidRPr="000F23E0">
        <w:t>It will provide an additional 2,200 megawatts of dispatchable, on</w:t>
      </w:r>
      <w:r w:rsidR="002C4475" w:rsidRPr="000F23E0">
        <w:noBreakHyphen/>
      </w:r>
      <w:r w:rsidR="00E60233" w:rsidRPr="000F23E0">
        <w:t>demand generating capacity and approximately 350,000 megawatt hours of large</w:t>
      </w:r>
      <w:r w:rsidR="002C4475" w:rsidRPr="000F23E0">
        <w:noBreakHyphen/>
      </w:r>
      <w:r w:rsidR="00E60233" w:rsidRPr="000F23E0">
        <w:t>scale storage to the National Electricity Market. </w:t>
      </w:r>
    </w:p>
    <w:p w14:paraId="4C42072A" w14:textId="44B5BD0C" w:rsidR="00003803" w:rsidRPr="000F23E0" w:rsidRDefault="00003803" w:rsidP="00003803">
      <w:r w:rsidRPr="000F23E0">
        <w:t>Snowy 2.0 is an expansion of the existing Snowy Mountains Hydro</w:t>
      </w:r>
      <w:r w:rsidR="002C4475" w:rsidRPr="000F23E0">
        <w:noBreakHyphen/>
      </w:r>
      <w:r w:rsidRPr="000F23E0">
        <w:t xml:space="preserve">electric Scheme. The project involves linking </w:t>
      </w:r>
      <w:r w:rsidR="00D43D1C" w:rsidRPr="000F23E0">
        <w:t xml:space="preserve">2 </w:t>
      </w:r>
      <w:r w:rsidRPr="000F23E0">
        <w:t>existing dams via 27 km</w:t>
      </w:r>
      <w:r w:rsidR="004C7BFD" w:rsidRPr="000F23E0">
        <w:t xml:space="preserve"> </w:t>
      </w:r>
      <w:r w:rsidRPr="000F23E0">
        <w:t xml:space="preserve">of tunnels and the construction of a new underground power station. It will primarily operate as a pumped hydro generator. </w:t>
      </w:r>
    </w:p>
    <w:p w14:paraId="6762DADD" w14:textId="617A807B" w:rsidR="004C6702" w:rsidRPr="000F23E0" w:rsidRDefault="004C6702" w:rsidP="00D461D1">
      <w:r w:rsidRPr="000F23E0">
        <w:t xml:space="preserve">Snowy 2.0 will </w:t>
      </w:r>
      <w:r w:rsidR="002E4755" w:rsidRPr="000F23E0">
        <w:t xml:space="preserve">operate </w:t>
      </w:r>
      <w:r w:rsidR="005E1733" w:rsidRPr="000F23E0">
        <w:t>like</w:t>
      </w:r>
      <w:r w:rsidR="002E4755" w:rsidRPr="000F23E0">
        <w:t xml:space="preserve"> a giant battery</w:t>
      </w:r>
      <w:r w:rsidR="002D3981" w:rsidRPr="000F23E0">
        <w:t>,</w:t>
      </w:r>
      <w:r w:rsidRPr="000F23E0">
        <w:t xml:space="preserve"> us</w:t>
      </w:r>
      <w:r w:rsidR="007162E8" w:rsidRPr="000F23E0">
        <w:t>ing</w:t>
      </w:r>
      <w:r w:rsidRPr="000F23E0">
        <w:t xml:space="preserve"> periods of surplus renewable electricity generation from wind and solar to pump water to the upper dam (Tantangara</w:t>
      </w:r>
      <w:r w:rsidR="00626459" w:rsidRPr="000F23E0">
        <w:t>)</w:t>
      </w:r>
      <w:r w:rsidRPr="000F23E0">
        <w:t xml:space="preserve"> </w:t>
      </w:r>
      <w:r w:rsidR="00626459" w:rsidRPr="000F23E0">
        <w:t xml:space="preserve">and releasing </w:t>
      </w:r>
      <w:r w:rsidRPr="000F23E0">
        <w:t xml:space="preserve">the water back to the lower dam (Talbingo) </w:t>
      </w:r>
      <w:r w:rsidR="00457806" w:rsidRPr="000F23E0">
        <w:t xml:space="preserve">generating electricity </w:t>
      </w:r>
      <w:r w:rsidRPr="000F23E0">
        <w:t>when the National Electricity Market needs additional</w:t>
      </w:r>
      <w:r w:rsidR="002C4475" w:rsidRPr="000F23E0">
        <w:t> </w:t>
      </w:r>
      <w:r w:rsidRPr="000F23E0">
        <w:t>supply.</w:t>
      </w:r>
    </w:p>
    <w:p w14:paraId="3C1CA444" w14:textId="7D2AD876" w:rsidR="00A769E4" w:rsidRPr="000F23E0" w:rsidRDefault="00A769E4" w:rsidP="00A769E4">
      <w:r w:rsidRPr="000F23E0">
        <w:t>Snowy Hydro is an incorporated Australian company that is governed by an independent Board of Directors and operates on a commercial basis. It is a Government Business Enterprise that operates under the Australian Government</w:t>
      </w:r>
      <w:r w:rsidR="002C4475" w:rsidRPr="000F23E0">
        <w:t>’</w:t>
      </w:r>
      <w:r w:rsidRPr="000F23E0">
        <w:t xml:space="preserve">s Statement of Expectations. The Australian Government is the sole shareholder of Snowy Hydro. </w:t>
      </w:r>
    </w:p>
    <w:p w14:paraId="1C7C3226" w14:textId="4F33CB84" w:rsidR="00D461D1" w:rsidRPr="000F23E0" w:rsidRDefault="00D461D1" w:rsidP="005D6FB4">
      <w:pPr>
        <w:pStyle w:val="Heading3"/>
      </w:pPr>
      <w:r w:rsidRPr="000F23E0">
        <w:t xml:space="preserve">Green Treasury Bond </w:t>
      </w:r>
      <w:r w:rsidR="00496B5B" w:rsidRPr="000F23E0">
        <w:t>a</w:t>
      </w:r>
      <w:r w:rsidRPr="000F23E0">
        <w:t>llocation</w:t>
      </w:r>
    </w:p>
    <w:p w14:paraId="52B6A9EE" w14:textId="0AC35554" w:rsidR="00D1458C" w:rsidRPr="000F23E0" w:rsidRDefault="00611CEF" w:rsidP="00D461D1">
      <w:r w:rsidRPr="000F23E0">
        <w:t>GTB</w:t>
      </w:r>
      <w:r w:rsidR="00212268" w:rsidRPr="000F23E0">
        <w:t>s</w:t>
      </w:r>
      <w:r w:rsidR="008112FD" w:rsidRPr="000F23E0">
        <w:t xml:space="preserve"> </w:t>
      </w:r>
      <w:r w:rsidR="00D5198A" w:rsidRPr="000F23E0">
        <w:t xml:space="preserve">financed </w:t>
      </w:r>
      <w:r w:rsidR="004245E6" w:rsidRPr="000F23E0">
        <w:t>$</w:t>
      </w:r>
      <w:r w:rsidR="00EB5A6A" w:rsidRPr="000F23E0">
        <w:t>81.2</w:t>
      </w:r>
      <w:r w:rsidR="00B46884" w:rsidRPr="000F23E0">
        <w:t xml:space="preserve"> million </w:t>
      </w:r>
      <w:r w:rsidR="00A728D9" w:rsidRPr="000F23E0">
        <w:t>of</w:t>
      </w:r>
      <w:r w:rsidR="00B46884" w:rsidRPr="000F23E0">
        <w:t xml:space="preserve"> </w:t>
      </w:r>
      <w:r w:rsidR="00634521" w:rsidRPr="000F23E0">
        <w:t>Government investment in</w:t>
      </w:r>
      <w:r w:rsidR="00B46884" w:rsidRPr="000F23E0">
        <w:t xml:space="preserve"> Snowy 2.0 in 2024</w:t>
      </w:r>
      <w:r w:rsidR="001055D5" w:rsidRPr="000F23E0">
        <w:t>–</w:t>
      </w:r>
      <w:r w:rsidR="00B46884" w:rsidRPr="000F23E0">
        <w:t>25</w:t>
      </w:r>
      <w:r w:rsidR="00BA0D41" w:rsidRPr="000F23E0">
        <w:t xml:space="preserve"> (</w:t>
      </w:r>
      <w:r w:rsidR="00B30D97" w:rsidRPr="000F23E0">
        <w:t>Table 8</w:t>
      </w:r>
      <w:r w:rsidR="00BA0D41" w:rsidRPr="000F23E0">
        <w:t>)</w:t>
      </w:r>
      <w:r w:rsidR="002132C6" w:rsidRPr="000F23E0">
        <w:t>.</w:t>
      </w:r>
    </w:p>
    <w:p w14:paraId="726241FD" w14:textId="11C6A0AC" w:rsidR="00981102" w:rsidRPr="000F23E0" w:rsidRDefault="002132C6" w:rsidP="00981102">
      <w:r w:rsidRPr="000F23E0">
        <w:t xml:space="preserve">The Total Australian Government Contribution represents the expected </w:t>
      </w:r>
      <w:r w:rsidR="00CA2261" w:rsidRPr="000F23E0">
        <w:t>proportion of</w:t>
      </w:r>
      <w:r w:rsidRPr="000F23E0">
        <w:t xml:space="preserve"> funding of the project</w:t>
      </w:r>
      <w:r w:rsidR="00E9794E" w:rsidRPr="000F23E0">
        <w:t xml:space="preserve"> which may be financed through </w:t>
      </w:r>
      <w:r w:rsidR="0036428A" w:rsidRPr="000F23E0">
        <w:t>GTBs</w:t>
      </w:r>
      <w:r w:rsidR="00E9794E" w:rsidRPr="000F23E0">
        <w:t>.</w:t>
      </w:r>
      <w:r w:rsidR="00981102" w:rsidRPr="000F23E0">
        <w:t xml:space="preserve"> GTBs will not be used to finance the Australian Government</w:t>
      </w:r>
      <w:r w:rsidR="002C4475" w:rsidRPr="000F23E0">
        <w:t>’</w:t>
      </w:r>
      <w:r w:rsidR="00981102" w:rsidRPr="000F23E0">
        <w:t>s equity contribution to the project.</w:t>
      </w:r>
    </w:p>
    <w:p w14:paraId="208A2158" w14:textId="3E8A81B8" w:rsidR="009358B7" w:rsidRPr="000F23E0" w:rsidRDefault="009358B7" w:rsidP="00D461D1">
      <w:r w:rsidRPr="000F23E0">
        <w:t>Snowy Hydro is currently undertaking a reassessment of the completion costs of the project</w:t>
      </w:r>
      <w:r w:rsidR="00854C68" w:rsidRPr="000F23E0">
        <w:t>.</w:t>
      </w:r>
      <w:r w:rsidRPr="000F23E0">
        <w:t xml:space="preserve"> </w:t>
      </w:r>
      <w:r w:rsidR="008810C1" w:rsidRPr="000F23E0">
        <w:t>The total cost of the project may change following this process.</w:t>
      </w:r>
    </w:p>
    <w:p w14:paraId="1EC10ACA" w14:textId="02AD3111" w:rsidR="00D461D1" w:rsidRPr="000F23E0" w:rsidRDefault="00CE037A" w:rsidP="00551F72">
      <w:pPr>
        <w:pStyle w:val="TableMainHeading"/>
      </w:pPr>
      <w:bookmarkStart w:id="110" w:name="_Toc220662868"/>
      <w:bookmarkStart w:id="111" w:name="_Toc224637798"/>
      <w:bookmarkStart w:id="112" w:name="_Toc224642462"/>
      <w:bookmarkStart w:id="113" w:name="_Toc225153438"/>
      <w:bookmarkStart w:id="114" w:name="_Toc225154484"/>
      <w:bookmarkStart w:id="115" w:name="_Toc225155749"/>
      <w:r w:rsidRPr="000F23E0">
        <w:t xml:space="preserve">Table </w:t>
      </w:r>
      <w:r w:rsidR="00B30D97" w:rsidRPr="000F23E0">
        <w:t>8</w:t>
      </w:r>
      <w:r w:rsidR="00627058" w:rsidRPr="000F23E0">
        <w:t>:</w:t>
      </w:r>
      <w:r w:rsidRPr="000F23E0">
        <w:t xml:space="preserve"> Allocation Data for Snowy </w:t>
      </w:r>
      <w:r w:rsidR="00CD1D72" w:rsidRPr="000F23E0">
        <w:t xml:space="preserve">2.0 </w:t>
      </w:r>
      <w:r w:rsidRPr="000F23E0">
        <w:t>($ million)</w:t>
      </w:r>
      <w:bookmarkEnd w:id="110"/>
      <w:bookmarkEnd w:id="111"/>
      <w:bookmarkEnd w:id="112"/>
      <w:bookmarkEnd w:id="113"/>
      <w:bookmarkEnd w:id="114"/>
      <w:bookmarkEnd w:id="115"/>
    </w:p>
    <w:tbl>
      <w:tblPr>
        <w:tblStyle w:val="GridTable4-Accent2"/>
        <w:tblW w:w="5000" w:type="pct"/>
        <w:tblInd w:w="5" w:type="dxa"/>
        <w:tblBorders>
          <w:top w:val="single" w:sz="4" w:space="0" w:color="DFA795"/>
          <w:bottom w:val="single" w:sz="4" w:space="0" w:color="DFA795"/>
        </w:tblBorders>
        <w:tblLayout w:type="fixed"/>
        <w:tblLook w:val="04A0" w:firstRow="1" w:lastRow="0" w:firstColumn="1" w:lastColumn="0" w:noHBand="0" w:noVBand="1"/>
      </w:tblPr>
      <w:tblGrid>
        <w:gridCol w:w="2122"/>
        <w:gridCol w:w="1275"/>
        <w:gridCol w:w="142"/>
        <w:gridCol w:w="1418"/>
        <w:gridCol w:w="2299"/>
        <w:gridCol w:w="1814"/>
      </w:tblGrid>
      <w:tr w:rsidR="002C4475" w:rsidRPr="000F23E0" w14:paraId="01AF9A3B" w14:textId="77777777" w:rsidTr="00026C82">
        <w:trPr>
          <w:cnfStyle w:val="100000000000" w:firstRow="1" w:lastRow="0" w:firstColumn="0" w:lastColumn="0" w:oddVBand="0" w:evenVBand="0" w:oddHBand="0" w:evenHBand="0" w:firstRowFirstColumn="0" w:firstRowLastColumn="0" w:lastRowFirstColumn="0" w:lastRowLastColumn="0"/>
          <w:trHeight w:val="224"/>
        </w:trPr>
        <w:tc>
          <w:tcPr>
            <w:cnfStyle w:val="001000000000" w:firstRow="0" w:lastRow="0" w:firstColumn="1" w:lastColumn="0" w:oddVBand="0" w:evenVBand="0" w:oddHBand="0" w:evenHBand="0" w:firstRowFirstColumn="0" w:firstRowLastColumn="0" w:lastRowFirstColumn="0" w:lastRowLastColumn="0"/>
            <w:tcW w:w="2122" w:type="dxa"/>
            <w:tcBorders>
              <w:top w:val="single" w:sz="4" w:space="0" w:color="DFA795"/>
              <w:bottom w:val="single" w:sz="4" w:space="0" w:color="DFA795"/>
            </w:tcBorders>
            <w:shd w:val="clear" w:color="auto" w:fill="F1D0C6"/>
          </w:tcPr>
          <w:p w14:paraId="6EC7A5CC" w14:textId="1FC9613B" w:rsidR="00936FE1" w:rsidRPr="000F23E0" w:rsidRDefault="00DF2FE3" w:rsidP="0011499B">
            <w:pPr>
              <w:pStyle w:val="TableColumnHeadingLeft"/>
              <w:rPr>
                <w:b/>
                <w:bCs w:val="0"/>
              </w:rPr>
            </w:pPr>
            <w:r w:rsidRPr="000F23E0">
              <w:rPr>
                <w:b/>
                <w:bCs w:val="0"/>
              </w:rPr>
              <w:t>Eligible Green Expenditure</w:t>
            </w:r>
          </w:p>
        </w:tc>
        <w:tc>
          <w:tcPr>
            <w:tcW w:w="1417" w:type="dxa"/>
            <w:gridSpan w:val="2"/>
            <w:tcBorders>
              <w:top w:val="single" w:sz="4" w:space="0" w:color="DFA795"/>
              <w:bottom w:val="single" w:sz="4" w:space="0" w:color="DFA795"/>
            </w:tcBorders>
            <w:shd w:val="clear" w:color="auto" w:fill="F1D0C6"/>
          </w:tcPr>
          <w:p w14:paraId="7C3068B5" w14:textId="287371FE" w:rsidR="00936FE1" w:rsidRPr="000F23E0" w:rsidRDefault="00936FE1" w:rsidP="0011499B">
            <w:pPr>
              <w:pStyle w:val="TableColumnHeadingRight"/>
              <w:cnfStyle w:val="100000000000" w:firstRow="1" w:lastRow="0" w:firstColumn="0" w:lastColumn="0" w:oddVBand="0" w:evenVBand="0" w:oddHBand="0" w:evenHBand="0" w:firstRowFirstColumn="0" w:firstRowLastColumn="0" w:lastRowFirstColumn="0" w:lastRowLastColumn="0"/>
              <w:rPr>
                <w:b/>
                <w:bCs w:val="0"/>
              </w:rPr>
            </w:pPr>
            <w:r w:rsidRPr="000F23E0">
              <w:rPr>
                <w:b/>
                <w:bCs w:val="0"/>
              </w:rPr>
              <w:t>2024</w:t>
            </w:r>
            <w:r w:rsidR="001055D5" w:rsidRPr="000F23E0">
              <w:rPr>
                <w:b/>
                <w:bCs w:val="0"/>
              </w:rPr>
              <w:t>–</w:t>
            </w:r>
            <w:r w:rsidRPr="000F23E0">
              <w:rPr>
                <w:b/>
                <w:bCs w:val="0"/>
              </w:rPr>
              <w:t xml:space="preserve">25 Expenditure </w:t>
            </w:r>
          </w:p>
        </w:tc>
        <w:tc>
          <w:tcPr>
            <w:tcW w:w="1418" w:type="dxa"/>
            <w:tcBorders>
              <w:top w:val="single" w:sz="4" w:space="0" w:color="DFA795"/>
              <w:bottom w:val="single" w:sz="4" w:space="0" w:color="DFA795"/>
            </w:tcBorders>
            <w:shd w:val="clear" w:color="auto" w:fill="F1D0C6"/>
          </w:tcPr>
          <w:p w14:paraId="5D50B2B7" w14:textId="18DC4940" w:rsidR="00936FE1" w:rsidRPr="000F23E0" w:rsidRDefault="00EA0F10" w:rsidP="0011499B">
            <w:pPr>
              <w:pStyle w:val="TableColumnHeadingRight"/>
              <w:cnfStyle w:val="100000000000" w:firstRow="1" w:lastRow="0" w:firstColumn="0" w:lastColumn="0" w:oddVBand="0" w:evenVBand="0" w:oddHBand="0" w:evenHBand="0" w:firstRowFirstColumn="0" w:firstRowLastColumn="0" w:lastRowFirstColumn="0" w:lastRowLastColumn="0"/>
              <w:rPr>
                <w:b/>
                <w:bCs w:val="0"/>
              </w:rPr>
            </w:pPr>
            <w:r w:rsidRPr="000F23E0">
              <w:rPr>
                <w:b/>
                <w:bCs w:val="0"/>
              </w:rPr>
              <w:t>Allocation 2026</w:t>
            </w:r>
            <w:r w:rsidR="00026C82" w:rsidRPr="000F23E0">
              <w:rPr>
                <w:b/>
                <w:bCs w:val="0"/>
              </w:rPr>
              <w:t> </w:t>
            </w:r>
            <w:r w:rsidRPr="000F23E0">
              <w:rPr>
                <w:b/>
                <w:bCs w:val="0"/>
              </w:rPr>
              <w:t>Report</w:t>
            </w:r>
            <w:r w:rsidR="00936FE1" w:rsidRPr="000F23E0">
              <w:rPr>
                <w:b/>
                <w:bCs w:val="0"/>
              </w:rPr>
              <w:t xml:space="preserve"> </w:t>
            </w:r>
          </w:p>
        </w:tc>
        <w:tc>
          <w:tcPr>
            <w:tcW w:w="2299" w:type="dxa"/>
            <w:tcBorders>
              <w:top w:val="single" w:sz="4" w:space="0" w:color="DFA795"/>
              <w:bottom w:val="single" w:sz="4" w:space="0" w:color="DFA795"/>
            </w:tcBorders>
            <w:shd w:val="clear" w:color="auto" w:fill="F1D0C6"/>
          </w:tcPr>
          <w:p w14:paraId="682DF3A5" w14:textId="4D18AEC8" w:rsidR="00936FE1" w:rsidRPr="000F23E0" w:rsidRDefault="00936FE1" w:rsidP="0011499B">
            <w:pPr>
              <w:pStyle w:val="TableColumnHeadingRight"/>
              <w:cnfStyle w:val="100000000000" w:firstRow="1" w:lastRow="0" w:firstColumn="0" w:lastColumn="0" w:oddVBand="0" w:evenVBand="0" w:oddHBand="0" w:evenHBand="0" w:firstRowFirstColumn="0" w:firstRowLastColumn="0" w:lastRowFirstColumn="0" w:lastRowLastColumn="0"/>
              <w:rPr>
                <w:b/>
                <w:bCs w:val="0"/>
              </w:rPr>
            </w:pPr>
            <w:r w:rsidRPr="000F23E0">
              <w:rPr>
                <w:b/>
                <w:bCs w:val="0"/>
              </w:rPr>
              <w:t>Total Australian Government</w:t>
            </w:r>
            <w:r w:rsidR="002C4475" w:rsidRPr="000F23E0">
              <w:rPr>
                <w:b/>
                <w:bCs w:val="0"/>
              </w:rPr>
              <w:t> </w:t>
            </w:r>
            <w:r w:rsidRPr="000F23E0">
              <w:rPr>
                <w:b/>
                <w:bCs w:val="0"/>
              </w:rPr>
              <w:t xml:space="preserve">Contribution </w:t>
            </w:r>
          </w:p>
        </w:tc>
        <w:tc>
          <w:tcPr>
            <w:tcW w:w="1814" w:type="dxa"/>
            <w:tcBorders>
              <w:top w:val="single" w:sz="4" w:space="0" w:color="DFA795"/>
              <w:bottom w:val="single" w:sz="4" w:space="0" w:color="DFA795"/>
            </w:tcBorders>
            <w:shd w:val="clear" w:color="auto" w:fill="F1D0C6"/>
          </w:tcPr>
          <w:p w14:paraId="45E8DF93" w14:textId="355AA605" w:rsidR="00936FE1" w:rsidRPr="000F23E0" w:rsidRDefault="00936FE1" w:rsidP="0011499B">
            <w:pPr>
              <w:pStyle w:val="TableColumnHeadingRight"/>
              <w:cnfStyle w:val="100000000000" w:firstRow="1" w:lastRow="0" w:firstColumn="0" w:lastColumn="0" w:oddVBand="0" w:evenVBand="0" w:oddHBand="0" w:evenHBand="0" w:firstRowFirstColumn="0" w:firstRowLastColumn="0" w:lastRowFirstColumn="0" w:lastRowLastColumn="0"/>
              <w:rPr>
                <w:b/>
                <w:bCs w:val="0"/>
              </w:rPr>
            </w:pPr>
            <w:r w:rsidRPr="000F23E0">
              <w:rPr>
                <w:b/>
                <w:bCs w:val="0"/>
              </w:rPr>
              <w:t xml:space="preserve">Total Cost of Project </w:t>
            </w:r>
          </w:p>
        </w:tc>
      </w:tr>
      <w:tr w:rsidR="001F08A7" w:rsidRPr="000F23E0" w14:paraId="44B4FBFA" w14:textId="77777777" w:rsidTr="00026C82">
        <w:trPr>
          <w:trHeight w:val="267"/>
        </w:trPr>
        <w:tc>
          <w:tcPr>
            <w:cnfStyle w:val="001000000000" w:firstRow="0" w:lastRow="0" w:firstColumn="1" w:lastColumn="0" w:oddVBand="0" w:evenVBand="0" w:oddHBand="0" w:evenHBand="0" w:firstRowFirstColumn="0" w:firstRowLastColumn="0" w:lastRowFirstColumn="0" w:lastRowLastColumn="0"/>
            <w:tcW w:w="2122" w:type="dxa"/>
            <w:tcBorders>
              <w:top w:val="single" w:sz="4" w:space="0" w:color="DFA795"/>
            </w:tcBorders>
            <w:shd w:val="clear" w:color="auto" w:fill="FDF0E7"/>
          </w:tcPr>
          <w:p w14:paraId="0E431243" w14:textId="45589F6D" w:rsidR="001F08A7" w:rsidRPr="000F23E0" w:rsidRDefault="00DF2FE3" w:rsidP="0011499B">
            <w:pPr>
              <w:pStyle w:val="TableTextLeft"/>
            </w:pPr>
            <w:r w:rsidRPr="000F23E0">
              <w:t>Snowy Hydro</w:t>
            </w:r>
          </w:p>
        </w:tc>
        <w:tc>
          <w:tcPr>
            <w:tcW w:w="1275" w:type="dxa"/>
            <w:tcBorders>
              <w:top w:val="single" w:sz="4" w:space="0" w:color="DFA795"/>
            </w:tcBorders>
            <w:shd w:val="clear" w:color="auto" w:fill="FEFAF8"/>
          </w:tcPr>
          <w:p w14:paraId="09EB3270" w14:textId="13FCCC0D" w:rsidR="001F08A7" w:rsidRPr="000F23E0" w:rsidRDefault="001F08A7" w:rsidP="0011499B">
            <w:pPr>
              <w:pStyle w:val="TableTextRight"/>
              <w:cnfStyle w:val="000000000000" w:firstRow="0" w:lastRow="0" w:firstColumn="0" w:lastColumn="0" w:oddVBand="0" w:evenVBand="0" w:oddHBand="0" w:evenHBand="0" w:firstRowFirstColumn="0" w:firstRowLastColumn="0" w:lastRowFirstColumn="0" w:lastRowLastColumn="0"/>
            </w:pPr>
            <w:r w:rsidRPr="000F23E0">
              <w:t>150.0</w:t>
            </w:r>
          </w:p>
        </w:tc>
        <w:tc>
          <w:tcPr>
            <w:tcW w:w="1560" w:type="dxa"/>
            <w:gridSpan w:val="2"/>
            <w:tcBorders>
              <w:top w:val="single" w:sz="4" w:space="0" w:color="DFA795"/>
            </w:tcBorders>
            <w:shd w:val="clear" w:color="auto" w:fill="FEFAF8"/>
          </w:tcPr>
          <w:p w14:paraId="44FCB8A1" w14:textId="75ABC3E1" w:rsidR="001F08A7" w:rsidRPr="000F23E0" w:rsidRDefault="00EB5A6A" w:rsidP="0011499B">
            <w:pPr>
              <w:pStyle w:val="TableTextRight"/>
              <w:cnfStyle w:val="000000000000" w:firstRow="0" w:lastRow="0" w:firstColumn="0" w:lastColumn="0" w:oddVBand="0" w:evenVBand="0" w:oddHBand="0" w:evenHBand="0" w:firstRowFirstColumn="0" w:firstRowLastColumn="0" w:lastRowFirstColumn="0" w:lastRowLastColumn="0"/>
            </w:pPr>
            <w:r w:rsidRPr="000F23E0">
              <w:t>81.2</w:t>
            </w:r>
          </w:p>
        </w:tc>
        <w:tc>
          <w:tcPr>
            <w:tcW w:w="2299" w:type="dxa"/>
            <w:tcBorders>
              <w:top w:val="single" w:sz="4" w:space="0" w:color="DFA795"/>
            </w:tcBorders>
            <w:shd w:val="clear" w:color="auto" w:fill="FEFAF8"/>
          </w:tcPr>
          <w:p w14:paraId="1EFAAFC2" w14:textId="16DD5B1A" w:rsidR="001F08A7" w:rsidRPr="000F23E0" w:rsidRDefault="001F08A7" w:rsidP="0011499B">
            <w:pPr>
              <w:pStyle w:val="TableTextRight"/>
              <w:cnfStyle w:val="000000000000" w:firstRow="0" w:lastRow="0" w:firstColumn="0" w:lastColumn="0" w:oddVBand="0" w:evenVBand="0" w:oddHBand="0" w:evenHBand="0" w:firstRowFirstColumn="0" w:firstRowLastColumn="0" w:lastRowFirstColumn="0" w:lastRowLastColumn="0"/>
            </w:pPr>
            <w:r w:rsidRPr="000F23E0">
              <w:t>4,500.0</w:t>
            </w:r>
          </w:p>
        </w:tc>
        <w:tc>
          <w:tcPr>
            <w:tcW w:w="1814" w:type="dxa"/>
            <w:tcBorders>
              <w:top w:val="single" w:sz="4" w:space="0" w:color="DFA795"/>
            </w:tcBorders>
            <w:shd w:val="clear" w:color="auto" w:fill="FEFAF8"/>
          </w:tcPr>
          <w:p w14:paraId="12355A61" w14:textId="2628E10D" w:rsidR="001F08A7" w:rsidRPr="000F23E0" w:rsidRDefault="005A5CEC" w:rsidP="0011499B">
            <w:pPr>
              <w:pStyle w:val="TableTextRight"/>
              <w:cnfStyle w:val="000000000000" w:firstRow="0" w:lastRow="0" w:firstColumn="0" w:lastColumn="0" w:oddVBand="0" w:evenVBand="0" w:oddHBand="0" w:evenHBand="0" w:firstRowFirstColumn="0" w:firstRowLastColumn="0" w:lastRowFirstColumn="0" w:lastRowLastColumn="0"/>
            </w:pPr>
            <w:r w:rsidRPr="000F23E0">
              <w:t>Total cost under reassessment</w:t>
            </w:r>
          </w:p>
        </w:tc>
      </w:tr>
    </w:tbl>
    <w:p w14:paraId="7530CCA3" w14:textId="3E030C2D" w:rsidR="00D461D1" w:rsidRPr="000F23E0" w:rsidRDefault="00D461D1" w:rsidP="002D33EA">
      <w:pPr>
        <w:pStyle w:val="Heading4"/>
        <w:keepNext/>
        <w:keepLines/>
      </w:pPr>
      <w:r w:rsidRPr="000F23E0">
        <w:t>Co</w:t>
      </w:r>
      <w:r w:rsidR="002C4475" w:rsidRPr="000F23E0">
        <w:noBreakHyphen/>
      </w:r>
      <w:r w:rsidR="000753EA" w:rsidRPr="000F23E0">
        <w:t>f</w:t>
      </w:r>
      <w:r w:rsidRPr="000F23E0">
        <w:t xml:space="preserve">inancing </w:t>
      </w:r>
      <w:r w:rsidR="00496B5B" w:rsidRPr="000F23E0">
        <w:t>a</w:t>
      </w:r>
      <w:r w:rsidRPr="000F23E0">
        <w:t>rrangements</w:t>
      </w:r>
    </w:p>
    <w:p w14:paraId="16A90A47" w14:textId="4B7B30B9" w:rsidR="00331E67" w:rsidRPr="000F23E0" w:rsidRDefault="00CD46BE" w:rsidP="000F40D2">
      <w:pPr>
        <w:keepLines/>
      </w:pPr>
      <w:r w:rsidRPr="000F23E0">
        <w:t>Snowy 2.0 is financed by Snowy Hydro using a mixture of shareholder equity, a Commonwealth loan facility and private market debt.</w:t>
      </w:r>
    </w:p>
    <w:p w14:paraId="054E6511" w14:textId="20E89432" w:rsidR="00D461D1" w:rsidRPr="000F23E0" w:rsidRDefault="00D461D1" w:rsidP="002D33EA">
      <w:pPr>
        <w:pStyle w:val="Heading4"/>
        <w:keepNext/>
        <w:keepLines/>
      </w:pPr>
      <w:r w:rsidRPr="000F23E0">
        <w:lastRenderedPageBreak/>
        <w:t xml:space="preserve">Material </w:t>
      </w:r>
      <w:r w:rsidR="00496B5B" w:rsidRPr="000F23E0">
        <w:t>r</w:t>
      </w:r>
      <w:r w:rsidRPr="000F23E0">
        <w:t>isks</w:t>
      </w:r>
    </w:p>
    <w:p w14:paraId="667D5200" w14:textId="1A7C2137" w:rsidR="00386C5B" w:rsidRPr="000F23E0" w:rsidRDefault="009B2902" w:rsidP="002D33EA">
      <w:pPr>
        <w:keepNext/>
        <w:keepLines/>
      </w:pPr>
      <w:r w:rsidRPr="000F23E0">
        <w:t xml:space="preserve">Project risks for Snowy 2.0 include potential construction delays </w:t>
      </w:r>
      <w:r w:rsidR="00F6770E" w:rsidRPr="000F23E0">
        <w:t xml:space="preserve">and </w:t>
      </w:r>
      <w:r w:rsidRPr="000F23E0">
        <w:t>cost pressures</w:t>
      </w:r>
      <w:r w:rsidR="00F6770E" w:rsidRPr="000F23E0">
        <w:t>.</w:t>
      </w:r>
      <w:r w:rsidRPr="000F23E0">
        <w:t xml:space="preserve"> The Government continues to monitor these risks through engagement and oversight of Snowy Hydro </w:t>
      </w:r>
      <w:r w:rsidR="00F6770E" w:rsidRPr="000F23E0">
        <w:t>as a prescribed Government Business Enterprise. The total cost</w:t>
      </w:r>
      <w:r w:rsidR="00B45337" w:rsidRPr="000F23E0">
        <w:t xml:space="preserve"> of </w:t>
      </w:r>
      <w:r w:rsidR="00F6770E" w:rsidRPr="000F23E0">
        <w:t>Snowy 2.0</w:t>
      </w:r>
      <w:r w:rsidR="00B45337" w:rsidRPr="000F23E0">
        <w:t xml:space="preserve"> has not been </w:t>
      </w:r>
      <w:r w:rsidR="00F67E9E" w:rsidRPr="000F23E0">
        <w:t>reported</w:t>
      </w:r>
      <w:r w:rsidR="00B45337" w:rsidRPr="000F23E0">
        <w:t xml:space="preserve"> in Table</w:t>
      </w:r>
      <w:r w:rsidR="00BB60BE" w:rsidRPr="000F23E0">
        <w:t> </w:t>
      </w:r>
      <w:r w:rsidR="00C80C5E" w:rsidRPr="000F23E0">
        <w:t>9</w:t>
      </w:r>
      <w:r w:rsidR="00B45337" w:rsidRPr="000F23E0">
        <w:t xml:space="preserve"> du</w:t>
      </w:r>
      <w:r w:rsidR="00A344F3" w:rsidRPr="000F23E0">
        <w:t xml:space="preserve">e </w:t>
      </w:r>
      <w:r w:rsidR="00F67E9E" w:rsidRPr="000F23E0">
        <w:t>to the</w:t>
      </w:r>
      <w:r w:rsidRPr="000F23E0">
        <w:t xml:space="preserve"> Snowy 2.0 cost </w:t>
      </w:r>
      <w:r w:rsidR="00A344F3" w:rsidRPr="000F23E0">
        <w:t xml:space="preserve">reassessment </w:t>
      </w:r>
      <w:r w:rsidRPr="000F23E0">
        <w:t>announced on 3 October 2025.</w:t>
      </w:r>
      <w:r w:rsidR="0035148C" w:rsidRPr="000F23E0">
        <w:rPr>
          <w:rStyle w:val="EndnoteReference"/>
        </w:rPr>
        <w:endnoteReference w:id="38"/>
      </w:r>
    </w:p>
    <w:p w14:paraId="51920331" w14:textId="3B38A2C7" w:rsidR="00D461D1" w:rsidRPr="000F23E0" w:rsidRDefault="00D461D1" w:rsidP="005D6FB4">
      <w:pPr>
        <w:pStyle w:val="Heading3"/>
      </w:pPr>
      <w:r w:rsidRPr="000F23E0">
        <w:t xml:space="preserve">Project </w:t>
      </w:r>
      <w:r w:rsidR="008041DB" w:rsidRPr="000F23E0">
        <w:t>i</w:t>
      </w:r>
      <w:r w:rsidRPr="000F23E0">
        <w:t>mpacts</w:t>
      </w:r>
    </w:p>
    <w:p w14:paraId="69915D3E" w14:textId="24C2B860" w:rsidR="00D461D1" w:rsidRPr="000F23E0" w:rsidRDefault="00724F4D" w:rsidP="000F07E9">
      <w:r w:rsidRPr="000F23E0">
        <w:t>Snowy 2.0 will provide on</w:t>
      </w:r>
      <w:r w:rsidR="002C4475" w:rsidRPr="000F23E0">
        <w:noBreakHyphen/>
      </w:r>
      <w:r w:rsidRPr="000F23E0">
        <w:t>demand energy and large</w:t>
      </w:r>
      <w:r w:rsidR="002C4475" w:rsidRPr="000F23E0">
        <w:noBreakHyphen/>
      </w:r>
      <w:r w:rsidRPr="000F23E0">
        <w:t xml:space="preserve">scale storage for the </w:t>
      </w:r>
      <w:r w:rsidR="00F06BD9" w:rsidRPr="000F23E0">
        <w:t>National Electricity Market.</w:t>
      </w:r>
      <w:r w:rsidR="001B3895" w:rsidRPr="000F23E0">
        <w:t xml:space="preserve"> Once complete, the project is expected to provide </w:t>
      </w:r>
      <w:r w:rsidR="008572F1" w:rsidRPr="000F23E0">
        <w:t xml:space="preserve">an additional 2,200 </w:t>
      </w:r>
      <w:r w:rsidR="000F07E9" w:rsidRPr="000F23E0">
        <w:t xml:space="preserve">megawatts of </w:t>
      </w:r>
      <w:r w:rsidR="00CF2EC7" w:rsidRPr="000F23E0">
        <w:t>generating capacity</w:t>
      </w:r>
      <w:r w:rsidR="008572F1" w:rsidRPr="000F23E0">
        <w:t xml:space="preserve"> </w:t>
      </w:r>
      <w:r w:rsidR="00CF2EC7" w:rsidRPr="000F23E0">
        <w:t xml:space="preserve">and approximately </w:t>
      </w:r>
      <w:r w:rsidR="008572F1" w:rsidRPr="000F23E0">
        <w:t xml:space="preserve">350,000 MWh </w:t>
      </w:r>
      <w:r w:rsidR="00CF2EC7" w:rsidRPr="000F23E0">
        <w:t xml:space="preserve">of energy storage </w:t>
      </w:r>
      <w:r w:rsidR="008572F1" w:rsidRPr="000F23E0">
        <w:t xml:space="preserve">to the </w:t>
      </w:r>
      <w:r w:rsidR="000F07E9" w:rsidRPr="000F23E0">
        <w:t xml:space="preserve">National </w:t>
      </w:r>
      <w:r w:rsidR="004E38E2" w:rsidRPr="000F23E0">
        <w:t>Electricity</w:t>
      </w:r>
      <w:r w:rsidR="000F07E9" w:rsidRPr="000F23E0">
        <w:t xml:space="preserve"> Market.</w:t>
      </w:r>
    </w:p>
    <w:p w14:paraId="08B309B0" w14:textId="7FC71565" w:rsidR="00D461D1" w:rsidRPr="000F23E0" w:rsidRDefault="00D461D1" w:rsidP="00551F72">
      <w:pPr>
        <w:pStyle w:val="TableMainHeading"/>
      </w:pPr>
      <w:bookmarkStart w:id="116" w:name="_Toc220662869"/>
      <w:bookmarkStart w:id="117" w:name="_Toc224637799"/>
      <w:bookmarkStart w:id="118" w:name="_Toc224642463"/>
      <w:bookmarkStart w:id="119" w:name="_Toc225153439"/>
      <w:bookmarkStart w:id="120" w:name="_Toc225154485"/>
      <w:bookmarkStart w:id="121" w:name="_Toc225155750"/>
      <w:r w:rsidRPr="000F23E0">
        <w:t xml:space="preserve">Table </w:t>
      </w:r>
      <w:r w:rsidR="00B30D97" w:rsidRPr="000F23E0">
        <w:t>9</w:t>
      </w:r>
      <w:r w:rsidR="00627058" w:rsidRPr="000F23E0">
        <w:t>:</w:t>
      </w:r>
      <w:r w:rsidRPr="000F23E0">
        <w:t xml:space="preserve"> Impact </w:t>
      </w:r>
      <w:r w:rsidR="00496B5B" w:rsidRPr="000F23E0">
        <w:t>d</w:t>
      </w:r>
      <w:r w:rsidRPr="000F23E0">
        <w:t xml:space="preserve">ata for </w:t>
      </w:r>
      <w:r w:rsidR="00317923" w:rsidRPr="000F23E0">
        <w:t xml:space="preserve">Snowy </w:t>
      </w:r>
      <w:bookmarkEnd w:id="116"/>
      <w:r w:rsidR="00A26A97" w:rsidRPr="000F23E0">
        <w:t>2.0</w:t>
      </w:r>
      <w:bookmarkEnd w:id="117"/>
      <w:bookmarkEnd w:id="118"/>
      <w:bookmarkEnd w:id="119"/>
      <w:bookmarkEnd w:id="120"/>
      <w:bookmarkEnd w:id="121"/>
    </w:p>
    <w:tbl>
      <w:tblPr>
        <w:tblStyle w:val="GridTable4-Accent2"/>
        <w:tblW w:w="5000" w:type="pct"/>
        <w:tblInd w:w="5" w:type="dxa"/>
        <w:tblBorders>
          <w:top w:val="single" w:sz="4" w:space="0" w:color="DFA795"/>
          <w:bottom w:val="single" w:sz="4" w:space="0" w:color="DFA795"/>
        </w:tblBorders>
        <w:tblLook w:val="04A0" w:firstRow="1" w:lastRow="0" w:firstColumn="1" w:lastColumn="0" w:noHBand="0" w:noVBand="1"/>
      </w:tblPr>
      <w:tblGrid>
        <w:gridCol w:w="3114"/>
        <w:gridCol w:w="1276"/>
        <w:gridCol w:w="1417"/>
        <w:gridCol w:w="1701"/>
        <w:gridCol w:w="1562"/>
      </w:tblGrid>
      <w:tr w:rsidR="006947F4" w:rsidRPr="000F23E0" w14:paraId="607C16B3" w14:textId="77777777" w:rsidTr="00026C82">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114" w:type="dxa"/>
            <w:tcBorders>
              <w:top w:val="single" w:sz="4" w:space="0" w:color="DFA795"/>
              <w:bottom w:val="single" w:sz="4" w:space="0" w:color="DFA795"/>
            </w:tcBorders>
            <w:shd w:val="clear" w:color="auto" w:fill="F1D0C6"/>
          </w:tcPr>
          <w:p w14:paraId="57876992" w14:textId="5F21FE7F" w:rsidR="001F6E20" w:rsidRPr="000F23E0" w:rsidRDefault="001F6E20" w:rsidP="0011499B">
            <w:pPr>
              <w:pStyle w:val="TableColumnHeadingLeft"/>
              <w:rPr>
                <w:b/>
              </w:rPr>
            </w:pPr>
            <w:r w:rsidRPr="000F23E0" w:rsidDel="009D675A">
              <w:rPr>
                <w:b/>
                <w:bCs w:val="0"/>
              </w:rPr>
              <w:t>Metric</w:t>
            </w:r>
          </w:p>
        </w:tc>
        <w:tc>
          <w:tcPr>
            <w:tcW w:w="1276" w:type="dxa"/>
            <w:tcBorders>
              <w:top w:val="single" w:sz="4" w:space="0" w:color="DFA795"/>
              <w:bottom w:val="single" w:sz="4" w:space="0" w:color="DFA795"/>
            </w:tcBorders>
            <w:shd w:val="clear" w:color="auto" w:fill="F1D0C6"/>
          </w:tcPr>
          <w:p w14:paraId="00E9EE91" w14:textId="362D3E61" w:rsidR="001F6E20" w:rsidRPr="000F23E0" w:rsidRDefault="001F6E20" w:rsidP="0011499B">
            <w:pPr>
              <w:pStyle w:val="TableColumnHeadingRight"/>
              <w:cnfStyle w:val="100000000000" w:firstRow="1" w:lastRow="0" w:firstColumn="0" w:lastColumn="0" w:oddVBand="0" w:evenVBand="0" w:oddHBand="0" w:evenHBand="0" w:firstRowFirstColumn="0" w:firstRowLastColumn="0" w:lastRowFirstColumn="0" w:lastRowLastColumn="0"/>
              <w:rPr>
                <w:b/>
                <w:bCs w:val="0"/>
              </w:rPr>
            </w:pPr>
            <w:r w:rsidRPr="000F23E0" w:rsidDel="009D675A">
              <w:rPr>
                <w:b/>
                <w:bCs w:val="0"/>
              </w:rPr>
              <w:t>Project</w:t>
            </w:r>
          </w:p>
        </w:tc>
        <w:tc>
          <w:tcPr>
            <w:tcW w:w="1417" w:type="dxa"/>
            <w:tcBorders>
              <w:top w:val="single" w:sz="4" w:space="0" w:color="DFA795"/>
              <w:bottom w:val="single" w:sz="4" w:space="0" w:color="DFA795"/>
            </w:tcBorders>
            <w:shd w:val="clear" w:color="auto" w:fill="F1D0C6"/>
          </w:tcPr>
          <w:p w14:paraId="2971F310" w14:textId="00BEECD4" w:rsidR="001F6E20" w:rsidRPr="000F23E0" w:rsidRDefault="001F6E20" w:rsidP="0011499B">
            <w:pPr>
              <w:pStyle w:val="TableColumnHeadingRight"/>
              <w:cnfStyle w:val="100000000000" w:firstRow="1" w:lastRow="0" w:firstColumn="0" w:lastColumn="0" w:oddVBand="0" w:evenVBand="0" w:oddHBand="0" w:evenHBand="0" w:firstRowFirstColumn="0" w:firstRowLastColumn="0" w:lastRowFirstColumn="0" w:lastRowLastColumn="0"/>
              <w:rPr>
                <w:b/>
                <w:bCs w:val="0"/>
              </w:rPr>
            </w:pPr>
            <w:r w:rsidRPr="000F23E0">
              <w:rPr>
                <w:b/>
                <w:bCs w:val="0"/>
              </w:rPr>
              <w:t>Data value</w:t>
            </w:r>
          </w:p>
        </w:tc>
        <w:tc>
          <w:tcPr>
            <w:tcW w:w="1701" w:type="dxa"/>
            <w:tcBorders>
              <w:top w:val="single" w:sz="4" w:space="0" w:color="DFA795"/>
              <w:bottom w:val="single" w:sz="4" w:space="0" w:color="DFA795"/>
            </w:tcBorders>
            <w:shd w:val="clear" w:color="auto" w:fill="F1D0C6"/>
          </w:tcPr>
          <w:p w14:paraId="1386841C" w14:textId="37902F79" w:rsidR="001F6E20" w:rsidRPr="000F23E0" w:rsidRDefault="001F6E20" w:rsidP="0011499B">
            <w:pPr>
              <w:pStyle w:val="TableColumnHeadingRight"/>
              <w:cnfStyle w:val="100000000000" w:firstRow="1" w:lastRow="0" w:firstColumn="0" w:lastColumn="0" w:oddVBand="0" w:evenVBand="0" w:oddHBand="0" w:evenHBand="0" w:firstRowFirstColumn="0" w:firstRowLastColumn="0" w:lastRowFirstColumn="0" w:lastRowLastColumn="0"/>
              <w:rPr>
                <w:b/>
                <w:bCs w:val="0"/>
              </w:rPr>
            </w:pPr>
            <w:r w:rsidRPr="000F23E0" w:rsidDel="009D675A">
              <w:rPr>
                <w:b/>
                <w:bCs w:val="0"/>
              </w:rPr>
              <w:t>Record/ Projected</w:t>
            </w:r>
          </w:p>
        </w:tc>
        <w:tc>
          <w:tcPr>
            <w:tcW w:w="1562" w:type="dxa"/>
            <w:tcBorders>
              <w:top w:val="single" w:sz="4" w:space="0" w:color="DFA795"/>
              <w:bottom w:val="single" w:sz="4" w:space="0" w:color="DFA795"/>
            </w:tcBorders>
            <w:shd w:val="clear" w:color="auto" w:fill="F1D0C6"/>
          </w:tcPr>
          <w:p w14:paraId="2A86D63D" w14:textId="317A001D" w:rsidR="001F6E20" w:rsidRPr="000F23E0" w:rsidRDefault="001F6E20" w:rsidP="0011499B">
            <w:pPr>
              <w:pStyle w:val="TableColumnHeadingRight"/>
              <w:cnfStyle w:val="100000000000" w:firstRow="1" w:lastRow="0" w:firstColumn="0" w:lastColumn="0" w:oddVBand="0" w:evenVBand="0" w:oddHBand="0" w:evenHBand="0" w:firstRowFirstColumn="0" w:firstRowLastColumn="0" w:lastRowFirstColumn="0" w:lastRowLastColumn="0"/>
              <w:rPr>
                <w:b/>
                <w:bCs w:val="0"/>
              </w:rPr>
            </w:pPr>
            <w:r w:rsidRPr="000F23E0" w:rsidDel="009D675A">
              <w:rPr>
                <w:b/>
                <w:bCs w:val="0"/>
              </w:rPr>
              <w:t>Time Period</w:t>
            </w:r>
          </w:p>
        </w:tc>
      </w:tr>
      <w:tr w:rsidR="003B6F2C" w:rsidRPr="000F23E0" w14:paraId="4139182B" w14:textId="77777777" w:rsidTr="00026C82">
        <w:trPr>
          <w:trHeight w:val="340"/>
        </w:trPr>
        <w:tc>
          <w:tcPr>
            <w:cnfStyle w:val="001000000000" w:firstRow="0" w:lastRow="0" w:firstColumn="1" w:lastColumn="0" w:oddVBand="0" w:evenVBand="0" w:oddHBand="0" w:evenHBand="0" w:firstRowFirstColumn="0" w:firstRowLastColumn="0" w:lastRowFirstColumn="0" w:lastRowLastColumn="0"/>
            <w:tcW w:w="3114" w:type="dxa"/>
            <w:tcBorders>
              <w:top w:val="single" w:sz="4" w:space="0" w:color="DFA795"/>
            </w:tcBorders>
            <w:shd w:val="clear" w:color="auto" w:fill="FDF0E7"/>
            <w:vAlign w:val="center"/>
          </w:tcPr>
          <w:p w14:paraId="735437D3" w14:textId="493FF978" w:rsidR="001F6E20" w:rsidRPr="000F23E0" w:rsidRDefault="0076127B" w:rsidP="0011499B">
            <w:pPr>
              <w:pStyle w:val="TableTextLeft"/>
              <w:rPr>
                <w:color w:val="FFFFFF" w:themeColor="background1"/>
              </w:rPr>
            </w:pPr>
            <w:r w:rsidRPr="000F23E0">
              <w:t>Energy storage capacity</w:t>
            </w:r>
            <w:r w:rsidR="00343A1A" w:rsidRPr="000F23E0">
              <w:t xml:space="preserve"> </w:t>
            </w:r>
            <w:r w:rsidR="00D53AAC" w:rsidRPr="000F23E0">
              <w:t>(</w:t>
            </w:r>
            <w:r w:rsidR="001F6E20" w:rsidRPr="000F23E0">
              <w:t>MW/MWh</w:t>
            </w:r>
            <w:r w:rsidR="00D53AAC" w:rsidRPr="000F23E0">
              <w:t>)</w:t>
            </w:r>
          </w:p>
        </w:tc>
        <w:tc>
          <w:tcPr>
            <w:tcW w:w="1276" w:type="dxa"/>
            <w:tcBorders>
              <w:top w:val="single" w:sz="4" w:space="0" w:color="DFA795"/>
            </w:tcBorders>
            <w:shd w:val="clear" w:color="auto" w:fill="FEFAF8"/>
            <w:vAlign w:val="center"/>
          </w:tcPr>
          <w:p w14:paraId="00EE8301" w14:textId="3EB55ACA" w:rsidR="001F6E20" w:rsidRPr="000F23E0" w:rsidRDefault="001F6E20" w:rsidP="0011499B">
            <w:pPr>
              <w:pStyle w:val="TableTextRight"/>
              <w:cnfStyle w:val="000000000000" w:firstRow="0" w:lastRow="0" w:firstColumn="0" w:lastColumn="0" w:oddVBand="0" w:evenVBand="0" w:oddHBand="0" w:evenHBand="0" w:firstRowFirstColumn="0" w:firstRowLastColumn="0" w:lastRowFirstColumn="0" w:lastRowLastColumn="0"/>
              <w:rPr>
                <w:b/>
                <w:color w:val="FFFFFF" w:themeColor="background1"/>
              </w:rPr>
            </w:pPr>
            <w:r w:rsidRPr="000F23E0">
              <w:t>Snowy 2.0</w:t>
            </w:r>
          </w:p>
        </w:tc>
        <w:tc>
          <w:tcPr>
            <w:tcW w:w="1417" w:type="dxa"/>
            <w:tcBorders>
              <w:top w:val="single" w:sz="4" w:space="0" w:color="DFA795"/>
            </w:tcBorders>
            <w:shd w:val="clear" w:color="auto" w:fill="FEFAF8"/>
            <w:vAlign w:val="center"/>
          </w:tcPr>
          <w:p w14:paraId="59247FD3" w14:textId="4A729762" w:rsidR="001F6E20" w:rsidRPr="000F23E0" w:rsidRDefault="001F6E20" w:rsidP="0011499B">
            <w:pPr>
              <w:pStyle w:val="TableTextRight"/>
              <w:cnfStyle w:val="000000000000" w:firstRow="0" w:lastRow="0" w:firstColumn="0" w:lastColumn="0" w:oddVBand="0" w:evenVBand="0" w:oddHBand="0" w:evenHBand="0" w:firstRowFirstColumn="0" w:firstRowLastColumn="0" w:lastRowFirstColumn="0" w:lastRowLastColumn="0"/>
              <w:rPr>
                <w:b/>
                <w:color w:val="FFFFFF" w:themeColor="background1"/>
              </w:rPr>
            </w:pPr>
            <w:r w:rsidRPr="000F23E0">
              <w:t>2,200 / 350,000</w:t>
            </w:r>
          </w:p>
        </w:tc>
        <w:tc>
          <w:tcPr>
            <w:tcW w:w="1701" w:type="dxa"/>
            <w:tcBorders>
              <w:top w:val="single" w:sz="4" w:space="0" w:color="DFA795"/>
            </w:tcBorders>
            <w:shd w:val="clear" w:color="auto" w:fill="FEFAF8"/>
            <w:vAlign w:val="center"/>
          </w:tcPr>
          <w:p w14:paraId="68489FE9" w14:textId="2F7D3635" w:rsidR="001F6E20" w:rsidRPr="000F23E0" w:rsidRDefault="00583558" w:rsidP="0011499B">
            <w:pPr>
              <w:pStyle w:val="TableTextRight"/>
              <w:cnfStyle w:val="000000000000" w:firstRow="0" w:lastRow="0" w:firstColumn="0" w:lastColumn="0" w:oddVBand="0" w:evenVBand="0" w:oddHBand="0" w:evenHBand="0" w:firstRowFirstColumn="0" w:firstRowLastColumn="0" w:lastRowFirstColumn="0" w:lastRowLastColumn="0"/>
              <w:rPr>
                <w:b/>
                <w:color w:val="FFFFFF" w:themeColor="background1"/>
                <w:szCs w:val="18"/>
              </w:rPr>
            </w:pPr>
            <w:r w:rsidRPr="000F23E0">
              <w:t>Projected</w:t>
            </w:r>
          </w:p>
        </w:tc>
        <w:tc>
          <w:tcPr>
            <w:tcW w:w="1562" w:type="dxa"/>
            <w:tcBorders>
              <w:top w:val="single" w:sz="4" w:space="0" w:color="DFA795"/>
            </w:tcBorders>
            <w:shd w:val="clear" w:color="auto" w:fill="FEFAF8"/>
            <w:vAlign w:val="center"/>
          </w:tcPr>
          <w:p w14:paraId="452BA647" w14:textId="1A3E9AFC" w:rsidR="001F6E20" w:rsidRPr="000F23E0" w:rsidRDefault="00583558" w:rsidP="0011499B">
            <w:pPr>
              <w:pStyle w:val="TableTextRight"/>
              <w:cnfStyle w:val="000000000000" w:firstRow="0" w:lastRow="0" w:firstColumn="0" w:lastColumn="0" w:oddVBand="0" w:evenVBand="0" w:oddHBand="0" w:evenHBand="0" w:firstRowFirstColumn="0" w:firstRowLastColumn="0" w:lastRowFirstColumn="0" w:lastRowLastColumn="0"/>
              <w:rPr>
                <w:b/>
                <w:color w:val="FFFFFF" w:themeColor="background1"/>
              </w:rPr>
            </w:pPr>
            <w:r w:rsidRPr="000F23E0">
              <w:t>From completion</w:t>
            </w:r>
          </w:p>
        </w:tc>
      </w:tr>
    </w:tbl>
    <w:p w14:paraId="278B170C" w14:textId="6048E05B" w:rsidR="00D461D1" w:rsidRPr="000F23E0" w:rsidRDefault="00D461D1" w:rsidP="005D6FB4">
      <w:pPr>
        <w:pStyle w:val="Heading4"/>
      </w:pPr>
      <w:r w:rsidRPr="000F23E0">
        <w:t xml:space="preserve">Social </w:t>
      </w:r>
      <w:r w:rsidR="008041DB" w:rsidRPr="000F23E0">
        <w:t>c</w:t>
      </w:r>
      <w:r w:rsidRPr="000F23E0">
        <w:t>o</w:t>
      </w:r>
      <w:r w:rsidR="002C4475" w:rsidRPr="000F23E0">
        <w:noBreakHyphen/>
      </w:r>
      <w:r w:rsidRPr="000F23E0">
        <w:t>benefits</w:t>
      </w:r>
    </w:p>
    <w:p w14:paraId="02351D83" w14:textId="36525573" w:rsidR="00D461D1" w:rsidRPr="000F23E0" w:rsidRDefault="00CF2EC7" w:rsidP="00DF6AD5">
      <w:r w:rsidRPr="000F23E0">
        <w:t xml:space="preserve">Snowy 2.0 is expected to </w:t>
      </w:r>
      <w:r w:rsidR="00411A18" w:rsidRPr="000F23E0">
        <w:t>generate around 5,</w:t>
      </w:r>
      <w:r w:rsidR="006C7D92" w:rsidRPr="000F23E0">
        <w:t>2</w:t>
      </w:r>
      <w:r w:rsidR="00411A18" w:rsidRPr="000F23E0">
        <w:t>00 jobs</w:t>
      </w:r>
      <w:r w:rsidR="002B416B" w:rsidRPr="000F23E0">
        <w:t xml:space="preserve"> over its lifetime, of which 4,000 will be direct jobs in the Snowy Mountains region.</w:t>
      </w:r>
    </w:p>
    <w:p w14:paraId="28BBD2F7" w14:textId="6C96E9A4" w:rsidR="005D6FB4" w:rsidRPr="000F23E0" w:rsidRDefault="005D6FB4" w:rsidP="00551F72">
      <w:pPr>
        <w:pStyle w:val="TableMainHeading"/>
      </w:pPr>
      <w:bookmarkStart w:id="122" w:name="_Toc220662870"/>
      <w:bookmarkStart w:id="123" w:name="_Toc224637800"/>
      <w:bookmarkStart w:id="124" w:name="_Toc224642464"/>
      <w:bookmarkStart w:id="125" w:name="_Toc225153440"/>
      <w:bookmarkStart w:id="126" w:name="_Toc225154486"/>
      <w:bookmarkStart w:id="127" w:name="_Toc225155751"/>
      <w:r w:rsidRPr="000F23E0">
        <w:t xml:space="preserve">Table </w:t>
      </w:r>
      <w:r w:rsidR="00B30D97" w:rsidRPr="000F23E0">
        <w:t>10</w:t>
      </w:r>
      <w:r w:rsidR="00627058" w:rsidRPr="000F23E0">
        <w:t>:</w:t>
      </w:r>
      <w:r w:rsidRPr="000F23E0">
        <w:t xml:space="preserve"> Social co</w:t>
      </w:r>
      <w:r w:rsidR="002C4475" w:rsidRPr="000F23E0">
        <w:noBreakHyphen/>
      </w:r>
      <w:r w:rsidRPr="000F23E0">
        <w:t xml:space="preserve">benefits for Snowy </w:t>
      </w:r>
      <w:bookmarkEnd w:id="122"/>
      <w:r w:rsidR="00947E36" w:rsidRPr="000F23E0">
        <w:t>2.0</w:t>
      </w:r>
      <w:bookmarkEnd w:id="123"/>
      <w:bookmarkEnd w:id="124"/>
      <w:bookmarkEnd w:id="125"/>
      <w:bookmarkEnd w:id="126"/>
      <w:bookmarkEnd w:id="127"/>
    </w:p>
    <w:tbl>
      <w:tblPr>
        <w:tblStyle w:val="GridTable4-Accent2"/>
        <w:tblW w:w="5000" w:type="pct"/>
        <w:tblInd w:w="5" w:type="dxa"/>
        <w:tblBorders>
          <w:top w:val="single" w:sz="4" w:space="0" w:color="DFA795"/>
          <w:bottom w:val="single" w:sz="4" w:space="0" w:color="DFA795"/>
        </w:tblBorders>
        <w:tblLook w:val="04A0" w:firstRow="1" w:lastRow="0" w:firstColumn="1" w:lastColumn="0" w:noHBand="0" w:noVBand="1"/>
      </w:tblPr>
      <w:tblGrid>
        <w:gridCol w:w="1824"/>
        <w:gridCol w:w="1803"/>
        <w:gridCol w:w="1810"/>
        <w:gridCol w:w="1817"/>
        <w:gridCol w:w="1816"/>
      </w:tblGrid>
      <w:tr w:rsidR="00B35BD4" w:rsidRPr="000F23E0" w14:paraId="6C66EF1E" w14:textId="77777777" w:rsidTr="00026C82">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876" w:type="dxa"/>
            <w:tcBorders>
              <w:top w:val="single" w:sz="4" w:space="0" w:color="DFA795"/>
              <w:bottom w:val="single" w:sz="4" w:space="0" w:color="DFA795"/>
            </w:tcBorders>
            <w:shd w:val="clear" w:color="auto" w:fill="F1D0C6"/>
          </w:tcPr>
          <w:p w14:paraId="5F6C2CC2" w14:textId="77777777" w:rsidR="007F1C3E" w:rsidRPr="000F23E0" w:rsidRDefault="007F1C3E" w:rsidP="0011499B">
            <w:pPr>
              <w:pStyle w:val="TableColumnHeadingLeft"/>
              <w:rPr>
                <w:b/>
              </w:rPr>
            </w:pPr>
            <w:r w:rsidRPr="000F23E0">
              <w:rPr>
                <w:b/>
                <w:bCs w:val="0"/>
              </w:rPr>
              <w:t>Metric</w:t>
            </w:r>
          </w:p>
        </w:tc>
        <w:tc>
          <w:tcPr>
            <w:tcW w:w="1876" w:type="dxa"/>
            <w:tcBorders>
              <w:top w:val="single" w:sz="4" w:space="0" w:color="DFA795"/>
              <w:bottom w:val="single" w:sz="4" w:space="0" w:color="DFA795"/>
            </w:tcBorders>
            <w:shd w:val="clear" w:color="auto" w:fill="F1D0C6"/>
          </w:tcPr>
          <w:p w14:paraId="53FDF1C1" w14:textId="77777777" w:rsidR="007F1C3E" w:rsidRPr="000F23E0" w:rsidRDefault="007F1C3E" w:rsidP="0011499B">
            <w:pPr>
              <w:pStyle w:val="TableColumnHeadingRight"/>
              <w:cnfStyle w:val="100000000000" w:firstRow="1" w:lastRow="0" w:firstColumn="0" w:lastColumn="0" w:oddVBand="0" w:evenVBand="0" w:oddHBand="0" w:evenHBand="0" w:firstRowFirstColumn="0" w:firstRowLastColumn="0" w:lastRowFirstColumn="0" w:lastRowLastColumn="0"/>
              <w:rPr>
                <w:b/>
                <w:bCs w:val="0"/>
              </w:rPr>
            </w:pPr>
            <w:r w:rsidRPr="000F23E0">
              <w:rPr>
                <w:b/>
                <w:bCs w:val="0"/>
              </w:rPr>
              <w:t>Project</w:t>
            </w:r>
          </w:p>
        </w:tc>
        <w:tc>
          <w:tcPr>
            <w:tcW w:w="1876" w:type="dxa"/>
            <w:tcBorders>
              <w:top w:val="single" w:sz="4" w:space="0" w:color="DFA795"/>
              <w:bottom w:val="single" w:sz="4" w:space="0" w:color="DFA795"/>
            </w:tcBorders>
            <w:shd w:val="clear" w:color="auto" w:fill="F1D0C6"/>
          </w:tcPr>
          <w:p w14:paraId="50306CCD" w14:textId="5438FB37" w:rsidR="007F1C3E" w:rsidRPr="000F23E0" w:rsidRDefault="007F1C3E" w:rsidP="0011499B">
            <w:pPr>
              <w:pStyle w:val="TableColumnHeadingRight"/>
              <w:cnfStyle w:val="100000000000" w:firstRow="1" w:lastRow="0" w:firstColumn="0" w:lastColumn="0" w:oddVBand="0" w:evenVBand="0" w:oddHBand="0" w:evenHBand="0" w:firstRowFirstColumn="0" w:firstRowLastColumn="0" w:lastRowFirstColumn="0" w:lastRowLastColumn="0"/>
              <w:rPr>
                <w:b/>
                <w:bCs w:val="0"/>
              </w:rPr>
            </w:pPr>
            <w:r w:rsidRPr="000F23E0">
              <w:rPr>
                <w:b/>
                <w:bCs w:val="0"/>
              </w:rPr>
              <w:t>Value</w:t>
            </w:r>
          </w:p>
        </w:tc>
        <w:tc>
          <w:tcPr>
            <w:tcW w:w="1876" w:type="dxa"/>
            <w:tcBorders>
              <w:top w:val="single" w:sz="4" w:space="0" w:color="DFA795"/>
              <w:bottom w:val="single" w:sz="4" w:space="0" w:color="DFA795"/>
            </w:tcBorders>
            <w:shd w:val="clear" w:color="auto" w:fill="F1D0C6"/>
          </w:tcPr>
          <w:p w14:paraId="6CCADFB1" w14:textId="77777777" w:rsidR="007F1C3E" w:rsidRPr="000F23E0" w:rsidRDefault="007F1C3E" w:rsidP="0011499B">
            <w:pPr>
              <w:pStyle w:val="TableColumnHeadingRight"/>
              <w:cnfStyle w:val="100000000000" w:firstRow="1" w:lastRow="0" w:firstColumn="0" w:lastColumn="0" w:oddVBand="0" w:evenVBand="0" w:oddHBand="0" w:evenHBand="0" w:firstRowFirstColumn="0" w:firstRowLastColumn="0" w:lastRowFirstColumn="0" w:lastRowLastColumn="0"/>
              <w:rPr>
                <w:b/>
                <w:bCs w:val="0"/>
              </w:rPr>
            </w:pPr>
            <w:r w:rsidRPr="000F23E0">
              <w:rPr>
                <w:b/>
                <w:bCs w:val="0"/>
              </w:rPr>
              <w:t>Recorded/ Projected</w:t>
            </w:r>
          </w:p>
        </w:tc>
        <w:tc>
          <w:tcPr>
            <w:tcW w:w="1876" w:type="dxa"/>
            <w:tcBorders>
              <w:top w:val="single" w:sz="4" w:space="0" w:color="DFA795"/>
              <w:bottom w:val="single" w:sz="4" w:space="0" w:color="DFA795"/>
            </w:tcBorders>
            <w:shd w:val="clear" w:color="auto" w:fill="F1D0C6"/>
          </w:tcPr>
          <w:p w14:paraId="3DF486BB" w14:textId="77777777" w:rsidR="007F1C3E" w:rsidRPr="000F23E0" w:rsidRDefault="007F1C3E" w:rsidP="0011499B">
            <w:pPr>
              <w:pStyle w:val="TableColumnHeadingRight"/>
              <w:cnfStyle w:val="100000000000" w:firstRow="1" w:lastRow="0" w:firstColumn="0" w:lastColumn="0" w:oddVBand="0" w:evenVBand="0" w:oddHBand="0" w:evenHBand="0" w:firstRowFirstColumn="0" w:firstRowLastColumn="0" w:lastRowFirstColumn="0" w:lastRowLastColumn="0"/>
              <w:rPr>
                <w:b/>
                <w:bCs w:val="0"/>
              </w:rPr>
            </w:pPr>
            <w:r w:rsidRPr="000F23E0">
              <w:rPr>
                <w:b/>
                <w:bCs w:val="0"/>
              </w:rPr>
              <w:t>Time Period</w:t>
            </w:r>
          </w:p>
        </w:tc>
      </w:tr>
      <w:tr w:rsidR="00B35BD4" w:rsidRPr="000F23E0" w14:paraId="296BBDA4" w14:textId="77777777" w:rsidTr="00026C82">
        <w:trPr>
          <w:trHeight w:val="77"/>
        </w:trPr>
        <w:tc>
          <w:tcPr>
            <w:cnfStyle w:val="001000000000" w:firstRow="0" w:lastRow="0" w:firstColumn="1" w:lastColumn="0" w:oddVBand="0" w:evenVBand="0" w:oddHBand="0" w:evenHBand="0" w:firstRowFirstColumn="0" w:firstRowLastColumn="0" w:lastRowFirstColumn="0" w:lastRowLastColumn="0"/>
            <w:tcW w:w="1876" w:type="dxa"/>
            <w:tcBorders>
              <w:top w:val="single" w:sz="4" w:space="0" w:color="DFA795"/>
              <w:bottom w:val="single" w:sz="4" w:space="0" w:color="D77A5B"/>
            </w:tcBorders>
            <w:shd w:val="clear" w:color="auto" w:fill="FDF0E7"/>
          </w:tcPr>
          <w:p w14:paraId="307031F2" w14:textId="77777777" w:rsidR="007F1C3E" w:rsidRPr="000F23E0" w:rsidRDefault="007F1C3E" w:rsidP="0011499B">
            <w:pPr>
              <w:pStyle w:val="TableTextLeft"/>
            </w:pPr>
            <w:r w:rsidRPr="000F23E0">
              <w:t>Jobs Created</w:t>
            </w:r>
          </w:p>
        </w:tc>
        <w:tc>
          <w:tcPr>
            <w:tcW w:w="1876" w:type="dxa"/>
            <w:tcBorders>
              <w:top w:val="single" w:sz="4" w:space="0" w:color="DFA795"/>
              <w:bottom w:val="single" w:sz="4" w:space="0" w:color="D77A5B"/>
            </w:tcBorders>
            <w:shd w:val="clear" w:color="auto" w:fill="FEFAF8"/>
          </w:tcPr>
          <w:p w14:paraId="5B38EF66" w14:textId="4D7AC1FE" w:rsidR="007F1C3E" w:rsidRPr="000F23E0" w:rsidRDefault="00A50454" w:rsidP="0011499B">
            <w:pPr>
              <w:pStyle w:val="TableTextRight"/>
              <w:cnfStyle w:val="000000000000" w:firstRow="0" w:lastRow="0" w:firstColumn="0" w:lastColumn="0" w:oddVBand="0" w:evenVBand="0" w:oddHBand="0" w:evenHBand="0" w:firstRowFirstColumn="0" w:firstRowLastColumn="0" w:lastRowFirstColumn="0" w:lastRowLastColumn="0"/>
            </w:pPr>
            <w:r w:rsidRPr="000F23E0">
              <w:t>Snowy 2.0</w:t>
            </w:r>
          </w:p>
        </w:tc>
        <w:tc>
          <w:tcPr>
            <w:tcW w:w="1876" w:type="dxa"/>
            <w:tcBorders>
              <w:top w:val="single" w:sz="4" w:space="0" w:color="DFA795"/>
              <w:bottom w:val="single" w:sz="4" w:space="0" w:color="D77A5B"/>
            </w:tcBorders>
            <w:shd w:val="clear" w:color="auto" w:fill="FEFAF8"/>
          </w:tcPr>
          <w:p w14:paraId="3244F7C5" w14:textId="0FA4F9FE" w:rsidR="007F1C3E" w:rsidRPr="000F23E0" w:rsidRDefault="00A50454" w:rsidP="0011499B">
            <w:pPr>
              <w:pStyle w:val="TableTextRight"/>
              <w:cnfStyle w:val="000000000000" w:firstRow="0" w:lastRow="0" w:firstColumn="0" w:lastColumn="0" w:oddVBand="0" w:evenVBand="0" w:oddHBand="0" w:evenHBand="0" w:firstRowFirstColumn="0" w:firstRowLastColumn="0" w:lastRowFirstColumn="0" w:lastRowLastColumn="0"/>
            </w:pPr>
            <w:r w:rsidRPr="000F23E0">
              <w:t>5,</w:t>
            </w:r>
            <w:r w:rsidR="006C7D92" w:rsidRPr="000F23E0">
              <w:t>2</w:t>
            </w:r>
            <w:r w:rsidRPr="000F23E0">
              <w:t>00</w:t>
            </w:r>
            <w:r w:rsidR="00CD6635" w:rsidRPr="000F23E0">
              <w:t xml:space="preserve"> approx.</w:t>
            </w:r>
          </w:p>
        </w:tc>
        <w:tc>
          <w:tcPr>
            <w:tcW w:w="1876" w:type="dxa"/>
            <w:tcBorders>
              <w:top w:val="single" w:sz="4" w:space="0" w:color="DFA795"/>
              <w:bottom w:val="single" w:sz="4" w:space="0" w:color="D77A5B"/>
            </w:tcBorders>
            <w:shd w:val="clear" w:color="auto" w:fill="FEFAF8"/>
          </w:tcPr>
          <w:p w14:paraId="1AE200A2" w14:textId="41A9F875" w:rsidR="007F1C3E" w:rsidRPr="000F23E0" w:rsidRDefault="00A50454" w:rsidP="0011499B">
            <w:pPr>
              <w:pStyle w:val="TableTextRight"/>
              <w:cnfStyle w:val="000000000000" w:firstRow="0" w:lastRow="0" w:firstColumn="0" w:lastColumn="0" w:oddVBand="0" w:evenVBand="0" w:oddHBand="0" w:evenHBand="0" w:firstRowFirstColumn="0" w:firstRowLastColumn="0" w:lastRowFirstColumn="0" w:lastRowLastColumn="0"/>
            </w:pPr>
            <w:r w:rsidRPr="000F23E0">
              <w:t>Recorded</w:t>
            </w:r>
          </w:p>
        </w:tc>
        <w:tc>
          <w:tcPr>
            <w:tcW w:w="1876" w:type="dxa"/>
            <w:tcBorders>
              <w:top w:val="single" w:sz="4" w:space="0" w:color="DFA795"/>
              <w:bottom w:val="single" w:sz="4" w:space="0" w:color="D77A5B"/>
            </w:tcBorders>
            <w:shd w:val="clear" w:color="auto" w:fill="FEFAF8"/>
          </w:tcPr>
          <w:p w14:paraId="6B3F05F0" w14:textId="47173740" w:rsidR="007F1C3E" w:rsidRPr="000F23E0" w:rsidRDefault="00C348DD" w:rsidP="0011499B">
            <w:pPr>
              <w:pStyle w:val="TableTextRight"/>
              <w:cnfStyle w:val="000000000000" w:firstRow="0" w:lastRow="0" w:firstColumn="0" w:lastColumn="0" w:oddVBand="0" w:evenVBand="0" w:oddHBand="0" w:evenHBand="0" w:firstRowFirstColumn="0" w:firstRowLastColumn="0" w:lastRowFirstColumn="0" w:lastRowLastColumn="0"/>
            </w:pPr>
            <w:r w:rsidRPr="000F23E0">
              <w:t xml:space="preserve">As at </w:t>
            </w:r>
            <w:r w:rsidR="00061AFA" w:rsidRPr="000F23E0">
              <w:t xml:space="preserve">December </w:t>
            </w:r>
            <w:r w:rsidRPr="000F23E0">
              <w:t>2025</w:t>
            </w:r>
          </w:p>
        </w:tc>
      </w:tr>
      <w:tr w:rsidR="00575471" w:rsidRPr="000F23E0" w14:paraId="1D6B5FA3" w14:textId="77777777" w:rsidTr="00026C82">
        <w:trPr>
          <w:trHeight w:val="102"/>
        </w:trPr>
        <w:tc>
          <w:tcPr>
            <w:cnfStyle w:val="001000000000" w:firstRow="0" w:lastRow="0" w:firstColumn="1" w:lastColumn="0" w:oddVBand="0" w:evenVBand="0" w:oddHBand="0" w:evenHBand="0" w:firstRowFirstColumn="0" w:firstRowLastColumn="0" w:lastRowFirstColumn="0" w:lastRowLastColumn="0"/>
            <w:tcW w:w="1876" w:type="dxa"/>
            <w:tcBorders>
              <w:top w:val="single" w:sz="4" w:space="0" w:color="D77A5B"/>
              <w:bottom w:val="single" w:sz="4" w:space="0" w:color="DFA795"/>
            </w:tcBorders>
            <w:shd w:val="clear" w:color="auto" w:fill="FDF0E7"/>
          </w:tcPr>
          <w:p w14:paraId="366539F5" w14:textId="2795BECA" w:rsidR="007F1C3E" w:rsidRPr="000F23E0" w:rsidRDefault="0034266C" w:rsidP="0011499B">
            <w:pPr>
              <w:pStyle w:val="TableTextLeft"/>
            </w:pPr>
            <w:r w:rsidRPr="000F23E0">
              <w:t>Local expenditure</w:t>
            </w:r>
          </w:p>
        </w:tc>
        <w:tc>
          <w:tcPr>
            <w:tcW w:w="1876" w:type="dxa"/>
            <w:tcBorders>
              <w:top w:val="single" w:sz="4" w:space="0" w:color="D77A5B"/>
              <w:bottom w:val="single" w:sz="4" w:space="0" w:color="DFA795"/>
            </w:tcBorders>
            <w:shd w:val="clear" w:color="auto" w:fill="FEFAF8"/>
          </w:tcPr>
          <w:p w14:paraId="646D2E9D" w14:textId="665D3042" w:rsidR="007F1C3E" w:rsidRPr="000F23E0" w:rsidRDefault="00324CF3" w:rsidP="0011499B">
            <w:pPr>
              <w:pStyle w:val="TableTextRight"/>
              <w:cnfStyle w:val="000000000000" w:firstRow="0" w:lastRow="0" w:firstColumn="0" w:lastColumn="0" w:oddVBand="0" w:evenVBand="0" w:oddHBand="0" w:evenHBand="0" w:firstRowFirstColumn="0" w:firstRowLastColumn="0" w:lastRowFirstColumn="0" w:lastRowLastColumn="0"/>
            </w:pPr>
            <w:r w:rsidRPr="000F23E0">
              <w:t>Snowy 2.0</w:t>
            </w:r>
          </w:p>
        </w:tc>
        <w:tc>
          <w:tcPr>
            <w:tcW w:w="1876" w:type="dxa"/>
            <w:tcBorders>
              <w:top w:val="single" w:sz="4" w:space="0" w:color="D77A5B"/>
              <w:bottom w:val="single" w:sz="4" w:space="0" w:color="DFA795"/>
            </w:tcBorders>
            <w:shd w:val="clear" w:color="auto" w:fill="FEFAF8"/>
          </w:tcPr>
          <w:p w14:paraId="4BA2293B" w14:textId="60AF7202" w:rsidR="007F1C3E" w:rsidRPr="000F23E0" w:rsidRDefault="00B2162B" w:rsidP="0011499B">
            <w:pPr>
              <w:pStyle w:val="TableTextRight"/>
              <w:cnfStyle w:val="000000000000" w:firstRow="0" w:lastRow="0" w:firstColumn="0" w:lastColumn="0" w:oddVBand="0" w:evenVBand="0" w:oddHBand="0" w:evenHBand="0" w:firstRowFirstColumn="0" w:firstRowLastColumn="0" w:lastRowFirstColumn="0" w:lastRowLastColumn="0"/>
            </w:pPr>
            <w:r w:rsidRPr="000F23E0">
              <w:t>$2</w:t>
            </w:r>
            <w:r w:rsidR="000C7CC2" w:rsidRPr="000F23E0">
              <w:t>92.5</w:t>
            </w:r>
            <w:r w:rsidRPr="000F23E0">
              <w:t>m</w:t>
            </w:r>
            <w:r w:rsidR="00DC2176" w:rsidRPr="000F23E0">
              <w:t xml:space="preserve"> approx.</w:t>
            </w:r>
          </w:p>
        </w:tc>
        <w:tc>
          <w:tcPr>
            <w:tcW w:w="1876" w:type="dxa"/>
            <w:tcBorders>
              <w:top w:val="single" w:sz="4" w:space="0" w:color="D77A5B"/>
              <w:bottom w:val="single" w:sz="4" w:space="0" w:color="DFA795"/>
            </w:tcBorders>
            <w:shd w:val="clear" w:color="auto" w:fill="FEFAF8"/>
          </w:tcPr>
          <w:p w14:paraId="2714A15D" w14:textId="14402A28" w:rsidR="007F1C3E" w:rsidRPr="000F23E0" w:rsidRDefault="00C348DD" w:rsidP="0011499B">
            <w:pPr>
              <w:pStyle w:val="TableTextRight"/>
              <w:cnfStyle w:val="000000000000" w:firstRow="0" w:lastRow="0" w:firstColumn="0" w:lastColumn="0" w:oddVBand="0" w:evenVBand="0" w:oddHBand="0" w:evenHBand="0" w:firstRowFirstColumn="0" w:firstRowLastColumn="0" w:lastRowFirstColumn="0" w:lastRowLastColumn="0"/>
            </w:pPr>
            <w:r w:rsidRPr="000F23E0">
              <w:t>Recorded</w:t>
            </w:r>
          </w:p>
        </w:tc>
        <w:tc>
          <w:tcPr>
            <w:tcW w:w="1876" w:type="dxa"/>
            <w:tcBorders>
              <w:top w:val="single" w:sz="4" w:space="0" w:color="D77A5B"/>
              <w:bottom w:val="single" w:sz="4" w:space="0" w:color="DFA795"/>
            </w:tcBorders>
            <w:shd w:val="clear" w:color="auto" w:fill="FEFAF8"/>
          </w:tcPr>
          <w:p w14:paraId="5D7F39F6" w14:textId="45B595CF" w:rsidR="007F1C3E" w:rsidRPr="000F23E0" w:rsidRDefault="00C348DD" w:rsidP="0011499B">
            <w:pPr>
              <w:pStyle w:val="TableTextRight"/>
              <w:cnfStyle w:val="000000000000" w:firstRow="0" w:lastRow="0" w:firstColumn="0" w:lastColumn="0" w:oddVBand="0" w:evenVBand="0" w:oddHBand="0" w:evenHBand="0" w:firstRowFirstColumn="0" w:firstRowLastColumn="0" w:lastRowFirstColumn="0" w:lastRowLastColumn="0"/>
            </w:pPr>
            <w:r w:rsidRPr="000F23E0">
              <w:t xml:space="preserve">As at </w:t>
            </w:r>
            <w:r w:rsidR="00061AFA" w:rsidRPr="000F23E0">
              <w:t xml:space="preserve">December </w:t>
            </w:r>
            <w:r w:rsidRPr="000F23E0">
              <w:t>2025</w:t>
            </w:r>
          </w:p>
        </w:tc>
      </w:tr>
    </w:tbl>
    <w:p w14:paraId="3CA6189E" w14:textId="77777777" w:rsidR="00271C8C" w:rsidRPr="000F23E0" w:rsidRDefault="00271C8C" w:rsidP="003074FE">
      <w:pPr>
        <w:pStyle w:val="SingleParagraph"/>
      </w:pPr>
    </w:p>
    <w:p w14:paraId="0793EACC" w14:textId="1E3CC176" w:rsidR="005842DA" w:rsidRPr="000F23E0" w:rsidRDefault="005842DA" w:rsidP="003074FE">
      <w:pPr>
        <w:pStyle w:val="SingleParagraph"/>
      </w:pPr>
      <w:r w:rsidRPr="000F23E0">
        <w:t>[Insert Snowy 2.0 project photo here]</w:t>
      </w:r>
    </w:p>
    <w:tbl>
      <w:tblPr>
        <w:tblW w:w="5000" w:type="pct"/>
        <w:shd w:val="clear" w:color="auto" w:fill="FDF0E7"/>
        <w:tblCellMar>
          <w:top w:w="113" w:type="dxa"/>
          <w:left w:w="284" w:type="dxa"/>
          <w:bottom w:w="227" w:type="dxa"/>
          <w:right w:w="284" w:type="dxa"/>
        </w:tblCellMar>
        <w:tblLook w:val="04A0" w:firstRow="1" w:lastRow="0" w:firstColumn="1" w:lastColumn="0" w:noHBand="0" w:noVBand="1"/>
      </w:tblPr>
      <w:tblGrid>
        <w:gridCol w:w="9070"/>
      </w:tblGrid>
      <w:tr w:rsidR="00271C8C" w:rsidRPr="000F23E0" w14:paraId="0023E428" w14:textId="77777777" w:rsidTr="00BE7985">
        <w:tc>
          <w:tcPr>
            <w:tcW w:w="5000" w:type="pct"/>
            <w:shd w:val="clear" w:color="auto" w:fill="FDF0E7"/>
            <w:hideMark/>
          </w:tcPr>
          <w:p w14:paraId="4B0B35F2" w14:textId="41EF12BF" w:rsidR="00271C8C" w:rsidRPr="000F23E0" w:rsidRDefault="00271C8C" w:rsidP="00332F85">
            <w:pPr>
              <w:pStyle w:val="Caseheading"/>
            </w:pPr>
            <w:r w:rsidRPr="000F23E0">
              <w:lastRenderedPageBreak/>
              <w:t>Case study 3: Snowy 2.0 – TBM Monica</w:t>
            </w:r>
          </w:p>
          <w:p w14:paraId="5E4D6920" w14:textId="216E399F" w:rsidR="00271C8C" w:rsidRPr="000F23E0" w:rsidRDefault="00271C8C" w:rsidP="00D05E2B">
            <w:pPr>
              <w:pStyle w:val="BoxText"/>
            </w:pPr>
            <w:r w:rsidRPr="000F23E0">
              <w:t>Snowy 2.0 will provide an additional 2,200 megawatts of dispatchable, on-demand generating capacity and approximately 350,000 megawatt hours of large-scale storage to the National Electricity Market. This is enough energy storage to power 3 million homes for a week.</w:t>
            </w:r>
          </w:p>
          <w:p w14:paraId="5AC6C897" w14:textId="77777777" w:rsidR="00271C8C" w:rsidRPr="000F23E0" w:rsidRDefault="00271C8C" w:rsidP="00D05E2B">
            <w:pPr>
              <w:pStyle w:val="BoxText"/>
            </w:pPr>
            <w:r w:rsidRPr="000F23E0">
              <w:t>The project links 2 existing dams – Tantangara and Talbingo – through 27km of tunnels and building a new underground power station. The tunnels are being excavated by complex and specialised tunnel-boring machines (TBMs) which by global tradition are given female names. The project started with 3 TBMs – Florence, Kirsten and Lady Eileen. A fourth TBM was acquired in 2024 and was commissioned to begin tunnelling in early 2026.</w:t>
            </w:r>
          </w:p>
          <w:p w14:paraId="170A2C23" w14:textId="284A7750" w:rsidR="00271C8C" w:rsidRPr="000F23E0" w:rsidRDefault="00271C8C" w:rsidP="00D05E2B">
            <w:pPr>
              <w:pStyle w:val="BoxText"/>
            </w:pPr>
            <w:r w:rsidRPr="000F23E0">
              <w:t>Snowy Hydro, as the owner of the project, engaged with the local First Nations community to</w:t>
            </w:r>
            <w:r w:rsidR="00C71B7B" w:rsidRPr="000F23E0">
              <w:t> </w:t>
            </w:r>
            <w:r w:rsidRPr="000F23E0">
              <w:t>name the fourth TBM. An Indigenous art and storytelling competition was organised in partnership with Tumut High School and the Stars Foundation, a not-for-profit organisation for</w:t>
            </w:r>
            <w:r w:rsidR="00C71B7B" w:rsidRPr="000F23E0">
              <w:t> </w:t>
            </w:r>
            <w:r w:rsidRPr="000F23E0">
              <w:t xml:space="preserve">First Nations girls and young women. </w:t>
            </w:r>
          </w:p>
          <w:p w14:paraId="7C4C080A" w14:textId="171648EC" w:rsidR="00271C8C" w:rsidRPr="000F23E0" w:rsidRDefault="00271C8C" w:rsidP="00D05E2B">
            <w:pPr>
              <w:pStyle w:val="BoxText"/>
            </w:pPr>
            <w:r w:rsidRPr="000F23E0">
              <w:t xml:space="preserve">The TBM was named ‘Monica’, after aspiring engineer and local high school student Monica Brimmer, 15. </w:t>
            </w:r>
          </w:p>
          <w:p w14:paraId="0BDD52DC" w14:textId="7D397F5E" w:rsidR="00271C8C" w:rsidRPr="000F23E0" w:rsidRDefault="00271C8C" w:rsidP="00D05E2B">
            <w:pPr>
              <w:pStyle w:val="BoxText"/>
            </w:pPr>
            <w:r w:rsidRPr="000F23E0">
              <w:t>Monica won the competition with a piece that reflected the spirit and purpose of Australia’s largest renewable energy project. Monica’s creation was inspired by flowing water, connected dams, mountains, energy, an underground power station and a connection to Country.</w:t>
            </w:r>
          </w:p>
          <w:p w14:paraId="44C072B3" w14:textId="1723D9F5" w:rsidR="00271C8C" w:rsidRPr="000F23E0" w:rsidRDefault="00271C8C" w:rsidP="00D05E2B">
            <w:pPr>
              <w:pStyle w:val="BoxText"/>
            </w:pPr>
            <w:r w:rsidRPr="000F23E0">
              <w:t>Monica said her artwork represented the creation of renewable energy and symbolised a</w:t>
            </w:r>
            <w:r w:rsidR="00C71B7B" w:rsidRPr="000F23E0">
              <w:t> </w:t>
            </w:r>
            <w:r w:rsidR="00E674D3" w:rsidRPr="000F23E0">
              <w:t>‘</w:t>
            </w:r>
            <w:r w:rsidRPr="000F23E0">
              <w:t>greener future in which the land and our animals are better cared for.</w:t>
            </w:r>
            <w:r w:rsidR="00E674D3" w:rsidRPr="000F23E0">
              <w:t>’</w:t>
            </w:r>
          </w:p>
          <w:p w14:paraId="63C54BD3" w14:textId="77777777" w:rsidR="00271C8C" w:rsidRPr="000F23E0" w:rsidRDefault="00E674D3" w:rsidP="00D05E2B">
            <w:pPr>
              <w:pStyle w:val="BoxText"/>
            </w:pPr>
            <w:r w:rsidRPr="000F23E0">
              <w:t>‘</w:t>
            </w:r>
            <w:r w:rsidR="00271C8C" w:rsidRPr="000F23E0">
              <w:t>Knowing there’s something really important to the project out there with my name, in the mountains, is really cool,</w:t>
            </w:r>
            <w:r w:rsidRPr="000F23E0">
              <w:t>’</w:t>
            </w:r>
            <w:r w:rsidR="00271C8C" w:rsidRPr="000F23E0">
              <w:t xml:space="preserve"> Monica said. </w:t>
            </w:r>
            <w:r w:rsidRPr="000F23E0">
              <w:t>‘</w:t>
            </w:r>
            <w:r w:rsidR="00271C8C" w:rsidRPr="000F23E0">
              <w:t>I’ve been interested in engineering for quite a while – and it’s pretty cool to put art and engineering together as part of something I could put my mind to.</w:t>
            </w:r>
            <w:r w:rsidRPr="000F23E0">
              <w:t>’</w:t>
            </w:r>
          </w:p>
          <w:p w14:paraId="0F94B770" w14:textId="77777777" w:rsidR="00026C82" w:rsidRPr="000F23E0" w:rsidRDefault="00026C82" w:rsidP="00026C82">
            <w:pPr>
              <w:pStyle w:val="BoxText"/>
            </w:pPr>
            <w:r w:rsidRPr="000F23E0">
              <w:drawing>
                <wp:inline distT="0" distB="0" distL="0" distR="0" wp14:anchorId="667A07A2" wp14:editId="76AB7CD7">
                  <wp:extent cx="4550735" cy="3048542"/>
                  <wp:effectExtent l="0" t="0" r="2540" b="0"/>
                  <wp:docPr id="1486884484" name="Picture 3" descr="Two women standing outside on pavement in front of a stars foundation banner, a snowy hydro banner and a painting. One lady holding a bunch of flow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884484" name="Picture 3" descr="Two women standing outside on pavement in front of a stars foundation banner, a snowy hydro banner and a painting. One lady holding a bunch of flowers."/>
                          <pic:cNvPicPr/>
                        </pic:nvPicPr>
                        <pic:blipFill>
                          <a:blip r:embed="rId57">
                            <a:extLst>
                              <a:ext uri="{28A0092B-C50C-407E-A947-70E740481C1C}">
                                <a14:useLocalDpi xmlns:a14="http://schemas.microsoft.com/office/drawing/2010/main" val="0"/>
                              </a:ext>
                            </a:extLst>
                          </a:blip>
                          <a:stretch>
                            <a:fillRect/>
                          </a:stretch>
                        </pic:blipFill>
                        <pic:spPr>
                          <a:xfrm>
                            <a:off x="0" y="0"/>
                            <a:ext cx="4568963" cy="3060753"/>
                          </a:xfrm>
                          <a:prstGeom prst="rect">
                            <a:avLst/>
                          </a:prstGeom>
                        </pic:spPr>
                      </pic:pic>
                    </a:graphicData>
                  </a:graphic>
                </wp:inline>
              </w:drawing>
            </w:r>
          </w:p>
          <w:p w14:paraId="732C28BE" w14:textId="39875745" w:rsidR="00026C82" w:rsidRPr="000F23E0" w:rsidRDefault="00026C82" w:rsidP="00026C82">
            <w:pPr>
              <w:pStyle w:val="ChartorTableNote"/>
            </w:pPr>
            <w:r w:rsidRPr="000F23E0">
              <w:t>Monica and her mum Julie with her winning artwork. Photo courtesy of Snowy Hydro Ltd.</w:t>
            </w:r>
          </w:p>
        </w:tc>
      </w:tr>
    </w:tbl>
    <w:p w14:paraId="60328D80" w14:textId="7B70F773" w:rsidR="00634F1C" w:rsidRPr="000F23E0" w:rsidRDefault="00634F1C">
      <w:pPr>
        <w:spacing w:before="0" w:after="160" w:line="259" w:lineRule="auto"/>
      </w:pPr>
      <w:r w:rsidRPr="000F23E0">
        <w:br w:type="page"/>
      </w:r>
    </w:p>
    <w:p w14:paraId="5C625F50" w14:textId="78F7411A" w:rsidR="00ED3691" w:rsidRPr="000F23E0" w:rsidRDefault="00393957" w:rsidP="006475BB">
      <w:pPr>
        <w:pStyle w:val="Heading2"/>
      </w:pPr>
      <w:bookmarkStart w:id="128" w:name="_Toc225155752"/>
      <w:r w:rsidRPr="000F23E0">
        <w:lastRenderedPageBreak/>
        <w:t>Regional Hydrogen Hubs</w:t>
      </w:r>
      <w:bookmarkEnd w:id="128"/>
    </w:p>
    <w:p w14:paraId="44EF7806" w14:textId="0DEBD094" w:rsidR="00ED3691" w:rsidRPr="000F23E0" w:rsidRDefault="00ED3691" w:rsidP="00F55854">
      <w:r w:rsidRPr="000F23E0">
        <w:t>Hydrogen hubs are locations where hydrogen producers, users and potential exporters can co</w:t>
      </w:r>
      <w:r w:rsidR="002C4475" w:rsidRPr="000F23E0">
        <w:noBreakHyphen/>
      </w:r>
      <w:r w:rsidRPr="000F23E0">
        <w:t>locate and collaborate to drive innovation, share infrastructure, create demand and scale up the industry.</w:t>
      </w:r>
    </w:p>
    <w:p w14:paraId="31DC509A" w14:textId="7B858226" w:rsidR="00ED3691" w:rsidRPr="000F23E0" w:rsidRDefault="00ED3691" w:rsidP="00F55854">
      <w:pPr>
        <w:rPr>
          <w:rFonts w:eastAsia="Calibri"/>
        </w:rPr>
      </w:pPr>
      <w:r w:rsidRPr="000F23E0">
        <w:rPr>
          <w:rFonts w:eastAsia="Calibri"/>
        </w:rPr>
        <w:t xml:space="preserve">The Australian Government has invested around $500 million to support the development of hydrogen hubs in regional Australia as well as design and development studies. </w:t>
      </w:r>
      <w:r w:rsidR="00C66B21" w:rsidRPr="000F23E0">
        <w:rPr>
          <w:rFonts w:eastAsia="Calibri"/>
        </w:rPr>
        <w:t>The</w:t>
      </w:r>
      <w:r w:rsidRPr="000F23E0">
        <w:rPr>
          <w:rFonts w:eastAsia="Calibri"/>
        </w:rPr>
        <w:t xml:space="preserve"> hubs </w:t>
      </w:r>
      <w:r w:rsidR="00C66B21" w:rsidRPr="000F23E0">
        <w:rPr>
          <w:rFonts w:eastAsia="Calibri"/>
        </w:rPr>
        <w:t>are part</w:t>
      </w:r>
      <w:r w:rsidRPr="000F23E0">
        <w:rPr>
          <w:rFonts w:eastAsia="Calibri"/>
        </w:rPr>
        <w:t xml:space="preserve"> of the </w:t>
      </w:r>
      <w:r w:rsidRPr="000F23E0">
        <w:rPr>
          <w:rFonts w:eastAsia="Calibri"/>
          <w:i/>
        </w:rPr>
        <w:t>2024 National Hydrogen Strategy</w:t>
      </w:r>
      <w:r w:rsidRPr="000F23E0">
        <w:rPr>
          <w:rFonts w:eastAsia="Calibri"/>
        </w:rPr>
        <w:t xml:space="preserve"> to support clean hydrogen industry growth and development at scale. </w:t>
      </w:r>
      <w:r w:rsidR="005404B9" w:rsidRPr="000F23E0">
        <w:rPr>
          <w:rFonts w:eastAsia="Calibri"/>
        </w:rPr>
        <w:t>The strategy supports</w:t>
      </w:r>
      <w:r w:rsidRPr="000F23E0">
        <w:rPr>
          <w:rFonts w:eastAsia="Calibri"/>
        </w:rPr>
        <w:t xml:space="preserve"> </w:t>
      </w:r>
      <w:r w:rsidR="005404B9" w:rsidRPr="000F23E0">
        <w:rPr>
          <w:rFonts w:eastAsia="Calibri"/>
        </w:rPr>
        <w:t>the</w:t>
      </w:r>
      <w:r w:rsidR="00293B55" w:rsidRPr="000F23E0">
        <w:rPr>
          <w:rFonts w:eastAsia="Calibri"/>
        </w:rPr>
        <w:t xml:space="preserve"> </w:t>
      </w:r>
      <w:r w:rsidRPr="000F23E0">
        <w:rPr>
          <w:rFonts w:eastAsia="Calibri"/>
        </w:rPr>
        <w:t xml:space="preserve">net zero transition and </w:t>
      </w:r>
      <w:r w:rsidR="00EE0F28" w:rsidRPr="000F23E0">
        <w:rPr>
          <w:rFonts w:eastAsia="Calibri"/>
        </w:rPr>
        <w:t>will</w:t>
      </w:r>
      <w:r w:rsidRPr="000F23E0">
        <w:rPr>
          <w:rFonts w:eastAsia="Calibri"/>
        </w:rPr>
        <w:t xml:space="preserve"> </w:t>
      </w:r>
      <w:r w:rsidR="005404B9" w:rsidRPr="000F23E0">
        <w:rPr>
          <w:rFonts w:eastAsia="Calibri"/>
        </w:rPr>
        <w:t xml:space="preserve">help </w:t>
      </w:r>
      <w:r w:rsidRPr="000F23E0">
        <w:rPr>
          <w:rFonts w:eastAsia="Calibri"/>
        </w:rPr>
        <w:t xml:space="preserve">position </w:t>
      </w:r>
      <w:r w:rsidR="005404B9" w:rsidRPr="000F23E0">
        <w:rPr>
          <w:rFonts w:eastAsia="Calibri"/>
        </w:rPr>
        <w:t>Australia</w:t>
      </w:r>
      <w:r w:rsidRPr="000F23E0">
        <w:rPr>
          <w:rFonts w:eastAsia="Calibri"/>
        </w:rPr>
        <w:t xml:space="preserve"> as a global green hydrogen leader.</w:t>
      </w:r>
    </w:p>
    <w:p w14:paraId="6C0CF64A" w14:textId="6BE34550" w:rsidR="00ED3691" w:rsidRPr="000F23E0" w:rsidRDefault="00BE7985" w:rsidP="00F55854">
      <w:r w:rsidRPr="000F23E0">
        <w:t>The h</w:t>
      </w:r>
      <w:r w:rsidR="00ED3691" w:rsidRPr="000F23E0">
        <w:t>ubs will give Australia</w:t>
      </w:r>
      <w:r w:rsidR="002C4475" w:rsidRPr="000F23E0">
        <w:t>’</w:t>
      </w:r>
      <w:r w:rsidR="00ED3691" w:rsidRPr="000F23E0">
        <w:t>s green hydrogen industry an early</w:t>
      </w:r>
      <w:r w:rsidR="002C4475" w:rsidRPr="000F23E0">
        <w:noBreakHyphen/>
      </w:r>
      <w:r w:rsidR="00ED3691" w:rsidRPr="000F23E0">
        <w:t xml:space="preserve">stage springboard to scale, which will help support other industrial sectors in the regions. These industrial clusters will lower the cost of production, encourage innovation, and enhance skills and training. </w:t>
      </w:r>
    </w:p>
    <w:p w14:paraId="485166A0" w14:textId="205AEB0F" w:rsidR="00B55FC7" w:rsidRPr="000F23E0" w:rsidRDefault="00ED3691" w:rsidP="00F55854">
      <w:r w:rsidRPr="000F23E0">
        <w:t xml:space="preserve">All </w:t>
      </w:r>
      <w:r w:rsidR="00393957" w:rsidRPr="000F23E0">
        <w:t>Regional Hydrogen Hubs</w:t>
      </w:r>
      <w:r w:rsidRPr="000F23E0">
        <w:t xml:space="preserve"> projects financed through </w:t>
      </w:r>
      <w:r w:rsidR="00611CEF" w:rsidRPr="000F23E0">
        <w:t>GTB</w:t>
      </w:r>
      <w:r w:rsidRPr="000F23E0">
        <w:t>s will produce green hydrogen only. Hydrogen projects are limited to production processes by electrolysis powered by renewables or grid</w:t>
      </w:r>
      <w:r w:rsidR="00C71B7B" w:rsidRPr="000F23E0">
        <w:t> </w:t>
      </w:r>
      <w:r w:rsidRPr="000F23E0">
        <w:t xml:space="preserve">electricity. </w:t>
      </w:r>
    </w:p>
    <w:p w14:paraId="59EAD93D" w14:textId="53ACE84C" w:rsidR="00B55FC7" w:rsidRPr="000F23E0" w:rsidRDefault="001634DF" w:rsidP="00F55854">
      <w:r w:rsidRPr="000F23E0">
        <w:t xml:space="preserve">The Australian Government has multiple initiatives to assist </w:t>
      </w:r>
      <w:r w:rsidR="00042271" w:rsidRPr="000F23E0">
        <w:t>the development of</w:t>
      </w:r>
      <w:r w:rsidR="00F93312" w:rsidRPr="000F23E0">
        <w:t xml:space="preserve"> </w:t>
      </w:r>
      <w:r w:rsidR="00DE284B" w:rsidRPr="000F23E0">
        <w:t xml:space="preserve">renewable </w:t>
      </w:r>
      <w:r w:rsidR="00F93312" w:rsidRPr="000F23E0">
        <w:t xml:space="preserve">hydrogen. </w:t>
      </w:r>
      <w:r w:rsidR="008204DC" w:rsidRPr="000F23E0">
        <w:t xml:space="preserve">The </w:t>
      </w:r>
      <w:r w:rsidR="00393957" w:rsidRPr="000F23E0">
        <w:t>Regional</w:t>
      </w:r>
      <w:r w:rsidR="008204DC" w:rsidRPr="000F23E0">
        <w:t xml:space="preserve"> Hydrogen Hubs program works alongside the Hydrogen Headstart Program. Hydrogen Headstart will provide revenue support for large</w:t>
      </w:r>
      <w:r w:rsidR="002C4475" w:rsidRPr="000F23E0">
        <w:noBreakHyphen/>
      </w:r>
      <w:r w:rsidR="008204DC" w:rsidRPr="000F23E0">
        <w:t xml:space="preserve">scale renewable hydrogen projects through a competitive application process administered by the Australian Renewable Energy Agency (ARENA). Hydrogen Headstart is also part of the </w:t>
      </w:r>
      <w:r w:rsidR="004A3946" w:rsidRPr="000F23E0">
        <w:t>GTB</w:t>
      </w:r>
      <w:r w:rsidR="008204DC" w:rsidRPr="000F23E0">
        <w:t xml:space="preserve"> program. However, allocations are not expected until hydrogen production has commenced. </w:t>
      </w:r>
    </w:p>
    <w:p w14:paraId="75DAD7C5" w14:textId="254CF175" w:rsidR="00ED3691" w:rsidRPr="000F23E0" w:rsidRDefault="00ED3691" w:rsidP="00F55854">
      <w:pPr>
        <w:pStyle w:val="Heading3"/>
      </w:pPr>
      <w:r w:rsidRPr="000F23E0">
        <w:t xml:space="preserve">Green Treasury Bond </w:t>
      </w:r>
      <w:r w:rsidR="009F7899" w:rsidRPr="000F23E0">
        <w:t>a</w:t>
      </w:r>
      <w:r w:rsidRPr="000F23E0">
        <w:t>llocation</w:t>
      </w:r>
    </w:p>
    <w:p w14:paraId="52371FF4" w14:textId="0203B06A" w:rsidR="001D056C" w:rsidRPr="000F23E0" w:rsidRDefault="00611CEF" w:rsidP="00F55854">
      <w:r w:rsidRPr="000F23E0">
        <w:t>GTB</w:t>
      </w:r>
      <w:r w:rsidR="00ED3691" w:rsidRPr="000F23E0">
        <w:t xml:space="preserve">s contributed to </w:t>
      </w:r>
      <w:r w:rsidR="009A5FB8" w:rsidRPr="000F23E0">
        <w:t>2</w:t>
      </w:r>
      <w:r w:rsidR="00ED3691" w:rsidRPr="000F23E0">
        <w:t xml:space="preserve"> </w:t>
      </w:r>
      <w:r w:rsidR="00E915FA" w:rsidRPr="000F23E0">
        <w:t xml:space="preserve">of 5 </w:t>
      </w:r>
      <w:r w:rsidR="00ED3691" w:rsidRPr="000F23E0">
        <w:t>sub</w:t>
      </w:r>
      <w:r w:rsidR="002C4475" w:rsidRPr="000F23E0">
        <w:noBreakHyphen/>
      </w:r>
      <w:r w:rsidR="00ED3691" w:rsidRPr="000F23E0">
        <w:t>projects</w:t>
      </w:r>
      <w:r w:rsidR="004D0EE1" w:rsidRPr="000F23E0">
        <w:t xml:space="preserve"> across Australia,</w:t>
      </w:r>
      <w:r w:rsidR="00ED3691" w:rsidRPr="000F23E0">
        <w:t xml:space="preserve"> totalling $</w:t>
      </w:r>
      <w:r w:rsidR="00E00B6D" w:rsidRPr="000F23E0">
        <w:t>13</w:t>
      </w:r>
      <w:r w:rsidR="00ED3691" w:rsidRPr="000F23E0">
        <w:t>.</w:t>
      </w:r>
      <w:r w:rsidR="009819D9" w:rsidRPr="000F23E0">
        <w:t>6</w:t>
      </w:r>
      <w:r w:rsidR="00ED3691" w:rsidRPr="000F23E0">
        <w:t xml:space="preserve"> million </w:t>
      </w:r>
      <w:r w:rsidR="00BE1BF2" w:rsidRPr="000F23E0">
        <w:t xml:space="preserve">in </w:t>
      </w:r>
      <w:r w:rsidR="009819D9" w:rsidRPr="000F23E0">
        <w:t>2024</w:t>
      </w:r>
      <w:r w:rsidR="00A055D4" w:rsidRPr="000F23E0">
        <w:t>–</w:t>
      </w:r>
      <w:r w:rsidR="009819D9" w:rsidRPr="000F23E0">
        <w:t>25</w:t>
      </w:r>
      <w:r w:rsidR="00E031BC" w:rsidRPr="000F23E0">
        <w:t xml:space="preserve"> </w:t>
      </w:r>
      <w:r w:rsidR="00591379" w:rsidRPr="000F23E0">
        <w:t xml:space="preserve">(Table </w:t>
      </w:r>
      <w:r w:rsidR="00BB5037" w:rsidRPr="000F23E0">
        <w:t>11</w:t>
      </w:r>
      <w:r w:rsidR="00591379" w:rsidRPr="000F23E0">
        <w:t>)</w:t>
      </w:r>
      <w:r w:rsidR="009529E5" w:rsidRPr="000F23E0">
        <w:t>.</w:t>
      </w:r>
    </w:p>
    <w:p w14:paraId="2BCBE856" w14:textId="212C7EA4" w:rsidR="00E2558A" w:rsidRPr="000F23E0" w:rsidRDefault="00E2558A" w:rsidP="00E2558A">
      <w:r w:rsidRPr="000F23E0">
        <w:t xml:space="preserve">The George Town Green Hydrogen Project received a $2 million allocation in the 2025 Allocation and Impact Report. As the project was subsequently discontinued, the George Town Green Hydrogen Project is not included </w:t>
      </w:r>
      <w:r w:rsidR="007A02EB" w:rsidRPr="000F23E0">
        <w:t xml:space="preserve">and is not allocated to </w:t>
      </w:r>
      <w:r w:rsidRPr="000F23E0">
        <w:t>in this report.</w:t>
      </w:r>
    </w:p>
    <w:p w14:paraId="390C6B72" w14:textId="2C5C1331" w:rsidR="004B2171" w:rsidRPr="000F23E0" w:rsidRDefault="00ED3691" w:rsidP="00F55854">
      <w:bookmarkStart w:id="129" w:name="_Hlk225168742"/>
      <w:r w:rsidRPr="000F23E0">
        <w:t>The total cost of the project refers to the proponent</w:t>
      </w:r>
      <w:r w:rsidR="002C4475" w:rsidRPr="000F23E0">
        <w:t>’</w:t>
      </w:r>
      <w:r w:rsidRPr="000F23E0">
        <w:t>s estimates of lifetime project cost.</w:t>
      </w:r>
      <w:r w:rsidR="00807CD6" w:rsidRPr="000F23E0">
        <w:t xml:space="preserve"> The totals do not include projects for which data is unavailable or cannot be reported (N/A).</w:t>
      </w:r>
    </w:p>
    <w:p w14:paraId="226B93F3" w14:textId="7FC99B27" w:rsidR="00ED3691" w:rsidRPr="000F23E0" w:rsidRDefault="00ED3691" w:rsidP="00551F72">
      <w:pPr>
        <w:pStyle w:val="TableMainHeading"/>
      </w:pPr>
      <w:bookmarkStart w:id="130" w:name="_Toc220662871"/>
      <w:bookmarkStart w:id="131" w:name="_Toc224637802"/>
      <w:bookmarkStart w:id="132" w:name="_Toc224642466"/>
      <w:bookmarkStart w:id="133" w:name="_Toc225153442"/>
      <w:bookmarkStart w:id="134" w:name="_Toc225154488"/>
      <w:bookmarkStart w:id="135" w:name="_Toc225155753"/>
      <w:bookmarkEnd w:id="129"/>
      <w:r w:rsidRPr="000F23E0">
        <w:lastRenderedPageBreak/>
        <w:t xml:space="preserve">Table </w:t>
      </w:r>
      <w:r w:rsidR="00BB5037" w:rsidRPr="000F23E0">
        <w:t>11</w:t>
      </w:r>
      <w:r w:rsidR="00627058" w:rsidRPr="000F23E0">
        <w:t>:</w:t>
      </w:r>
      <w:r w:rsidRPr="000F23E0">
        <w:t xml:space="preserve"> Allocation </w:t>
      </w:r>
      <w:r w:rsidR="009F7899" w:rsidRPr="000F23E0">
        <w:t>d</w:t>
      </w:r>
      <w:r w:rsidRPr="000F23E0">
        <w:t xml:space="preserve">ata for </w:t>
      </w:r>
      <w:r w:rsidR="00393957" w:rsidRPr="000F23E0">
        <w:t>Regional Hydrogen Hubs</w:t>
      </w:r>
      <w:r w:rsidRPr="000F23E0">
        <w:t xml:space="preserve"> ($ million)</w:t>
      </w:r>
      <w:bookmarkEnd w:id="130"/>
      <w:bookmarkEnd w:id="131"/>
      <w:bookmarkEnd w:id="132"/>
      <w:bookmarkEnd w:id="133"/>
      <w:bookmarkEnd w:id="134"/>
      <w:bookmarkEnd w:id="135"/>
    </w:p>
    <w:tbl>
      <w:tblPr>
        <w:tblStyle w:val="GridTable4-Accent2"/>
        <w:tblW w:w="5000" w:type="pct"/>
        <w:tblInd w:w="5" w:type="dxa"/>
        <w:tblBorders>
          <w:top w:val="single" w:sz="4" w:space="0" w:color="DFA795"/>
          <w:bottom w:val="single" w:sz="4" w:space="0" w:color="DFA795"/>
        </w:tblBorders>
        <w:tblLayout w:type="fixed"/>
        <w:tblLook w:val="04A0" w:firstRow="1" w:lastRow="0" w:firstColumn="1" w:lastColumn="0" w:noHBand="0" w:noVBand="1"/>
      </w:tblPr>
      <w:tblGrid>
        <w:gridCol w:w="1413"/>
        <w:gridCol w:w="2693"/>
        <w:gridCol w:w="1276"/>
        <w:gridCol w:w="1134"/>
        <w:gridCol w:w="1417"/>
        <w:gridCol w:w="1137"/>
      </w:tblGrid>
      <w:tr w:rsidR="009638EC" w:rsidRPr="000F23E0" w14:paraId="2327F0D8" w14:textId="77777777" w:rsidTr="00026C82">
        <w:trPr>
          <w:cnfStyle w:val="100000000000" w:firstRow="1" w:lastRow="0" w:firstColumn="0" w:lastColumn="0" w:oddVBand="0" w:evenVBand="0" w:oddHBand="0" w:evenHBand="0" w:firstRowFirstColumn="0" w:firstRowLastColumn="0" w:lastRowFirstColumn="0" w:lastRowLastColumn="0"/>
          <w:trHeight w:val="622"/>
        </w:trPr>
        <w:tc>
          <w:tcPr>
            <w:cnfStyle w:val="001000000000" w:firstRow="0" w:lastRow="0" w:firstColumn="1" w:lastColumn="0" w:oddVBand="0" w:evenVBand="0" w:oddHBand="0" w:evenHBand="0" w:firstRowFirstColumn="0" w:firstRowLastColumn="0" w:lastRowFirstColumn="0" w:lastRowLastColumn="0"/>
            <w:tcW w:w="1413" w:type="dxa"/>
            <w:tcBorders>
              <w:top w:val="single" w:sz="4" w:space="0" w:color="DFA795"/>
              <w:bottom w:val="single" w:sz="4" w:space="0" w:color="DFA795"/>
            </w:tcBorders>
            <w:shd w:val="clear" w:color="auto" w:fill="F1D0C6"/>
          </w:tcPr>
          <w:p w14:paraId="53448E6C" w14:textId="639C6F4A" w:rsidR="00472DAF" w:rsidRPr="000F23E0" w:rsidRDefault="00472DAF" w:rsidP="00026C82">
            <w:pPr>
              <w:pStyle w:val="TableColumnHeadingLeft"/>
              <w:keepLines/>
              <w:rPr>
                <w:b/>
                <w:bCs w:val="0"/>
              </w:rPr>
            </w:pPr>
            <w:r w:rsidRPr="000F23E0">
              <w:rPr>
                <w:b/>
                <w:bCs w:val="0"/>
              </w:rPr>
              <w:t>Eligible Green Expenditure</w:t>
            </w:r>
          </w:p>
        </w:tc>
        <w:tc>
          <w:tcPr>
            <w:tcW w:w="2693" w:type="dxa"/>
            <w:tcBorders>
              <w:top w:val="single" w:sz="4" w:space="0" w:color="DFA795"/>
              <w:bottom w:val="single" w:sz="4" w:space="0" w:color="DFA795"/>
            </w:tcBorders>
            <w:shd w:val="clear" w:color="auto" w:fill="F1D0C6"/>
          </w:tcPr>
          <w:p w14:paraId="14179FCE" w14:textId="1B2771C7" w:rsidR="00472DAF" w:rsidRPr="000F23E0" w:rsidRDefault="00472DAF" w:rsidP="00026C82">
            <w:pPr>
              <w:pStyle w:val="TableColumnHeadingLeft"/>
              <w:keepLines/>
              <w:cnfStyle w:val="100000000000" w:firstRow="1" w:lastRow="0" w:firstColumn="0" w:lastColumn="0" w:oddVBand="0" w:evenVBand="0" w:oddHBand="0" w:evenHBand="0" w:firstRowFirstColumn="0" w:firstRowLastColumn="0" w:lastRowFirstColumn="0" w:lastRowLastColumn="0"/>
              <w:rPr>
                <w:b/>
              </w:rPr>
            </w:pPr>
            <w:r w:rsidRPr="000F23E0">
              <w:rPr>
                <w:b/>
              </w:rPr>
              <w:t>Projects supported</w:t>
            </w:r>
          </w:p>
        </w:tc>
        <w:tc>
          <w:tcPr>
            <w:tcW w:w="1276" w:type="dxa"/>
            <w:tcBorders>
              <w:top w:val="single" w:sz="4" w:space="0" w:color="DFA795"/>
              <w:bottom w:val="single" w:sz="4" w:space="0" w:color="DFA795"/>
            </w:tcBorders>
            <w:shd w:val="clear" w:color="auto" w:fill="F1D0C6"/>
          </w:tcPr>
          <w:p w14:paraId="423981CD" w14:textId="4020BE39" w:rsidR="00472DAF" w:rsidRPr="000F23E0" w:rsidRDefault="00472DAF" w:rsidP="00026C82">
            <w:pPr>
              <w:pStyle w:val="TableColumnHeadingRight"/>
              <w:keepLines/>
              <w:cnfStyle w:val="100000000000" w:firstRow="1" w:lastRow="0" w:firstColumn="0" w:lastColumn="0" w:oddVBand="0" w:evenVBand="0" w:oddHBand="0" w:evenHBand="0" w:firstRowFirstColumn="0" w:firstRowLastColumn="0" w:lastRowFirstColumn="0" w:lastRowLastColumn="0"/>
              <w:rPr>
                <w:b/>
                <w:bCs w:val="0"/>
              </w:rPr>
            </w:pPr>
            <w:r w:rsidRPr="000F23E0">
              <w:rPr>
                <w:b/>
                <w:bCs w:val="0"/>
              </w:rPr>
              <w:t xml:space="preserve">2024–25 Expenditure </w:t>
            </w:r>
          </w:p>
        </w:tc>
        <w:tc>
          <w:tcPr>
            <w:tcW w:w="1134" w:type="dxa"/>
            <w:tcBorders>
              <w:top w:val="single" w:sz="4" w:space="0" w:color="DFA795"/>
              <w:bottom w:val="single" w:sz="4" w:space="0" w:color="DFA795"/>
            </w:tcBorders>
            <w:shd w:val="clear" w:color="auto" w:fill="F1D0C6"/>
          </w:tcPr>
          <w:p w14:paraId="695A6319" w14:textId="5420212C" w:rsidR="00472DAF" w:rsidRPr="000F23E0" w:rsidRDefault="00472DAF" w:rsidP="00026C82">
            <w:pPr>
              <w:pStyle w:val="TableColumnHeadingRight"/>
              <w:keepLines/>
              <w:cnfStyle w:val="100000000000" w:firstRow="1" w:lastRow="0" w:firstColumn="0" w:lastColumn="0" w:oddVBand="0" w:evenVBand="0" w:oddHBand="0" w:evenHBand="0" w:firstRowFirstColumn="0" w:firstRowLastColumn="0" w:lastRowFirstColumn="0" w:lastRowLastColumn="0"/>
              <w:rPr>
                <w:b/>
                <w:bCs w:val="0"/>
                <w:color w:val="FFFFFF" w:themeColor="background1"/>
                <w:sz w:val="22"/>
                <w:szCs w:val="22"/>
              </w:rPr>
            </w:pPr>
            <w:r w:rsidRPr="000F23E0">
              <w:rPr>
                <w:b/>
                <w:bCs w:val="0"/>
              </w:rPr>
              <w:t xml:space="preserve">2024–25 Allocation </w:t>
            </w:r>
          </w:p>
        </w:tc>
        <w:tc>
          <w:tcPr>
            <w:tcW w:w="1417" w:type="dxa"/>
            <w:tcBorders>
              <w:top w:val="single" w:sz="4" w:space="0" w:color="DFA795"/>
              <w:bottom w:val="single" w:sz="4" w:space="0" w:color="DFA795"/>
            </w:tcBorders>
            <w:shd w:val="clear" w:color="auto" w:fill="F1D0C6"/>
          </w:tcPr>
          <w:p w14:paraId="4B9897F0" w14:textId="31F3B1A0" w:rsidR="00472DAF" w:rsidRPr="000F23E0" w:rsidRDefault="00472DAF" w:rsidP="00026C82">
            <w:pPr>
              <w:pStyle w:val="TableColumnHeadingRight"/>
              <w:keepLines/>
              <w:cnfStyle w:val="100000000000" w:firstRow="1" w:lastRow="0" w:firstColumn="0" w:lastColumn="0" w:oddVBand="0" w:evenVBand="0" w:oddHBand="0" w:evenHBand="0" w:firstRowFirstColumn="0" w:firstRowLastColumn="0" w:lastRowFirstColumn="0" w:lastRowLastColumn="0"/>
              <w:rPr>
                <w:b/>
                <w:bCs w:val="0"/>
              </w:rPr>
            </w:pPr>
            <w:r w:rsidRPr="000F23E0">
              <w:rPr>
                <w:b/>
                <w:bCs w:val="0"/>
              </w:rPr>
              <w:t xml:space="preserve">Total Australian Government Contribution </w:t>
            </w:r>
          </w:p>
        </w:tc>
        <w:tc>
          <w:tcPr>
            <w:tcW w:w="1137" w:type="dxa"/>
            <w:tcBorders>
              <w:top w:val="single" w:sz="4" w:space="0" w:color="DFA795"/>
              <w:bottom w:val="single" w:sz="4" w:space="0" w:color="DFA795"/>
            </w:tcBorders>
            <w:shd w:val="clear" w:color="auto" w:fill="F1D0C6"/>
          </w:tcPr>
          <w:p w14:paraId="3809B492" w14:textId="36025181" w:rsidR="00472DAF" w:rsidRPr="000F23E0" w:rsidRDefault="00472DAF" w:rsidP="00026C82">
            <w:pPr>
              <w:pStyle w:val="TableColumnHeadingRight"/>
              <w:keepLines/>
              <w:cnfStyle w:val="100000000000" w:firstRow="1" w:lastRow="0" w:firstColumn="0" w:lastColumn="0" w:oddVBand="0" w:evenVBand="0" w:oddHBand="0" w:evenHBand="0" w:firstRowFirstColumn="0" w:firstRowLastColumn="0" w:lastRowFirstColumn="0" w:lastRowLastColumn="0"/>
              <w:rPr>
                <w:b/>
                <w:bCs w:val="0"/>
              </w:rPr>
            </w:pPr>
            <w:r w:rsidRPr="000F23E0">
              <w:rPr>
                <w:b/>
                <w:bCs w:val="0"/>
              </w:rPr>
              <w:t>Total Cost of</w:t>
            </w:r>
            <w:r w:rsidR="00026C82" w:rsidRPr="000F23E0">
              <w:rPr>
                <w:b/>
                <w:bCs w:val="0"/>
              </w:rPr>
              <w:t> </w:t>
            </w:r>
            <w:r w:rsidRPr="000F23E0">
              <w:rPr>
                <w:b/>
                <w:bCs w:val="0"/>
              </w:rPr>
              <w:t xml:space="preserve">Project </w:t>
            </w:r>
          </w:p>
        </w:tc>
      </w:tr>
      <w:tr w:rsidR="00472DAF" w:rsidRPr="000F23E0" w14:paraId="14DA2018" w14:textId="77777777" w:rsidTr="00026C82">
        <w:trPr>
          <w:trHeight w:val="257"/>
        </w:trPr>
        <w:tc>
          <w:tcPr>
            <w:cnfStyle w:val="001000000000" w:firstRow="0" w:lastRow="0" w:firstColumn="1" w:lastColumn="0" w:oddVBand="0" w:evenVBand="0" w:oddHBand="0" w:evenHBand="0" w:firstRowFirstColumn="0" w:firstRowLastColumn="0" w:lastRowFirstColumn="0" w:lastRowLastColumn="0"/>
            <w:tcW w:w="1413" w:type="dxa"/>
            <w:vMerge w:val="restart"/>
            <w:tcBorders>
              <w:top w:val="single" w:sz="4" w:space="0" w:color="DFA795"/>
            </w:tcBorders>
            <w:shd w:val="clear" w:color="auto" w:fill="FDF0E7"/>
          </w:tcPr>
          <w:p w14:paraId="650C9920" w14:textId="74523155" w:rsidR="00472DAF" w:rsidRPr="000F23E0" w:rsidRDefault="00393957" w:rsidP="00026C82">
            <w:pPr>
              <w:pStyle w:val="TableTextLeft"/>
              <w:keepNext/>
              <w:keepLines/>
            </w:pPr>
            <w:r w:rsidRPr="000F23E0">
              <w:t>Regional Hydrogen Hubs</w:t>
            </w:r>
          </w:p>
        </w:tc>
        <w:tc>
          <w:tcPr>
            <w:tcW w:w="2693" w:type="dxa"/>
            <w:tcBorders>
              <w:top w:val="single" w:sz="4" w:space="0" w:color="DFA795"/>
              <w:bottom w:val="single" w:sz="4" w:space="0" w:color="DFA795"/>
            </w:tcBorders>
            <w:shd w:val="clear" w:color="auto" w:fill="FEFAF8"/>
          </w:tcPr>
          <w:p w14:paraId="39698A5E" w14:textId="7E42D5AF" w:rsidR="00472DAF" w:rsidRPr="000F23E0" w:rsidRDefault="00472DAF" w:rsidP="00026C82">
            <w:pPr>
              <w:pStyle w:val="TableTextLeft"/>
              <w:keepNext/>
              <w:keepLines/>
              <w:cnfStyle w:val="000000000000" w:firstRow="0" w:lastRow="0" w:firstColumn="0" w:lastColumn="0" w:oddVBand="0" w:evenVBand="0" w:oddHBand="0" w:evenHBand="0" w:firstRowFirstColumn="0" w:firstRowLastColumn="0" w:lastRowFirstColumn="0" w:lastRowLastColumn="0"/>
            </w:pPr>
            <w:r w:rsidRPr="000F23E0">
              <w:t>Euroa Hydrogen Project Gladstone</w:t>
            </w:r>
          </w:p>
        </w:tc>
        <w:tc>
          <w:tcPr>
            <w:tcW w:w="1276" w:type="dxa"/>
            <w:tcBorders>
              <w:top w:val="single" w:sz="4" w:space="0" w:color="DFA795"/>
              <w:bottom w:val="single" w:sz="4" w:space="0" w:color="DFA795"/>
            </w:tcBorders>
            <w:shd w:val="clear" w:color="auto" w:fill="FEFAF8"/>
          </w:tcPr>
          <w:p w14:paraId="410ADB30" w14:textId="1C926436" w:rsidR="00472DAF" w:rsidRPr="000F23E0" w:rsidRDefault="00472DAF" w:rsidP="00026C82">
            <w:pPr>
              <w:pStyle w:val="TableTextRight"/>
              <w:keepNext/>
              <w:keepLines/>
              <w:cnfStyle w:val="000000000000" w:firstRow="0" w:lastRow="0" w:firstColumn="0" w:lastColumn="0" w:oddVBand="0" w:evenVBand="0" w:oddHBand="0" w:evenHBand="0" w:firstRowFirstColumn="0" w:firstRowLastColumn="0" w:lastRowFirstColumn="0" w:lastRowLastColumn="0"/>
            </w:pPr>
            <w:r w:rsidRPr="000F23E0">
              <w:t>-</w:t>
            </w:r>
          </w:p>
        </w:tc>
        <w:tc>
          <w:tcPr>
            <w:tcW w:w="1134" w:type="dxa"/>
            <w:tcBorders>
              <w:top w:val="single" w:sz="4" w:space="0" w:color="DFA795"/>
              <w:bottom w:val="single" w:sz="4" w:space="0" w:color="DFA795"/>
            </w:tcBorders>
            <w:shd w:val="clear" w:color="auto" w:fill="FEFAF8"/>
          </w:tcPr>
          <w:p w14:paraId="417537E7" w14:textId="150614B6" w:rsidR="00472DAF" w:rsidRPr="000F23E0" w:rsidRDefault="00472DAF" w:rsidP="00026C82">
            <w:pPr>
              <w:pStyle w:val="TableTextRight"/>
              <w:keepNext/>
              <w:keepLines/>
              <w:cnfStyle w:val="000000000000" w:firstRow="0" w:lastRow="0" w:firstColumn="0" w:lastColumn="0" w:oddVBand="0" w:evenVBand="0" w:oddHBand="0" w:evenHBand="0" w:firstRowFirstColumn="0" w:firstRowLastColumn="0" w:lastRowFirstColumn="0" w:lastRowLastColumn="0"/>
            </w:pPr>
            <w:r w:rsidRPr="000F23E0">
              <w:t>-</w:t>
            </w:r>
          </w:p>
        </w:tc>
        <w:tc>
          <w:tcPr>
            <w:tcW w:w="1417" w:type="dxa"/>
            <w:tcBorders>
              <w:top w:val="single" w:sz="4" w:space="0" w:color="DFA795"/>
              <w:bottom w:val="single" w:sz="4" w:space="0" w:color="DFA795"/>
            </w:tcBorders>
            <w:shd w:val="clear" w:color="auto" w:fill="FEFAF8"/>
          </w:tcPr>
          <w:p w14:paraId="48EE6053" w14:textId="77777777" w:rsidR="00472DAF" w:rsidRPr="000F23E0" w:rsidRDefault="00472DAF" w:rsidP="00026C82">
            <w:pPr>
              <w:pStyle w:val="TableTextRight"/>
              <w:keepNext/>
              <w:keepLines/>
              <w:cnfStyle w:val="000000000000" w:firstRow="0" w:lastRow="0" w:firstColumn="0" w:lastColumn="0" w:oddVBand="0" w:evenVBand="0" w:oddHBand="0" w:evenHBand="0" w:firstRowFirstColumn="0" w:firstRowLastColumn="0" w:lastRowFirstColumn="0" w:lastRowLastColumn="0"/>
            </w:pPr>
            <w:r w:rsidRPr="000F23E0">
              <w:t>3.0</w:t>
            </w:r>
          </w:p>
        </w:tc>
        <w:tc>
          <w:tcPr>
            <w:tcW w:w="1137" w:type="dxa"/>
            <w:tcBorders>
              <w:top w:val="single" w:sz="4" w:space="0" w:color="DFA795"/>
              <w:bottom w:val="single" w:sz="4" w:space="0" w:color="DFA795"/>
            </w:tcBorders>
            <w:shd w:val="clear" w:color="auto" w:fill="FEFAF8"/>
          </w:tcPr>
          <w:p w14:paraId="7BF22DF6" w14:textId="77777777" w:rsidR="00472DAF" w:rsidRPr="000F23E0" w:rsidRDefault="00472DAF" w:rsidP="00026C82">
            <w:pPr>
              <w:pStyle w:val="TableTextRight"/>
              <w:keepNext/>
              <w:keepLines/>
              <w:cnfStyle w:val="000000000000" w:firstRow="0" w:lastRow="0" w:firstColumn="0" w:lastColumn="0" w:oddVBand="0" w:evenVBand="0" w:oddHBand="0" w:evenHBand="0" w:firstRowFirstColumn="0" w:firstRowLastColumn="0" w:lastRowFirstColumn="0" w:lastRowLastColumn="0"/>
            </w:pPr>
            <w:r w:rsidRPr="000F23E0">
              <w:t>6.0</w:t>
            </w:r>
          </w:p>
        </w:tc>
      </w:tr>
      <w:tr w:rsidR="00472DAF" w:rsidRPr="000F23E0" w14:paraId="4A54DFEE" w14:textId="77777777" w:rsidTr="00026C82">
        <w:trPr>
          <w:trHeight w:val="257"/>
        </w:trPr>
        <w:tc>
          <w:tcPr>
            <w:cnfStyle w:val="001000000000" w:firstRow="0" w:lastRow="0" w:firstColumn="1" w:lastColumn="0" w:oddVBand="0" w:evenVBand="0" w:oddHBand="0" w:evenHBand="0" w:firstRowFirstColumn="0" w:firstRowLastColumn="0" w:lastRowFirstColumn="0" w:lastRowLastColumn="0"/>
            <w:tcW w:w="1413" w:type="dxa"/>
            <w:vMerge/>
            <w:shd w:val="clear" w:color="auto" w:fill="FDF0E7"/>
          </w:tcPr>
          <w:p w14:paraId="07BE8A40" w14:textId="77777777" w:rsidR="00472DAF" w:rsidRPr="000F23E0" w:rsidRDefault="00472DAF" w:rsidP="00026C82">
            <w:pPr>
              <w:pStyle w:val="TableTextLeft"/>
              <w:keepNext/>
              <w:keepLines/>
            </w:pPr>
          </w:p>
        </w:tc>
        <w:tc>
          <w:tcPr>
            <w:tcW w:w="2693" w:type="dxa"/>
            <w:tcBorders>
              <w:top w:val="single" w:sz="4" w:space="0" w:color="DFA795"/>
              <w:bottom w:val="single" w:sz="4" w:space="0" w:color="D77A5B"/>
            </w:tcBorders>
            <w:shd w:val="clear" w:color="auto" w:fill="FEFAF8"/>
          </w:tcPr>
          <w:p w14:paraId="02EC07A6" w14:textId="34143EEB" w:rsidR="00472DAF" w:rsidRPr="000F23E0" w:rsidRDefault="00472DAF" w:rsidP="00026C82">
            <w:pPr>
              <w:pStyle w:val="TableTextLeft"/>
              <w:keepNext/>
              <w:keepLines/>
              <w:cnfStyle w:val="000000000000" w:firstRow="0" w:lastRow="0" w:firstColumn="0" w:lastColumn="0" w:oddVBand="0" w:evenVBand="0" w:oddHBand="0" w:evenHBand="0" w:firstRowFirstColumn="0" w:firstRowLastColumn="0" w:lastRowFirstColumn="0" w:lastRowLastColumn="0"/>
            </w:pPr>
            <w:r w:rsidRPr="000F23E0">
              <w:t>CQH2 Gladstone</w:t>
            </w:r>
          </w:p>
        </w:tc>
        <w:tc>
          <w:tcPr>
            <w:tcW w:w="1276" w:type="dxa"/>
            <w:tcBorders>
              <w:top w:val="single" w:sz="4" w:space="0" w:color="DFA795"/>
              <w:bottom w:val="single" w:sz="4" w:space="0" w:color="D77A5B"/>
            </w:tcBorders>
            <w:shd w:val="clear" w:color="auto" w:fill="FEFAF8"/>
          </w:tcPr>
          <w:p w14:paraId="33EE16C4" w14:textId="402B46B8" w:rsidR="00472DAF" w:rsidRPr="000F23E0" w:rsidRDefault="00472DAF" w:rsidP="00026C82">
            <w:pPr>
              <w:pStyle w:val="TableTextRight"/>
              <w:keepNext/>
              <w:keepLines/>
              <w:cnfStyle w:val="000000000000" w:firstRow="0" w:lastRow="0" w:firstColumn="0" w:lastColumn="0" w:oddVBand="0" w:evenVBand="0" w:oddHBand="0" w:evenHBand="0" w:firstRowFirstColumn="0" w:firstRowLastColumn="0" w:lastRowFirstColumn="0" w:lastRowLastColumn="0"/>
            </w:pPr>
            <w:r w:rsidRPr="000F23E0">
              <w:t>5.1</w:t>
            </w:r>
          </w:p>
        </w:tc>
        <w:tc>
          <w:tcPr>
            <w:tcW w:w="1134" w:type="dxa"/>
            <w:tcBorders>
              <w:top w:val="single" w:sz="4" w:space="0" w:color="DFA795"/>
              <w:bottom w:val="single" w:sz="4" w:space="0" w:color="D77A5B"/>
            </w:tcBorders>
            <w:shd w:val="clear" w:color="auto" w:fill="FEFAF8"/>
          </w:tcPr>
          <w:p w14:paraId="4FEC1E2B" w14:textId="37A7157B" w:rsidR="00472DAF" w:rsidRPr="000F23E0" w:rsidRDefault="00472DAF" w:rsidP="00026C82">
            <w:pPr>
              <w:pStyle w:val="TableTextRight"/>
              <w:keepNext/>
              <w:keepLines/>
              <w:cnfStyle w:val="000000000000" w:firstRow="0" w:lastRow="0" w:firstColumn="0" w:lastColumn="0" w:oddVBand="0" w:evenVBand="0" w:oddHBand="0" w:evenHBand="0" w:firstRowFirstColumn="0" w:firstRowLastColumn="0" w:lastRowFirstColumn="0" w:lastRowLastColumn="0"/>
            </w:pPr>
            <w:r w:rsidRPr="000F23E0">
              <w:t>2.8</w:t>
            </w:r>
          </w:p>
        </w:tc>
        <w:tc>
          <w:tcPr>
            <w:tcW w:w="1417" w:type="dxa"/>
            <w:tcBorders>
              <w:top w:val="single" w:sz="4" w:space="0" w:color="DFA795"/>
              <w:bottom w:val="single" w:sz="4" w:space="0" w:color="D77A5B"/>
            </w:tcBorders>
            <w:shd w:val="clear" w:color="auto" w:fill="FEFAF8"/>
          </w:tcPr>
          <w:p w14:paraId="304E349C" w14:textId="045BA1B8" w:rsidR="00472DAF" w:rsidRPr="000F23E0" w:rsidRDefault="00472DAF" w:rsidP="00026C82">
            <w:pPr>
              <w:pStyle w:val="TableTextRight"/>
              <w:keepNext/>
              <w:keepLines/>
              <w:cnfStyle w:val="000000000000" w:firstRow="0" w:lastRow="0" w:firstColumn="0" w:lastColumn="0" w:oddVBand="0" w:evenVBand="0" w:oddHBand="0" w:evenHBand="0" w:firstRowFirstColumn="0" w:firstRowLastColumn="0" w:lastRowFirstColumn="0" w:lastRowLastColumn="0"/>
            </w:pPr>
            <w:r w:rsidRPr="000F23E0">
              <w:t>N/A</w:t>
            </w:r>
          </w:p>
        </w:tc>
        <w:tc>
          <w:tcPr>
            <w:tcW w:w="1137" w:type="dxa"/>
            <w:tcBorders>
              <w:top w:val="single" w:sz="4" w:space="0" w:color="DFA795"/>
              <w:bottom w:val="single" w:sz="4" w:space="0" w:color="D77A5B"/>
            </w:tcBorders>
            <w:shd w:val="clear" w:color="auto" w:fill="FEFAF8"/>
          </w:tcPr>
          <w:p w14:paraId="4345081C" w14:textId="258ADFD7" w:rsidR="00472DAF" w:rsidRPr="000F23E0" w:rsidRDefault="00472DAF" w:rsidP="00026C82">
            <w:pPr>
              <w:pStyle w:val="TableTextRight"/>
              <w:keepNext/>
              <w:keepLines/>
              <w:cnfStyle w:val="000000000000" w:firstRow="0" w:lastRow="0" w:firstColumn="0" w:lastColumn="0" w:oddVBand="0" w:evenVBand="0" w:oddHBand="0" w:evenHBand="0" w:firstRowFirstColumn="0" w:firstRowLastColumn="0" w:lastRowFirstColumn="0" w:lastRowLastColumn="0"/>
            </w:pPr>
            <w:r w:rsidRPr="000F23E0">
              <w:t>N/A</w:t>
            </w:r>
          </w:p>
        </w:tc>
      </w:tr>
      <w:tr w:rsidR="00472DAF" w:rsidRPr="000F23E0" w14:paraId="1666B07B" w14:textId="77777777" w:rsidTr="00026C82">
        <w:trPr>
          <w:trHeight w:val="257"/>
        </w:trPr>
        <w:tc>
          <w:tcPr>
            <w:cnfStyle w:val="001000000000" w:firstRow="0" w:lastRow="0" w:firstColumn="1" w:lastColumn="0" w:oddVBand="0" w:evenVBand="0" w:oddHBand="0" w:evenHBand="0" w:firstRowFirstColumn="0" w:firstRowLastColumn="0" w:lastRowFirstColumn="0" w:lastRowLastColumn="0"/>
            <w:tcW w:w="1413" w:type="dxa"/>
            <w:vMerge/>
            <w:shd w:val="clear" w:color="auto" w:fill="FDF0E7"/>
          </w:tcPr>
          <w:p w14:paraId="481CF9BB" w14:textId="77777777" w:rsidR="00472DAF" w:rsidRPr="000F23E0" w:rsidRDefault="00472DAF" w:rsidP="00026C82">
            <w:pPr>
              <w:pStyle w:val="TableTextLeft"/>
              <w:keepNext/>
              <w:keepLines/>
            </w:pPr>
          </w:p>
        </w:tc>
        <w:tc>
          <w:tcPr>
            <w:tcW w:w="2693" w:type="dxa"/>
            <w:tcBorders>
              <w:top w:val="single" w:sz="4" w:space="0" w:color="D77A5B"/>
              <w:bottom w:val="single" w:sz="4" w:space="0" w:color="D77A5B"/>
            </w:tcBorders>
            <w:shd w:val="clear" w:color="auto" w:fill="FEFAF8"/>
          </w:tcPr>
          <w:p w14:paraId="0F0DF796" w14:textId="57F0B357" w:rsidR="00472DAF" w:rsidRPr="000F23E0" w:rsidRDefault="00472DAF" w:rsidP="00026C82">
            <w:pPr>
              <w:pStyle w:val="TableTextLeft"/>
              <w:keepNext/>
              <w:keepLines/>
              <w:cnfStyle w:val="000000000000" w:firstRow="0" w:lastRow="0" w:firstColumn="0" w:lastColumn="0" w:oddVBand="0" w:evenVBand="0" w:oddHBand="0" w:evenHBand="0" w:firstRowFirstColumn="0" w:firstRowLastColumn="0" w:lastRowFirstColumn="0" w:lastRowLastColumn="0"/>
            </w:pPr>
            <w:r w:rsidRPr="000F23E0">
              <w:t>H2 Kwinana Clean Energy Hub</w:t>
            </w:r>
            <w:r w:rsidRPr="000F23E0">
              <w:rPr>
                <w:rStyle w:val="EndnoteReference"/>
                <w:vertAlign w:val="baseline"/>
              </w:rPr>
              <w:endnoteReference w:id="39"/>
            </w:r>
          </w:p>
        </w:tc>
        <w:tc>
          <w:tcPr>
            <w:tcW w:w="1276" w:type="dxa"/>
            <w:tcBorders>
              <w:top w:val="single" w:sz="4" w:space="0" w:color="D77A5B"/>
              <w:bottom w:val="single" w:sz="4" w:space="0" w:color="D77A5B"/>
            </w:tcBorders>
            <w:shd w:val="clear" w:color="auto" w:fill="FEFAF8"/>
          </w:tcPr>
          <w:p w14:paraId="14BD859C" w14:textId="59968186" w:rsidR="00472DAF" w:rsidRPr="000F23E0" w:rsidRDefault="00472DAF" w:rsidP="00026C82">
            <w:pPr>
              <w:pStyle w:val="TableTextRight"/>
              <w:keepNext/>
              <w:keepLines/>
              <w:cnfStyle w:val="000000000000" w:firstRow="0" w:lastRow="0" w:firstColumn="0" w:lastColumn="0" w:oddVBand="0" w:evenVBand="0" w:oddHBand="0" w:evenHBand="0" w:firstRowFirstColumn="0" w:firstRowLastColumn="0" w:lastRowFirstColumn="0" w:lastRowLastColumn="0"/>
            </w:pPr>
            <w:r w:rsidRPr="000F23E0">
              <w:t>20.0</w:t>
            </w:r>
          </w:p>
        </w:tc>
        <w:tc>
          <w:tcPr>
            <w:tcW w:w="1134" w:type="dxa"/>
            <w:tcBorders>
              <w:top w:val="single" w:sz="4" w:space="0" w:color="D77A5B"/>
              <w:bottom w:val="single" w:sz="4" w:space="0" w:color="D77A5B"/>
            </w:tcBorders>
            <w:shd w:val="clear" w:color="auto" w:fill="FEFAF8"/>
          </w:tcPr>
          <w:p w14:paraId="7C7F8765" w14:textId="6695BD05" w:rsidR="00472DAF" w:rsidRPr="000F23E0" w:rsidRDefault="00472DAF" w:rsidP="00026C82">
            <w:pPr>
              <w:pStyle w:val="TableTextRight"/>
              <w:keepNext/>
              <w:keepLines/>
              <w:cnfStyle w:val="000000000000" w:firstRow="0" w:lastRow="0" w:firstColumn="0" w:lastColumn="0" w:oddVBand="0" w:evenVBand="0" w:oddHBand="0" w:evenHBand="0" w:firstRowFirstColumn="0" w:firstRowLastColumn="0" w:lastRowFirstColumn="0" w:lastRowLastColumn="0"/>
            </w:pPr>
            <w:r w:rsidRPr="000F23E0">
              <w:t>10.8</w:t>
            </w:r>
          </w:p>
        </w:tc>
        <w:tc>
          <w:tcPr>
            <w:tcW w:w="1417" w:type="dxa"/>
            <w:tcBorders>
              <w:top w:val="single" w:sz="4" w:space="0" w:color="D77A5B"/>
              <w:bottom w:val="single" w:sz="4" w:space="0" w:color="D77A5B"/>
            </w:tcBorders>
            <w:shd w:val="clear" w:color="auto" w:fill="FEFAF8"/>
          </w:tcPr>
          <w:p w14:paraId="437A219B" w14:textId="1504FBB0" w:rsidR="00472DAF" w:rsidRPr="000F23E0" w:rsidRDefault="00472DAF" w:rsidP="00026C82">
            <w:pPr>
              <w:pStyle w:val="TableTextRight"/>
              <w:keepNext/>
              <w:keepLines/>
              <w:cnfStyle w:val="000000000000" w:firstRow="0" w:lastRow="0" w:firstColumn="0" w:lastColumn="0" w:oddVBand="0" w:evenVBand="0" w:oddHBand="0" w:evenHBand="0" w:firstRowFirstColumn="0" w:firstRowLastColumn="0" w:lastRowFirstColumn="0" w:lastRowLastColumn="0"/>
            </w:pPr>
            <w:r w:rsidRPr="000F23E0">
              <w:t>70.0</w:t>
            </w:r>
          </w:p>
        </w:tc>
        <w:tc>
          <w:tcPr>
            <w:tcW w:w="1137" w:type="dxa"/>
            <w:tcBorders>
              <w:top w:val="single" w:sz="4" w:space="0" w:color="D77A5B"/>
              <w:bottom w:val="single" w:sz="4" w:space="0" w:color="D77A5B"/>
            </w:tcBorders>
            <w:shd w:val="clear" w:color="auto" w:fill="FEFAF8"/>
          </w:tcPr>
          <w:p w14:paraId="3F681126" w14:textId="2CE41DCF" w:rsidR="00472DAF" w:rsidRPr="000F23E0" w:rsidRDefault="00472DAF" w:rsidP="00026C82">
            <w:pPr>
              <w:pStyle w:val="TableTextRight"/>
              <w:keepNext/>
              <w:keepLines/>
              <w:cnfStyle w:val="000000000000" w:firstRow="0" w:lastRow="0" w:firstColumn="0" w:lastColumn="0" w:oddVBand="0" w:evenVBand="0" w:oddHBand="0" w:evenHBand="0" w:firstRowFirstColumn="0" w:firstRowLastColumn="0" w:lastRowFirstColumn="0" w:lastRowLastColumn="0"/>
            </w:pPr>
            <w:r w:rsidRPr="000F23E0">
              <w:t>403.1</w:t>
            </w:r>
          </w:p>
        </w:tc>
      </w:tr>
      <w:tr w:rsidR="00472DAF" w:rsidRPr="000F23E0" w14:paraId="21A23616" w14:textId="77777777" w:rsidTr="00026C82">
        <w:trPr>
          <w:trHeight w:val="257"/>
        </w:trPr>
        <w:tc>
          <w:tcPr>
            <w:cnfStyle w:val="001000000000" w:firstRow="0" w:lastRow="0" w:firstColumn="1" w:lastColumn="0" w:oddVBand="0" w:evenVBand="0" w:oddHBand="0" w:evenHBand="0" w:firstRowFirstColumn="0" w:firstRowLastColumn="0" w:lastRowFirstColumn="0" w:lastRowLastColumn="0"/>
            <w:tcW w:w="1413" w:type="dxa"/>
            <w:vMerge/>
            <w:shd w:val="clear" w:color="auto" w:fill="FDF0E7"/>
          </w:tcPr>
          <w:p w14:paraId="21AF330C" w14:textId="77777777" w:rsidR="00472DAF" w:rsidRPr="000F23E0" w:rsidRDefault="00472DAF" w:rsidP="00026C82">
            <w:pPr>
              <w:pStyle w:val="TableTextLeft"/>
              <w:keepNext/>
              <w:keepLines/>
            </w:pPr>
          </w:p>
        </w:tc>
        <w:tc>
          <w:tcPr>
            <w:tcW w:w="2693" w:type="dxa"/>
            <w:tcBorders>
              <w:top w:val="single" w:sz="4" w:space="0" w:color="D77A5B"/>
              <w:bottom w:val="single" w:sz="4" w:space="0" w:color="D77A5B"/>
            </w:tcBorders>
            <w:shd w:val="clear" w:color="auto" w:fill="FEFAF8"/>
          </w:tcPr>
          <w:p w14:paraId="7D3F443A" w14:textId="0AACC932" w:rsidR="00472DAF" w:rsidRPr="000F23E0" w:rsidRDefault="00472DAF" w:rsidP="00026C82">
            <w:pPr>
              <w:pStyle w:val="TableTextLeft"/>
              <w:keepNext/>
              <w:keepLines/>
              <w:cnfStyle w:val="000000000000" w:firstRow="0" w:lastRow="0" w:firstColumn="0" w:lastColumn="0" w:oddVBand="0" w:evenVBand="0" w:oddHBand="0" w:evenHBand="0" w:firstRowFirstColumn="0" w:firstRowLastColumn="0" w:lastRowFirstColumn="0" w:lastRowLastColumn="0"/>
            </w:pPr>
            <w:r w:rsidRPr="000F23E0">
              <w:t>Tasmanian Green Hydrogen Hub</w:t>
            </w:r>
            <w:r w:rsidRPr="000F23E0">
              <w:rPr>
                <w:rStyle w:val="EndnoteReference"/>
                <w:vertAlign w:val="baseline"/>
              </w:rPr>
              <w:endnoteReference w:id="40"/>
            </w:r>
          </w:p>
        </w:tc>
        <w:tc>
          <w:tcPr>
            <w:tcW w:w="1276" w:type="dxa"/>
            <w:tcBorders>
              <w:top w:val="single" w:sz="4" w:space="0" w:color="D77A5B"/>
              <w:bottom w:val="single" w:sz="4" w:space="0" w:color="D77A5B"/>
            </w:tcBorders>
            <w:shd w:val="clear" w:color="auto" w:fill="FEFAF8"/>
          </w:tcPr>
          <w:p w14:paraId="0725E8AA" w14:textId="773765E0" w:rsidR="00472DAF" w:rsidRPr="000F23E0" w:rsidRDefault="00472DAF" w:rsidP="00026C82">
            <w:pPr>
              <w:pStyle w:val="TableTextRight"/>
              <w:keepNext/>
              <w:keepLines/>
              <w:cnfStyle w:val="000000000000" w:firstRow="0" w:lastRow="0" w:firstColumn="0" w:lastColumn="0" w:oddVBand="0" w:evenVBand="0" w:oddHBand="0" w:evenHBand="0" w:firstRowFirstColumn="0" w:firstRowLastColumn="0" w:lastRowFirstColumn="0" w:lastRowLastColumn="0"/>
            </w:pPr>
            <w:r w:rsidRPr="000F23E0">
              <w:t>-</w:t>
            </w:r>
          </w:p>
        </w:tc>
        <w:tc>
          <w:tcPr>
            <w:tcW w:w="1134" w:type="dxa"/>
            <w:tcBorders>
              <w:top w:val="single" w:sz="4" w:space="0" w:color="D77A5B"/>
              <w:bottom w:val="single" w:sz="4" w:space="0" w:color="D77A5B"/>
            </w:tcBorders>
            <w:shd w:val="clear" w:color="auto" w:fill="FEFAF8"/>
          </w:tcPr>
          <w:p w14:paraId="06E37291" w14:textId="7F10566F" w:rsidR="00472DAF" w:rsidRPr="000F23E0" w:rsidRDefault="00472DAF" w:rsidP="00026C82">
            <w:pPr>
              <w:pStyle w:val="TableTextRight"/>
              <w:keepNext/>
              <w:keepLines/>
              <w:cnfStyle w:val="000000000000" w:firstRow="0" w:lastRow="0" w:firstColumn="0" w:lastColumn="0" w:oddVBand="0" w:evenVBand="0" w:oddHBand="0" w:evenHBand="0" w:firstRowFirstColumn="0" w:firstRowLastColumn="0" w:lastRowFirstColumn="0" w:lastRowLastColumn="0"/>
            </w:pPr>
            <w:r w:rsidRPr="000F23E0">
              <w:t>-</w:t>
            </w:r>
          </w:p>
        </w:tc>
        <w:tc>
          <w:tcPr>
            <w:tcW w:w="1417" w:type="dxa"/>
            <w:tcBorders>
              <w:top w:val="single" w:sz="4" w:space="0" w:color="D77A5B"/>
              <w:bottom w:val="single" w:sz="4" w:space="0" w:color="D77A5B"/>
            </w:tcBorders>
            <w:shd w:val="clear" w:color="auto" w:fill="FEFAF8"/>
          </w:tcPr>
          <w:p w14:paraId="5EAED035" w14:textId="6F00BBBE" w:rsidR="00472DAF" w:rsidRPr="000F23E0" w:rsidRDefault="00472DAF" w:rsidP="00026C82">
            <w:pPr>
              <w:pStyle w:val="TableTextRight"/>
              <w:keepNext/>
              <w:keepLines/>
              <w:cnfStyle w:val="000000000000" w:firstRow="0" w:lastRow="0" w:firstColumn="0" w:lastColumn="0" w:oddVBand="0" w:evenVBand="0" w:oddHBand="0" w:evenHBand="0" w:firstRowFirstColumn="0" w:firstRowLastColumn="0" w:lastRowFirstColumn="0" w:lastRowLastColumn="0"/>
            </w:pPr>
            <w:r w:rsidRPr="000F23E0">
              <w:t>70.0</w:t>
            </w:r>
          </w:p>
        </w:tc>
        <w:tc>
          <w:tcPr>
            <w:tcW w:w="1137" w:type="dxa"/>
            <w:tcBorders>
              <w:top w:val="single" w:sz="4" w:space="0" w:color="D77A5B"/>
              <w:bottom w:val="single" w:sz="4" w:space="0" w:color="D77A5B"/>
            </w:tcBorders>
            <w:shd w:val="clear" w:color="auto" w:fill="FEFAF8"/>
          </w:tcPr>
          <w:p w14:paraId="73766F8C" w14:textId="598645CB" w:rsidR="00472DAF" w:rsidRPr="000F23E0" w:rsidRDefault="00472DAF" w:rsidP="00026C82">
            <w:pPr>
              <w:pStyle w:val="TableTextRight"/>
              <w:keepNext/>
              <w:keepLines/>
              <w:cnfStyle w:val="000000000000" w:firstRow="0" w:lastRow="0" w:firstColumn="0" w:lastColumn="0" w:oddVBand="0" w:evenVBand="0" w:oddHBand="0" w:evenHBand="0" w:firstRowFirstColumn="0" w:firstRowLastColumn="0" w:lastRowFirstColumn="0" w:lastRowLastColumn="0"/>
            </w:pPr>
            <w:r w:rsidRPr="000F23E0">
              <w:t>300.0</w:t>
            </w:r>
          </w:p>
        </w:tc>
      </w:tr>
      <w:tr w:rsidR="00472DAF" w:rsidRPr="000F23E0" w14:paraId="47D46497" w14:textId="77777777" w:rsidTr="00026C82">
        <w:trPr>
          <w:trHeight w:val="257"/>
        </w:trPr>
        <w:tc>
          <w:tcPr>
            <w:cnfStyle w:val="001000000000" w:firstRow="0" w:lastRow="0" w:firstColumn="1" w:lastColumn="0" w:oddVBand="0" w:evenVBand="0" w:oddHBand="0" w:evenHBand="0" w:firstRowFirstColumn="0" w:firstRowLastColumn="0" w:lastRowFirstColumn="0" w:lastRowLastColumn="0"/>
            <w:tcW w:w="1413" w:type="dxa"/>
            <w:vMerge/>
            <w:shd w:val="clear" w:color="auto" w:fill="FDF0E7"/>
          </w:tcPr>
          <w:p w14:paraId="67B384E0" w14:textId="77777777" w:rsidR="00472DAF" w:rsidRPr="000F23E0" w:rsidRDefault="00472DAF" w:rsidP="00026C82">
            <w:pPr>
              <w:pStyle w:val="TableTextLeft"/>
              <w:keepNext/>
              <w:keepLines/>
            </w:pPr>
          </w:p>
        </w:tc>
        <w:tc>
          <w:tcPr>
            <w:tcW w:w="2693" w:type="dxa"/>
            <w:tcBorders>
              <w:top w:val="single" w:sz="4" w:space="0" w:color="D77A5B"/>
              <w:bottom w:val="single" w:sz="4" w:space="0" w:color="D77A5B"/>
            </w:tcBorders>
            <w:shd w:val="clear" w:color="auto" w:fill="FEFAF8"/>
          </w:tcPr>
          <w:p w14:paraId="5DDBA0A5" w14:textId="7C266311" w:rsidR="00472DAF" w:rsidRPr="000F23E0" w:rsidRDefault="00472DAF" w:rsidP="00026C82">
            <w:pPr>
              <w:pStyle w:val="TableTextLeft"/>
              <w:keepNext/>
              <w:keepLines/>
              <w:cnfStyle w:val="000000000000" w:firstRow="0" w:lastRow="0" w:firstColumn="0" w:lastColumn="0" w:oddVBand="0" w:evenVBand="0" w:oddHBand="0" w:evenHBand="0" w:firstRowFirstColumn="0" w:firstRowLastColumn="0" w:lastRowFirstColumn="0" w:lastRowLastColumn="0"/>
            </w:pPr>
            <w:r w:rsidRPr="000F23E0">
              <w:t>Hunter H2 Hub</w:t>
            </w:r>
            <w:r w:rsidRPr="000F23E0">
              <w:rPr>
                <w:rStyle w:val="EndnoteReference"/>
                <w:vertAlign w:val="baseline"/>
              </w:rPr>
              <w:endnoteReference w:id="41"/>
            </w:r>
          </w:p>
        </w:tc>
        <w:tc>
          <w:tcPr>
            <w:tcW w:w="1276" w:type="dxa"/>
            <w:tcBorders>
              <w:top w:val="single" w:sz="4" w:space="0" w:color="D77A5B"/>
              <w:bottom w:val="single" w:sz="4" w:space="0" w:color="D77A5B"/>
            </w:tcBorders>
            <w:shd w:val="clear" w:color="auto" w:fill="FEFAF8"/>
          </w:tcPr>
          <w:p w14:paraId="67DA75FE" w14:textId="625F9E8C" w:rsidR="00472DAF" w:rsidRPr="000F23E0" w:rsidRDefault="00472DAF" w:rsidP="00026C82">
            <w:pPr>
              <w:pStyle w:val="TableTextRight"/>
              <w:keepNext/>
              <w:keepLines/>
              <w:cnfStyle w:val="000000000000" w:firstRow="0" w:lastRow="0" w:firstColumn="0" w:lastColumn="0" w:oddVBand="0" w:evenVBand="0" w:oddHBand="0" w:evenHBand="0" w:firstRowFirstColumn="0" w:firstRowLastColumn="0" w:lastRowFirstColumn="0" w:lastRowLastColumn="0"/>
            </w:pPr>
            <w:r w:rsidRPr="000F23E0">
              <w:t>-</w:t>
            </w:r>
          </w:p>
        </w:tc>
        <w:tc>
          <w:tcPr>
            <w:tcW w:w="1134" w:type="dxa"/>
            <w:tcBorders>
              <w:top w:val="single" w:sz="4" w:space="0" w:color="D77A5B"/>
              <w:bottom w:val="single" w:sz="4" w:space="0" w:color="D77A5B"/>
            </w:tcBorders>
            <w:shd w:val="clear" w:color="auto" w:fill="FEFAF8"/>
          </w:tcPr>
          <w:p w14:paraId="4DAEB607" w14:textId="5356332C" w:rsidR="00472DAF" w:rsidRPr="000F23E0" w:rsidRDefault="00472DAF" w:rsidP="00026C82">
            <w:pPr>
              <w:pStyle w:val="TableTextRight"/>
              <w:keepNext/>
              <w:keepLines/>
              <w:cnfStyle w:val="000000000000" w:firstRow="0" w:lastRow="0" w:firstColumn="0" w:lastColumn="0" w:oddVBand="0" w:evenVBand="0" w:oddHBand="0" w:evenHBand="0" w:firstRowFirstColumn="0" w:firstRowLastColumn="0" w:lastRowFirstColumn="0" w:lastRowLastColumn="0"/>
            </w:pPr>
            <w:r w:rsidRPr="000F23E0">
              <w:t>-</w:t>
            </w:r>
          </w:p>
        </w:tc>
        <w:tc>
          <w:tcPr>
            <w:tcW w:w="1417" w:type="dxa"/>
            <w:tcBorders>
              <w:top w:val="single" w:sz="4" w:space="0" w:color="D77A5B"/>
              <w:bottom w:val="single" w:sz="4" w:space="0" w:color="D77A5B"/>
            </w:tcBorders>
            <w:shd w:val="clear" w:color="auto" w:fill="FEFAF8"/>
          </w:tcPr>
          <w:p w14:paraId="428A0D73" w14:textId="1FD204B6" w:rsidR="00472DAF" w:rsidRPr="000F23E0" w:rsidRDefault="00472DAF" w:rsidP="00026C82">
            <w:pPr>
              <w:pStyle w:val="TableTextRight"/>
              <w:keepNext/>
              <w:keepLines/>
              <w:cnfStyle w:val="000000000000" w:firstRow="0" w:lastRow="0" w:firstColumn="0" w:lastColumn="0" w:oddVBand="0" w:evenVBand="0" w:oddHBand="0" w:evenHBand="0" w:firstRowFirstColumn="0" w:firstRowLastColumn="0" w:lastRowFirstColumn="0" w:lastRowLastColumn="0"/>
            </w:pPr>
            <w:r w:rsidRPr="000F23E0">
              <w:t>70.0</w:t>
            </w:r>
          </w:p>
        </w:tc>
        <w:tc>
          <w:tcPr>
            <w:tcW w:w="1137" w:type="dxa"/>
            <w:tcBorders>
              <w:top w:val="single" w:sz="4" w:space="0" w:color="D77A5B"/>
              <w:bottom w:val="single" w:sz="4" w:space="0" w:color="D77A5B"/>
            </w:tcBorders>
            <w:shd w:val="clear" w:color="auto" w:fill="FEFAF8"/>
          </w:tcPr>
          <w:p w14:paraId="4532C5A0" w14:textId="429D88E0" w:rsidR="00472DAF" w:rsidRPr="000F23E0" w:rsidRDefault="00472DAF" w:rsidP="00026C82">
            <w:pPr>
              <w:pStyle w:val="TableTextRight"/>
              <w:keepNext/>
              <w:keepLines/>
              <w:cnfStyle w:val="000000000000" w:firstRow="0" w:lastRow="0" w:firstColumn="0" w:lastColumn="0" w:oddVBand="0" w:evenVBand="0" w:oddHBand="0" w:evenHBand="0" w:firstRowFirstColumn="0" w:firstRowLastColumn="0" w:lastRowFirstColumn="0" w:lastRowLastColumn="0"/>
            </w:pPr>
            <w:r w:rsidRPr="000F23E0">
              <w:t>207.6</w:t>
            </w:r>
          </w:p>
        </w:tc>
      </w:tr>
      <w:tr w:rsidR="00472DAF" w:rsidRPr="000F23E0" w14:paraId="64DC0BE2" w14:textId="77777777" w:rsidTr="00026C82">
        <w:trPr>
          <w:trHeight w:val="257"/>
        </w:trPr>
        <w:tc>
          <w:tcPr>
            <w:cnfStyle w:val="001000000000" w:firstRow="0" w:lastRow="0" w:firstColumn="1" w:lastColumn="0" w:oddVBand="0" w:evenVBand="0" w:oddHBand="0" w:evenHBand="0" w:firstRowFirstColumn="0" w:firstRowLastColumn="0" w:lastRowFirstColumn="0" w:lastRowLastColumn="0"/>
            <w:tcW w:w="1413" w:type="dxa"/>
            <w:vMerge/>
          </w:tcPr>
          <w:p w14:paraId="40417B37" w14:textId="77777777" w:rsidR="00472DAF" w:rsidRPr="000F23E0" w:rsidRDefault="00472DAF" w:rsidP="00026C82">
            <w:pPr>
              <w:pStyle w:val="TableTextLeft"/>
              <w:keepNext/>
              <w:keepLines/>
            </w:pPr>
          </w:p>
        </w:tc>
        <w:tc>
          <w:tcPr>
            <w:tcW w:w="2693" w:type="dxa"/>
            <w:tcBorders>
              <w:top w:val="single" w:sz="4" w:space="0" w:color="D77A5B"/>
              <w:bottom w:val="single" w:sz="4" w:space="0" w:color="DFA795"/>
            </w:tcBorders>
            <w:shd w:val="clear" w:color="auto" w:fill="FEFAF8"/>
          </w:tcPr>
          <w:p w14:paraId="476064AE" w14:textId="20824298" w:rsidR="00472DAF" w:rsidRPr="000F23E0" w:rsidRDefault="00472DAF" w:rsidP="00026C82">
            <w:pPr>
              <w:pStyle w:val="TableTextLeft"/>
              <w:keepNext/>
              <w:keepLines/>
              <w:cnfStyle w:val="000000000000" w:firstRow="0" w:lastRow="0" w:firstColumn="0" w:lastColumn="0" w:oddVBand="0" w:evenVBand="0" w:oddHBand="0" w:evenHBand="0" w:firstRowFirstColumn="0" w:firstRowLastColumn="0" w:lastRowFirstColumn="0" w:lastRowLastColumn="0"/>
              <w:rPr>
                <w:b/>
                <w:bCs/>
              </w:rPr>
            </w:pPr>
            <w:r w:rsidRPr="000F23E0">
              <w:rPr>
                <w:b/>
                <w:bCs/>
              </w:rPr>
              <w:t>Total</w:t>
            </w:r>
          </w:p>
        </w:tc>
        <w:tc>
          <w:tcPr>
            <w:tcW w:w="1276" w:type="dxa"/>
            <w:tcBorders>
              <w:top w:val="single" w:sz="4" w:space="0" w:color="D77A5B"/>
              <w:bottom w:val="single" w:sz="4" w:space="0" w:color="DFA795"/>
            </w:tcBorders>
            <w:shd w:val="clear" w:color="auto" w:fill="FEFAF8"/>
          </w:tcPr>
          <w:p w14:paraId="2D84592D" w14:textId="0FA79779" w:rsidR="00472DAF" w:rsidRPr="000F23E0" w:rsidRDefault="00472DAF" w:rsidP="00026C82">
            <w:pPr>
              <w:pStyle w:val="TableTextRight"/>
              <w:keepNext/>
              <w:keepLines/>
              <w:cnfStyle w:val="000000000000" w:firstRow="0" w:lastRow="0" w:firstColumn="0" w:lastColumn="0" w:oddVBand="0" w:evenVBand="0" w:oddHBand="0" w:evenHBand="0" w:firstRowFirstColumn="0" w:firstRowLastColumn="0" w:lastRowFirstColumn="0" w:lastRowLastColumn="0"/>
              <w:rPr>
                <w:b/>
                <w:bCs/>
              </w:rPr>
            </w:pPr>
            <w:r w:rsidRPr="000F23E0">
              <w:rPr>
                <w:b/>
                <w:bCs/>
              </w:rPr>
              <w:t>25.1</w:t>
            </w:r>
          </w:p>
        </w:tc>
        <w:tc>
          <w:tcPr>
            <w:tcW w:w="1134" w:type="dxa"/>
            <w:tcBorders>
              <w:top w:val="single" w:sz="4" w:space="0" w:color="D77A5B"/>
              <w:bottom w:val="single" w:sz="4" w:space="0" w:color="DFA795"/>
            </w:tcBorders>
            <w:shd w:val="clear" w:color="auto" w:fill="FEFAF8"/>
          </w:tcPr>
          <w:p w14:paraId="60670143" w14:textId="6B747F52" w:rsidR="00472DAF" w:rsidRPr="000F23E0" w:rsidRDefault="00472DAF" w:rsidP="00026C82">
            <w:pPr>
              <w:pStyle w:val="TableTextRight"/>
              <w:keepNext/>
              <w:keepLines/>
              <w:cnfStyle w:val="000000000000" w:firstRow="0" w:lastRow="0" w:firstColumn="0" w:lastColumn="0" w:oddVBand="0" w:evenVBand="0" w:oddHBand="0" w:evenHBand="0" w:firstRowFirstColumn="0" w:firstRowLastColumn="0" w:lastRowFirstColumn="0" w:lastRowLastColumn="0"/>
              <w:rPr>
                <w:b/>
                <w:bCs/>
              </w:rPr>
            </w:pPr>
            <w:r w:rsidRPr="000F23E0">
              <w:rPr>
                <w:b/>
                <w:bCs/>
              </w:rPr>
              <w:t>13.6</w:t>
            </w:r>
          </w:p>
        </w:tc>
        <w:tc>
          <w:tcPr>
            <w:tcW w:w="1417" w:type="dxa"/>
            <w:tcBorders>
              <w:top w:val="single" w:sz="4" w:space="0" w:color="D77A5B"/>
              <w:bottom w:val="single" w:sz="4" w:space="0" w:color="DFA795"/>
            </w:tcBorders>
            <w:shd w:val="clear" w:color="auto" w:fill="FEFAF8"/>
          </w:tcPr>
          <w:p w14:paraId="6AA84AD8" w14:textId="31A567E9" w:rsidR="00472DAF" w:rsidRPr="000F23E0" w:rsidRDefault="00472DAF" w:rsidP="00026C82">
            <w:pPr>
              <w:pStyle w:val="TableTextRight"/>
              <w:keepNext/>
              <w:keepLines/>
              <w:cnfStyle w:val="000000000000" w:firstRow="0" w:lastRow="0" w:firstColumn="0" w:lastColumn="0" w:oddVBand="0" w:evenVBand="0" w:oddHBand="0" w:evenHBand="0" w:firstRowFirstColumn="0" w:firstRowLastColumn="0" w:lastRowFirstColumn="0" w:lastRowLastColumn="0"/>
              <w:rPr>
                <w:b/>
                <w:bCs/>
              </w:rPr>
            </w:pPr>
            <w:r w:rsidRPr="000F23E0">
              <w:rPr>
                <w:b/>
                <w:bCs/>
              </w:rPr>
              <w:t>213.0</w:t>
            </w:r>
          </w:p>
        </w:tc>
        <w:tc>
          <w:tcPr>
            <w:tcW w:w="1137" w:type="dxa"/>
            <w:tcBorders>
              <w:top w:val="single" w:sz="4" w:space="0" w:color="D77A5B"/>
              <w:bottom w:val="single" w:sz="4" w:space="0" w:color="DFA795"/>
            </w:tcBorders>
            <w:shd w:val="clear" w:color="auto" w:fill="FEFAF8"/>
          </w:tcPr>
          <w:p w14:paraId="554C22B3" w14:textId="346070C4" w:rsidR="00472DAF" w:rsidRPr="000F23E0" w:rsidRDefault="00472DAF" w:rsidP="00026C82">
            <w:pPr>
              <w:pStyle w:val="TableTextRight"/>
              <w:keepNext/>
              <w:keepLines/>
              <w:cnfStyle w:val="000000000000" w:firstRow="0" w:lastRow="0" w:firstColumn="0" w:lastColumn="0" w:oddVBand="0" w:evenVBand="0" w:oddHBand="0" w:evenHBand="0" w:firstRowFirstColumn="0" w:firstRowLastColumn="0" w:lastRowFirstColumn="0" w:lastRowLastColumn="0"/>
              <w:rPr>
                <w:b/>
                <w:bCs/>
              </w:rPr>
            </w:pPr>
            <w:r w:rsidRPr="000F23E0">
              <w:rPr>
                <w:b/>
                <w:bCs/>
              </w:rPr>
              <w:t>916.7</w:t>
            </w:r>
          </w:p>
        </w:tc>
      </w:tr>
    </w:tbl>
    <w:p w14:paraId="28358177" w14:textId="4F123708" w:rsidR="00ED3691" w:rsidRPr="000F23E0" w:rsidRDefault="00ED3691" w:rsidP="00026C82">
      <w:pPr>
        <w:pStyle w:val="Heading4"/>
        <w:keepNext/>
        <w:keepLines/>
      </w:pPr>
      <w:r w:rsidRPr="000F23E0">
        <w:t>Co</w:t>
      </w:r>
      <w:r w:rsidR="002C4475" w:rsidRPr="000F23E0">
        <w:noBreakHyphen/>
      </w:r>
      <w:r w:rsidRPr="000F23E0">
        <w:t xml:space="preserve">financing </w:t>
      </w:r>
      <w:r w:rsidR="00E34586" w:rsidRPr="000F23E0">
        <w:t>a</w:t>
      </w:r>
      <w:r w:rsidRPr="000F23E0">
        <w:t>rrangements</w:t>
      </w:r>
    </w:p>
    <w:p w14:paraId="27B48A93" w14:textId="19217776" w:rsidR="00ED3691" w:rsidRPr="000F23E0" w:rsidRDefault="00ED3691" w:rsidP="00F55854">
      <w:r w:rsidRPr="000F23E0">
        <w:t>Projects are co</w:t>
      </w:r>
      <w:r w:rsidR="002C4475" w:rsidRPr="000F23E0">
        <w:noBreakHyphen/>
      </w:r>
      <w:r w:rsidRPr="000F23E0">
        <w:t xml:space="preserve">financed by private proponents and/or state and territory governments. </w:t>
      </w:r>
    </w:p>
    <w:p w14:paraId="5434E2CC" w14:textId="48FDE098" w:rsidR="00ED3691" w:rsidRPr="000F23E0" w:rsidRDefault="00611CEF" w:rsidP="00F55854">
      <w:r w:rsidRPr="000F23E0">
        <w:t>GTB</w:t>
      </w:r>
      <w:r w:rsidR="00ED3691" w:rsidRPr="000F23E0">
        <w:t xml:space="preserve"> proceeds </w:t>
      </w:r>
      <w:r w:rsidR="00A60BF0" w:rsidRPr="000F23E0">
        <w:t>are allocated to</w:t>
      </w:r>
      <w:r w:rsidR="00ED3691" w:rsidRPr="000F23E0">
        <w:t xml:space="preserve"> green hydrogen activities</w:t>
      </w:r>
      <w:r w:rsidR="00362002" w:rsidRPr="000F23E0">
        <w:t>. S</w:t>
      </w:r>
      <w:r w:rsidR="00ED3691" w:rsidRPr="000F23E0">
        <w:t>ome proceeds have been allocated to entities that also operate in the fossil fuel industry</w:t>
      </w:r>
      <w:r w:rsidR="00362002" w:rsidRPr="000F23E0">
        <w:t>, although a</w:t>
      </w:r>
      <w:r w:rsidR="00ED3691" w:rsidRPr="000F23E0">
        <w:t xml:space="preserve">llocated proceeds </w:t>
      </w:r>
      <w:r w:rsidR="009454FD" w:rsidRPr="000F23E0">
        <w:t xml:space="preserve">are not permitted to </w:t>
      </w:r>
      <w:r w:rsidR="00ED3691" w:rsidRPr="000F23E0">
        <w:t xml:space="preserve">be used for </w:t>
      </w:r>
      <w:r w:rsidR="00362002" w:rsidRPr="000F23E0">
        <w:t>those</w:t>
      </w:r>
      <w:r w:rsidR="00ED3691" w:rsidRPr="000F23E0">
        <w:t xml:space="preserve"> activities. Further information on eligible activities and ongoing monitoring of grant funding is available </w:t>
      </w:r>
      <w:r w:rsidR="00665F4C" w:rsidRPr="000F23E0">
        <w:t>in the Grant Opportunity Guidelines</w:t>
      </w:r>
      <w:r w:rsidR="004809B5" w:rsidRPr="000F23E0">
        <w:rPr>
          <w:rStyle w:val="EndnoteReference"/>
        </w:rPr>
        <w:endnoteReference w:id="42"/>
      </w:r>
      <w:r w:rsidR="00665F4C" w:rsidRPr="000F23E0">
        <w:t xml:space="preserve"> for the Activating a Regional Hydrogen Industry</w:t>
      </w:r>
      <w:r w:rsidR="002C4475" w:rsidRPr="000F23E0">
        <w:t xml:space="preserve"> – </w:t>
      </w:r>
      <w:r w:rsidR="00665F4C" w:rsidRPr="000F23E0">
        <w:t>Clean Hydrogen Industrial Hubs program.</w:t>
      </w:r>
    </w:p>
    <w:p w14:paraId="0BED8B32" w14:textId="6F643A13" w:rsidR="00ED3691" w:rsidRPr="000F23E0" w:rsidRDefault="00ED3691" w:rsidP="007143C1">
      <w:pPr>
        <w:pStyle w:val="Heading4"/>
      </w:pPr>
      <w:r w:rsidRPr="000F23E0">
        <w:t xml:space="preserve">Material </w:t>
      </w:r>
      <w:r w:rsidR="00E34586" w:rsidRPr="000F23E0">
        <w:t>r</w:t>
      </w:r>
      <w:r w:rsidRPr="000F23E0">
        <w:t>isks</w:t>
      </w:r>
    </w:p>
    <w:p w14:paraId="3CF8E4D8" w14:textId="2CC2C83A" w:rsidR="00101A24" w:rsidRPr="000F23E0" w:rsidRDefault="00101A24" w:rsidP="00C7040D">
      <w:r w:rsidRPr="000F23E0">
        <w:t>Projects supported under the program are subject to technical and commercial risk. All Regional Hydrogen Hub implementation projects are working towards a final investment decision. </w:t>
      </w:r>
    </w:p>
    <w:p w14:paraId="337014B3" w14:textId="22627860" w:rsidR="00101A24" w:rsidRPr="000F23E0" w:rsidRDefault="00101A24" w:rsidP="00C7040D">
      <w:r w:rsidRPr="000F23E0">
        <w:t xml:space="preserve">On 3 October 2024, Origin Energy announced that it </w:t>
      </w:r>
      <w:r w:rsidR="00276ACE" w:rsidRPr="000F23E0">
        <w:t xml:space="preserve">would </w:t>
      </w:r>
      <w:r w:rsidRPr="000F23E0">
        <w:t>exit the Hunter Hydrogen Hub. Origin cited</w:t>
      </w:r>
      <w:r w:rsidR="002D33EA" w:rsidRPr="000F23E0">
        <w:t> </w:t>
      </w:r>
      <w:r w:rsidRPr="000F23E0">
        <w:t>commercial factors for its decision, including uncertainty surrounding the pace and timing of the</w:t>
      </w:r>
      <w:r w:rsidR="002D33EA" w:rsidRPr="000F23E0">
        <w:t> </w:t>
      </w:r>
      <w:r w:rsidRPr="000F23E0">
        <w:t>development of the hydrogen market and the risk associated with capital intensive projects. Orica</w:t>
      </w:r>
      <w:r w:rsidR="002D33EA" w:rsidRPr="000F23E0">
        <w:t> </w:t>
      </w:r>
      <w:r w:rsidRPr="000F23E0">
        <w:t xml:space="preserve">Australia, </w:t>
      </w:r>
      <w:r w:rsidR="00B45ACC" w:rsidRPr="000F23E0">
        <w:t xml:space="preserve">which </w:t>
      </w:r>
      <w:r w:rsidRPr="000F23E0">
        <w:t xml:space="preserve">was to be the </w:t>
      </w:r>
      <w:r w:rsidR="00B45ACC" w:rsidRPr="000F23E0">
        <w:t>hub</w:t>
      </w:r>
      <w:r w:rsidR="002C4475" w:rsidRPr="000F23E0">
        <w:t>’</w:t>
      </w:r>
      <w:r w:rsidR="00B45ACC" w:rsidRPr="000F23E0">
        <w:t xml:space="preserve">s </w:t>
      </w:r>
      <w:r w:rsidRPr="000F23E0">
        <w:t>primary customer, has taken over the project</w:t>
      </w:r>
      <w:r w:rsidR="00B45ACC" w:rsidRPr="000F23E0">
        <w:t>.</w:t>
      </w:r>
      <w:r w:rsidRPr="000F23E0">
        <w:t xml:space="preserve"> </w:t>
      </w:r>
      <w:r w:rsidR="00020015" w:rsidRPr="000F23E0">
        <w:t xml:space="preserve">It is </w:t>
      </w:r>
      <w:r w:rsidRPr="000F23E0">
        <w:t>part of</w:t>
      </w:r>
      <w:r w:rsidR="002D33EA" w:rsidRPr="000F23E0">
        <w:t> </w:t>
      </w:r>
      <w:r w:rsidR="00020015" w:rsidRPr="000F23E0">
        <w:t>Orica</w:t>
      </w:r>
      <w:r w:rsidR="002C4475" w:rsidRPr="000F23E0">
        <w:t>’</w:t>
      </w:r>
      <w:r w:rsidR="00020015" w:rsidRPr="000F23E0">
        <w:t>s </w:t>
      </w:r>
      <w:r w:rsidRPr="000F23E0">
        <w:t>decarbonisation plans for its ammonia and ammonium nitrate facility. The project was awarded additional support by ARENA in 2025 under the Hydrogen Head</w:t>
      </w:r>
      <w:r w:rsidR="00F71875" w:rsidRPr="000F23E0">
        <w:t>s</w:t>
      </w:r>
      <w:r w:rsidRPr="000F23E0">
        <w:t>tart Program</w:t>
      </w:r>
      <w:r w:rsidR="007C5A7E" w:rsidRPr="000F23E0">
        <w:t>.</w:t>
      </w:r>
      <w:r w:rsidRPr="000F23E0">
        <w:t> </w:t>
      </w:r>
    </w:p>
    <w:p w14:paraId="6DD6F5E2" w14:textId="586B5EFF" w:rsidR="00101A24" w:rsidRPr="000F23E0" w:rsidRDefault="00101A24" w:rsidP="00C7040D">
      <w:r w:rsidRPr="000F23E0">
        <w:t>On 3 February 2025, the Queensland Government announced it would end its support for the Central</w:t>
      </w:r>
      <w:r w:rsidR="002D33EA" w:rsidRPr="000F23E0">
        <w:t> </w:t>
      </w:r>
      <w:r w:rsidRPr="000F23E0">
        <w:t>Queensland Hydrogen Project (CQ</w:t>
      </w:r>
      <w:r w:rsidR="002C4475" w:rsidRPr="000F23E0">
        <w:noBreakHyphen/>
      </w:r>
      <w:r w:rsidRPr="000F23E0">
        <w:t>H2) led by Stanwell Corporation alongside domestic and international partners. As a result, the CQ</w:t>
      </w:r>
      <w:r w:rsidR="002C4475" w:rsidRPr="000F23E0">
        <w:noBreakHyphen/>
      </w:r>
      <w:r w:rsidRPr="000F23E0">
        <w:t xml:space="preserve">H2 project has been terminated. The </w:t>
      </w:r>
      <w:r w:rsidR="006A23B9" w:rsidRPr="000F23E0">
        <w:t>g</w:t>
      </w:r>
      <w:r w:rsidRPr="000F23E0">
        <w:t>overnment has been working with impacted stakeholders to identify severable and viable project components, and will continue to support the Yarwun Calcination Trial, which was a sub</w:t>
      </w:r>
      <w:r w:rsidR="002C4475" w:rsidRPr="000F23E0">
        <w:noBreakHyphen/>
      </w:r>
      <w:r w:rsidRPr="000F23E0">
        <w:t>project of the CQ</w:t>
      </w:r>
      <w:r w:rsidR="002C4475" w:rsidRPr="000F23E0">
        <w:noBreakHyphen/>
      </w:r>
      <w:r w:rsidRPr="000F23E0">
        <w:t>H2.</w:t>
      </w:r>
    </w:p>
    <w:p w14:paraId="549D9F8A" w14:textId="5578714B" w:rsidR="00ED3691" w:rsidRPr="000F23E0" w:rsidRDefault="00101A24" w:rsidP="00F55854">
      <w:r w:rsidRPr="000F23E0">
        <w:t xml:space="preserve">The </w:t>
      </w:r>
      <w:r w:rsidR="006A23B9" w:rsidRPr="000F23E0">
        <w:t>g</w:t>
      </w:r>
      <w:r w:rsidRPr="000F23E0">
        <w:t xml:space="preserve">overnment remains committed to its 2024 National Hydrogen Strategy and positioning Australia as a global hydrogen leader by 2030. </w:t>
      </w:r>
      <w:r w:rsidR="00DA2A9F" w:rsidRPr="000F23E0">
        <w:t>O</w:t>
      </w:r>
      <w:r w:rsidRPr="000F23E0">
        <w:t xml:space="preserve">ther </w:t>
      </w:r>
      <w:r w:rsidR="00DA2A9F" w:rsidRPr="000F23E0">
        <w:t>government</w:t>
      </w:r>
      <w:r w:rsidRPr="000F23E0">
        <w:t xml:space="preserve"> policy initiatives support early hydrogen projects including the Hydrogen Head</w:t>
      </w:r>
      <w:r w:rsidR="00F71875" w:rsidRPr="000F23E0">
        <w:t>s</w:t>
      </w:r>
      <w:r w:rsidRPr="000F23E0">
        <w:t>tart Program and Hydrogen Production Tax Incentive.</w:t>
      </w:r>
      <w:r w:rsidRPr="000F23E0">
        <w:rPr>
          <w:i/>
          <w:iCs/>
        </w:rPr>
        <w:t> </w:t>
      </w:r>
    </w:p>
    <w:p w14:paraId="3DFE52EA" w14:textId="063D751E" w:rsidR="00ED3691" w:rsidRPr="000F23E0" w:rsidRDefault="00ED3691" w:rsidP="00BB60BE">
      <w:pPr>
        <w:pStyle w:val="Heading3"/>
        <w:keepLines/>
      </w:pPr>
      <w:r w:rsidRPr="000F23E0">
        <w:lastRenderedPageBreak/>
        <w:t xml:space="preserve">Project </w:t>
      </w:r>
      <w:r w:rsidR="00E34586" w:rsidRPr="000F23E0">
        <w:t>i</w:t>
      </w:r>
      <w:r w:rsidRPr="000F23E0">
        <w:t>mpacts</w:t>
      </w:r>
    </w:p>
    <w:p w14:paraId="60BFB66B" w14:textId="38436F41" w:rsidR="00ED3691" w:rsidRPr="000F23E0" w:rsidRDefault="00ED3691" w:rsidP="00BB60BE">
      <w:pPr>
        <w:keepNext/>
        <w:keepLines/>
      </w:pPr>
      <w:r w:rsidRPr="000F23E0">
        <w:t xml:space="preserve">Renewable projects financed through </w:t>
      </w:r>
      <w:r w:rsidR="00611CEF" w:rsidRPr="000F23E0">
        <w:t>GTB</w:t>
      </w:r>
      <w:r w:rsidRPr="000F23E0">
        <w:t xml:space="preserve">s are projected to contribute to </w:t>
      </w:r>
      <w:r w:rsidR="008D0719" w:rsidRPr="000F23E0">
        <w:t>11</w:t>
      </w:r>
      <w:r w:rsidR="004E6EFD" w:rsidRPr="000F23E0">
        <w:t>5.</w:t>
      </w:r>
      <w:r w:rsidR="0011062F" w:rsidRPr="000F23E0">
        <w:t>2</w:t>
      </w:r>
      <w:r w:rsidR="006541F8" w:rsidRPr="000F23E0">
        <w:t> </w:t>
      </w:r>
      <w:r w:rsidRPr="000F23E0">
        <w:t xml:space="preserve">kilotons of hydrogen production per annum once </w:t>
      </w:r>
      <w:r w:rsidR="006541F8" w:rsidRPr="000F23E0">
        <w:t xml:space="preserve">all </w:t>
      </w:r>
      <w:r w:rsidRPr="000F23E0">
        <w:t xml:space="preserve">projects </w:t>
      </w:r>
      <w:r w:rsidR="006541F8" w:rsidRPr="000F23E0">
        <w:t>are</w:t>
      </w:r>
      <w:r w:rsidR="001E3169" w:rsidRPr="000F23E0">
        <w:t xml:space="preserve"> operational</w:t>
      </w:r>
      <w:r w:rsidRPr="000F23E0">
        <w:t>.</w:t>
      </w:r>
    </w:p>
    <w:p w14:paraId="35C617CA" w14:textId="6899BC6F" w:rsidR="00ED3691" w:rsidRPr="000F23E0" w:rsidRDefault="00ED3691" w:rsidP="00551F72">
      <w:pPr>
        <w:pStyle w:val="TableMainHeading"/>
      </w:pPr>
      <w:bookmarkStart w:id="136" w:name="_Toc220662872"/>
      <w:bookmarkStart w:id="137" w:name="_Toc224637803"/>
      <w:bookmarkStart w:id="138" w:name="_Toc224642467"/>
      <w:bookmarkStart w:id="139" w:name="_Toc225153443"/>
      <w:bookmarkStart w:id="140" w:name="_Toc225154489"/>
      <w:bookmarkStart w:id="141" w:name="_Toc225155754"/>
      <w:r w:rsidRPr="000F23E0">
        <w:t xml:space="preserve">Table </w:t>
      </w:r>
      <w:r w:rsidR="00BB5037" w:rsidRPr="000F23E0">
        <w:t>12</w:t>
      </w:r>
      <w:r w:rsidR="00627058" w:rsidRPr="000F23E0">
        <w:t>:</w:t>
      </w:r>
      <w:r w:rsidRPr="000F23E0">
        <w:t xml:space="preserve"> Impact </w:t>
      </w:r>
      <w:r w:rsidR="00E34586" w:rsidRPr="000F23E0">
        <w:t>d</w:t>
      </w:r>
      <w:r w:rsidRPr="000F23E0">
        <w:t xml:space="preserve">ata for </w:t>
      </w:r>
      <w:bookmarkEnd w:id="136"/>
      <w:r w:rsidR="00393957" w:rsidRPr="000F23E0">
        <w:t>Regional Hydrogen Hubs</w:t>
      </w:r>
      <w:bookmarkEnd w:id="137"/>
      <w:bookmarkEnd w:id="138"/>
      <w:bookmarkEnd w:id="139"/>
      <w:bookmarkEnd w:id="140"/>
      <w:bookmarkEnd w:id="141"/>
    </w:p>
    <w:tbl>
      <w:tblPr>
        <w:tblStyle w:val="GridTable4-Accent2"/>
        <w:tblW w:w="5000" w:type="pct"/>
        <w:tblInd w:w="-3" w:type="dxa"/>
        <w:tblBorders>
          <w:top w:val="single" w:sz="4" w:space="0" w:color="DFA795"/>
          <w:bottom w:val="single" w:sz="4" w:space="0" w:color="DFA795"/>
        </w:tblBorders>
        <w:tblLook w:val="04A0" w:firstRow="1" w:lastRow="0" w:firstColumn="1" w:lastColumn="0" w:noHBand="0" w:noVBand="1"/>
      </w:tblPr>
      <w:tblGrid>
        <w:gridCol w:w="1660"/>
        <w:gridCol w:w="3103"/>
        <w:gridCol w:w="980"/>
        <w:gridCol w:w="1206"/>
        <w:gridCol w:w="2121"/>
      </w:tblGrid>
      <w:tr w:rsidR="00EB7950" w:rsidRPr="000F23E0" w14:paraId="7EE1A03B" w14:textId="77777777" w:rsidTr="00990E2A">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660" w:type="dxa"/>
            <w:tcBorders>
              <w:top w:val="single" w:sz="4" w:space="0" w:color="DFA795"/>
              <w:bottom w:val="single" w:sz="4" w:space="0" w:color="DFA795"/>
            </w:tcBorders>
            <w:shd w:val="clear" w:color="auto" w:fill="F1D0C6"/>
          </w:tcPr>
          <w:p w14:paraId="7B8553F2" w14:textId="77777777" w:rsidR="009B5A2E" w:rsidRPr="000F23E0" w:rsidRDefault="009B5A2E" w:rsidP="00B460C1">
            <w:pPr>
              <w:pStyle w:val="TableColumnHeadingLeft"/>
              <w:rPr>
                <w:b/>
              </w:rPr>
            </w:pPr>
            <w:r w:rsidRPr="000F23E0">
              <w:rPr>
                <w:b/>
                <w:bCs w:val="0"/>
              </w:rPr>
              <w:t>Metric</w:t>
            </w:r>
          </w:p>
        </w:tc>
        <w:tc>
          <w:tcPr>
            <w:tcW w:w="3103" w:type="dxa"/>
            <w:tcBorders>
              <w:top w:val="single" w:sz="4" w:space="0" w:color="DFA795"/>
              <w:bottom w:val="single" w:sz="4" w:space="0" w:color="DFA795"/>
            </w:tcBorders>
            <w:shd w:val="clear" w:color="auto" w:fill="F1D0C6"/>
          </w:tcPr>
          <w:p w14:paraId="44F25670" w14:textId="77777777" w:rsidR="009B5A2E" w:rsidRPr="000F23E0" w:rsidRDefault="009B5A2E" w:rsidP="00B460C1">
            <w:pPr>
              <w:pStyle w:val="TableColumnHeadingLeft"/>
              <w:cnfStyle w:val="100000000000" w:firstRow="1" w:lastRow="0" w:firstColumn="0" w:lastColumn="0" w:oddVBand="0" w:evenVBand="0" w:oddHBand="0" w:evenHBand="0" w:firstRowFirstColumn="0" w:firstRowLastColumn="0" w:lastRowFirstColumn="0" w:lastRowLastColumn="0"/>
              <w:rPr>
                <w:b/>
                <w:bCs w:val="0"/>
              </w:rPr>
            </w:pPr>
            <w:r w:rsidRPr="000F23E0">
              <w:rPr>
                <w:b/>
                <w:bCs w:val="0"/>
              </w:rPr>
              <w:t>Project</w:t>
            </w:r>
          </w:p>
        </w:tc>
        <w:tc>
          <w:tcPr>
            <w:tcW w:w="980" w:type="dxa"/>
            <w:tcBorders>
              <w:top w:val="single" w:sz="4" w:space="0" w:color="DFA795"/>
              <w:bottom w:val="single" w:sz="4" w:space="0" w:color="DFA795"/>
            </w:tcBorders>
            <w:shd w:val="clear" w:color="auto" w:fill="F1D0C6"/>
          </w:tcPr>
          <w:p w14:paraId="1FEAD357" w14:textId="4145E04A" w:rsidR="009B5A2E" w:rsidRPr="000F23E0" w:rsidRDefault="009B5A2E" w:rsidP="00B460C1">
            <w:pPr>
              <w:pStyle w:val="TableColumnHeadingRight"/>
              <w:cnfStyle w:val="100000000000" w:firstRow="1" w:lastRow="0" w:firstColumn="0" w:lastColumn="0" w:oddVBand="0" w:evenVBand="0" w:oddHBand="0" w:evenHBand="0" w:firstRowFirstColumn="0" w:firstRowLastColumn="0" w:lastRowFirstColumn="0" w:lastRowLastColumn="0"/>
              <w:rPr>
                <w:b/>
                <w:bCs w:val="0"/>
              </w:rPr>
            </w:pPr>
            <w:r w:rsidRPr="000F23E0">
              <w:rPr>
                <w:b/>
                <w:bCs w:val="0"/>
              </w:rPr>
              <w:t>Value</w:t>
            </w:r>
          </w:p>
        </w:tc>
        <w:tc>
          <w:tcPr>
            <w:tcW w:w="1206" w:type="dxa"/>
            <w:tcBorders>
              <w:top w:val="single" w:sz="4" w:space="0" w:color="DFA795"/>
              <w:bottom w:val="single" w:sz="4" w:space="0" w:color="DFA795"/>
            </w:tcBorders>
            <w:shd w:val="clear" w:color="auto" w:fill="F1D0C6"/>
          </w:tcPr>
          <w:p w14:paraId="0EBA837B" w14:textId="77777777" w:rsidR="009B5A2E" w:rsidRPr="000F23E0" w:rsidRDefault="009B5A2E" w:rsidP="00B460C1">
            <w:pPr>
              <w:pStyle w:val="TableColumnHeadingRight"/>
              <w:cnfStyle w:val="100000000000" w:firstRow="1" w:lastRow="0" w:firstColumn="0" w:lastColumn="0" w:oddVBand="0" w:evenVBand="0" w:oddHBand="0" w:evenHBand="0" w:firstRowFirstColumn="0" w:firstRowLastColumn="0" w:lastRowFirstColumn="0" w:lastRowLastColumn="0"/>
              <w:rPr>
                <w:b/>
                <w:bCs w:val="0"/>
              </w:rPr>
            </w:pPr>
            <w:r w:rsidRPr="000F23E0">
              <w:rPr>
                <w:b/>
                <w:bCs w:val="0"/>
              </w:rPr>
              <w:t>Record/ Projected</w:t>
            </w:r>
          </w:p>
        </w:tc>
        <w:tc>
          <w:tcPr>
            <w:tcW w:w="2121" w:type="dxa"/>
            <w:tcBorders>
              <w:top w:val="single" w:sz="4" w:space="0" w:color="DFA795"/>
              <w:bottom w:val="single" w:sz="4" w:space="0" w:color="DFA795"/>
            </w:tcBorders>
            <w:shd w:val="clear" w:color="auto" w:fill="F1D0C6"/>
          </w:tcPr>
          <w:p w14:paraId="2452B51D" w14:textId="77777777" w:rsidR="009B5A2E" w:rsidRPr="000F23E0" w:rsidRDefault="009B5A2E" w:rsidP="00B460C1">
            <w:pPr>
              <w:pStyle w:val="TableColumnHeadingRight"/>
              <w:cnfStyle w:val="100000000000" w:firstRow="1" w:lastRow="0" w:firstColumn="0" w:lastColumn="0" w:oddVBand="0" w:evenVBand="0" w:oddHBand="0" w:evenHBand="0" w:firstRowFirstColumn="0" w:firstRowLastColumn="0" w:lastRowFirstColumn="0" w:lastRowLastColumn="0"/>
              <w:rPr>
                <w:b/>
                <w:bCs w:val="0"/>
              </w:rPr>
            </w:pPr>
            <w:r w:rsidRPr="000F23E0">
              <w:rPr>
                <w:b/>
                <w:bCs w:val="0"/>
              </w:rPr>
              <w:t>Time Period</w:t>
            </w:r>
          </w:p>
        </w:tc>
      </w:tr>
      <w:tr w:rsidR="00EB7950" w:rsidRPr="000F23E0" w14:paraId="0E89E692" w14:textId="77777777" w:rsidTr="00990E2A">
        <w:trPr>
          <w:trHeight w:val="196"/>
        </w:trPr>
        <w:tc>
          <w:tcPr>
            <w:cnfStyle w:val="001000000000" w:firstRow="0" w:lastRow="0" w:firstColumn="1" w:lastColumn="0" w:oddVBand="0" w:evenVBand="0" w:oddHBand="0" w:evenHBand="0" w:firstRowFirstColumn="0" w:firstRowLastColumn="0" w:lastRowFirstColumn="0" w:lastRowLastColumn="0"/>
            <w:tcW w:w="1660" w:type="dxa"/>
            <w:vMerge w:val="restart"/>
            <w:tcBorders>
              <w:top w:val="single" w:sz="4" w:space="0" w:color="DFA795"/>
            </w:tcBorders>
            <w:shd w:val="clear" w:color="auto" w:fill="FDF0E7"/>
          </w:tcPr>
          <w:p w14:paraId="1D37DCF9" w14:textId="218950E2" w:rsidR="009B5A2E" w:rsidRPr="000F23E0" w:rsidRDefault="009B5A2E" w:rsidP="00B460C1">
            <w:pPr>
              <w:pStyle w:val="TableTextLeft"/>
            </w:pPr>
            <w:r w:rsidRPr="000F23E0">
              <w:rPr>
                <w:rFonts w:eastAsia="Calibri"/>
              </w:rPr>
              <w:t>Hydrogen produced (ktH</w:t>
            </w:r>
            <w:r w:rsidRPr="000F23E0">
              <w:rPr>
                <w:rFonts w:eastAsia="Calibri"/>
                <w:vertAlign w:val="subscript"/>
              </w:rPr>
              <w:t>2</w:t>
            </w:r>
            <w:r w:rsidRPr="000F23E0">
              <w:rPr>
                <w:rFonts w:eastAsia="Calibri"/>
              </w:rPr>
              <w:t>/year)</w:t>
            </w:r>
            <w:r w:rsidR="00F34D5D" w:rsidRPr="000F23E0">
              <w:rPr>
                <w:rFonts w:eastAsia="Calibri"/>
                <w:vertAlign w:val="superscript"/>
              </w:rPr>
              <w:t>(</w:t>
            </w:r>
            <w:r w:rsidR="002B18EB" w:rsidRPr="000F23E0">
              <w:rPr>
                <w:rFonts w:eastAsia="Calibri"/>
                <w:vertAlign w:val="superscript"/>
              </w:rPr>
              <w:t>a</w:t>
            </w:r>
            <w:r w:rsidR="00F34D5D" w:rsidRPr="000F23E0">
              <w:rPr>
                <w:rFonts w:eastAsia="Calibri"/>
                <w:vertAlign w:val="superscript"/>
              </w:rPr>
              <w:t>)</w:t>
            </w:r>
          </w:p>
        </w:tc>
        <w:tc>
          <w:tcPr>
            <w:tcW w:w="3103" w:type="dxa"/>
            <w:tcBorders>
              <w:top w:val="single" w:sz="4" w:space="0" w:color="DFA795"/>
              <w:bottom w:val="single" w:sz="4" w:space="0" w:color="DFA795"/>
            </w:tcBorders>
            <w:shd w:val="clear" w:color="auto" w:fill="FEFAF8"/>
          </w:tcPr>
          <w:p w14:paraId="0324F675" w14:textId="77777777" w:rsidR="009B5A2E" w:rsidRPr="000F23E0" w:rsidRDefault="009B5A2E" w:rsidP="00990E2A">
            <w:pPr>
              <w:pStyle w:val="TableTextLeft"/>
              <w:cnfStyle w:val="000000000000" w:firstRow="0" w:lastRow="0" w:firstColumn="0" w:lastColumn="0" w:oddVBand="0" w:evenVBand="0" w:oddHBand="0" w:evenHBand="0" w:firstRowFirstColumn="0" w:firstRowLastColumn="0" w:lastRowFirstColumn="0" w:lastRowLastColumn="0"/>
            </w:pPr>
            <w:r w:rsidRPr="000F23E0">
              <w:t>Euroa Hydrogen Project Gladstone</w:t>
            </w:r>
          </w:p>
        </w:tc>
        <w:tc>
          <w:tcPr>
            <w:tcW w:w="980" w:type="dxa"/>
            <w:tcBorders>
              <w:top w:val="single" w:sz="4" w:space="0" w:color="DFA795"/>
              <w:bottom w:val="single" w:sz="4" w:space="0" w:color="DFA795"/>
            </w:tcBorders>
            <w:shd w:val="clear" w:color="auto" w:fill="FEFAF8"/>
          </w:tcPr>
          <w:p w14:paraId="3C0F8A3F" w14:textId="77777777" w:rsidR="009B5A2E" w:rsidRPr="000F23E0" w:rsidRDefault="009B5A2E" w:rsidP="00990E2A">
            <w:pPr>
              <w:pStyle w:val="TableTextRight"/>
              <w:cnfStyle w:val="000000000000" w:firstRow="0" w:lastRow="0" w:firstColumn="0" w:lastColumn="0" w:oddVBand="0" w:evenVBand="0" w:oddHBand="0" w:evenHBand="0" w:firstRowFirstColumn="0" w:firstRowLastColumn="0" w:lastRowFirstColumn="0" w:lastRowLastColumn="0"/>
            </w:pPr>
            <w:r w:rsidRPr="000F23E0">
              <w:t>56.0</w:t>
            </w:r>
          </w:p>
        </w:tc>
        <w:tc>
          <w:tcPr>
            <w:tcW w:w="1206" w:type="dxa"/>
            <w:tcBorders>
              <w:top w:val="single" w:sz="4" w:space="0" w:color="DFA795"/>
              <w:bottom w:val="single" w:sz="4" w:space="0" w:color="DFA795"/>
            </w:tcBorders>
            <w:shd w:val="clear" w:color="auto" w:fill="FEFAF8"/>
          </w:tcPr>
          <w:p w14:paraId="3B375F04" w14:textId="77777777" w:rsidR="009B5A2E" w:rsidRPr="000F23E0" w:rsidRDefault="009B5A2E" w:rsidP="00990E2A">
            <w:pPr>
              <w:pStyle w:val="TableTextRight"/>
              <w:cnfStyle w:val="000000000000" w:firstRow="0" w:lastRow="0" w:firstColumn="0" w:lastColumn="0" w:oddVBand="0" w:evenVBand="0" w:oddHBand="0" w:evenHBand="0" w:firstRowFirstColumn="0" w:firstRowLastColumn="0" w:lastRowFirstColumn="0" w:lastRowLastColumn="0"/>
            </w:pPr>
            <w:r w:rsidRPr="000F23E0">
              <w:t>Projected</w:t>
            </w:r>
          </w:p>
        </w:tc>
        <w:tc>
          <w:tcPr>
            <w:tcW w:w="2121" w:type="dxa"/>
            <w:tcBorders>
              <w:top w:val="single" w:sz="4" w:space="0" w:color="DFA795"/>
              <w:bottom w:val="single" w:sz="4" w:space="0" w:color="DFA795"/>
            </w:tcBorders>
            <w:shd w:val="clear" w:color="auto" w:fill="FEFAF8"/>
          </w:tcPr>
          <w:p w14:paraId="5644FBE9" w14:textId="77777777" w:rsidR="009B5A2E" w:rsidRPr="000F23E0" w:rsidRDefault="009B5A2E" w:rsidP="00990E2A">
            <w:pPr>
              <w:pStyle w:val="TableTextRight"/>
              <w:cnfStyle w:val="000000000000" w:firstRow="0" w:lastRow="0" w:firstColumn="0" w:lastColumn="0" w:oddVBand="0" w:evenVBand="0" w:oddHBand="0" w:evenHBand="0" w:firstRowFirstColumn="0" w:firstRowLastColumn="0" w:lastRowFirstColumn="0" w:lastRowLastColumn="0"/>
            </w:pPr>
            <w:r w:rsidRPr="000F23E0">
              <w:t xml:space="preserve">Annually from early 2030 </w:t>
            </w:r>
          </w:p>
        </w:tc>
      </w:tr>
      <w:tr w:rsidR="00EB7950" w:rsidRPr="000F23E0" w14:paraId="0D828A03" w14:textId="77777777" w:rsidTr="00990E2A">
        <w:trPr>
          <w:trHeight w:val="196"/>
        </w:trPr>
        <w:tc>
          <w:tcPr>
            <w:cnfStyle w:val="001000000000" w:firstRow="0" w:lastRow="0" w:firstColumn="1" w:lastColumn="0" w:oddVBand="0" w:evenVBand="0" w:oddHBand="0" w:evenHBand="0" w:firstRowFirstColumn="0" w:firstRowLastColumn="0" w:lastRowFirstColumn="0" w:lastRowLastColumn="0"/>
            <w:tcW w:w="1660" w:type="dxa"/>
            <w:vMerge/>
            <w:shd w:val="clear" w:color="auto" w:fill="FDF0E7"/>
          </w:tcPr>
          <w:p w14:paraId="3783446E" w14:textId="77777777" w:rsidR="009B5A2E" w:rsidRPr="000F23E0" w:rsidRDefault="009B5A2E" w:rsidP="00CE08DF">
            <w:pPr>
              <w:pStyle w:val="TableTextLeft"/>
              <w:spacing w:before="120" w:after="120"/>
              <w:rPr>
                <w:b/>
              </w:rPr>
            </w:pPr>
          </w:p>
        </w:tc>
        <w:tc>
          <w:tcPr>
            <w:tcW w:w="3103" w:type="dxa"/>
            <w:tcBorders>
              <w:top w:val="single" w:sz="4" w:space="0" w:color="DFA795"/>
              <w:bottom w:val="single" w:sz="4" w:space="0" w:color="DFA795"/>
            </w:tcBorders>
            <w:shd w:val="clear" w:color="auto" w:fill="FEFAF8"/>
          </w:tcPr>
          <w:p w14:paraId="41E506F4" w14:textId="77777777" w:rsidR="009B5A2E" w:rsidRPr="000F23E0" w:rsidRDefault="009B5A2E" w:rsidP="00990E2A">
            <w:pPr>
              <w:pStyle w:val="TableTextLeft"/>
              <w:cnfStyle w:val="000000000000" w:firstRow="0" w:lastRow="0" w:firstColumn="0" w:lastColumn="0" w:oddVBand="0" w:evenVBand="0" w:oddHBand="0" w:evenHBand="0" w:firstRowFirstColumn="0" w:firstRowLastColumn="0" w:lastRowFirstColumn="0" w:lastRowLastColumn="0"/>
            </w:pPr>
            <w:r w:rsidRPr="000F23E0">
              <w:t>H2 Kwinana Clean Energy Hub</w:t>
            </w:r>
          </w:p>
        </w:tc>
        <w:tc>
          <w:tcPr>
            <w:tcW w:w="980" w:type="dxa"/>
            <w:tcBorders>
              <w:top w:val="single" w:sz="4" w:space="0" w:color="DFA795"/>
              <w:bottom w:val="single" w:sz="4" w:space="0" w:color="DFA795"/>
            </w:tcBorders>
            <w:shd w:val="clear" w:color="auto" w:fill="FEFAF8"/>
          </w:tcPr>
          <w:p w14:paraId="0A489410" w14:textId="77777777" w:rsidR="009B5A2E" w:rsidRPr="000F23E0" w:rsidRDefault="009B5A2E" w:rsidP="00990E2A">
            <w:pPr>
              <w:pStyle w:val="TableTextRight"/>
              <w:cnfStyle w:val="000000000000" w:firstRow="0" w:lastRow="0" w:firstColumn="0" w:lastColumn="0" w:oddVBand="0" w:evenVBand="0" w:oddHBand="0" w:evenHBand="0" w:firstRowFirstColumn="0" w:firstRowLastColumn="0" w:lastRowFirstColumn="0" w:lastRowLastColumn="0"/>
            </w:pPr>
            <w:r w:rsidRPr="000F23E0">
              <w:t>9.5</w:t>
            </w:r>
          </w:p>
        </w:tc>
        <w:tc>
          <w:tcPr>
            <w:tcW w:w="1206" w:type="dxa"/>
            <w:tcBorders>
              <w:top w:val="single" w:sz="4" w:space="0" w:color="DFA795"/>
              <w:bottom w:val="single" w:sz="4" w:space="0" w:color="DFA795"/>
            </w:tcBorders>
            <w:shd w:val="clear" w:color="auto" w:fill="FEFAF8"/>
          </w:tcPr>
          <w:p w14:paraId="1D64DFFD" w14:textId="77777777" w:rsidR="009B5A2E" w:rsidRPr="000F23E0" w:rsidRDefault="009B5A2E" w:rsidP="00990E2A">
            <w:pPr>
              <w:pStyle w:val="TableTextRight"/>
              <w:cnfStyle w:val="000000000000" w:firstRow="0" w:lastRow="0" w:firstColumn="0" w:lastColumn="0" w:oddVBand="0" w:evenVBand="0" w:oddHBand="0" w:evenHBand="0" w:firstRowFirstColumn="0" w:firstRowLastColumn="0" w:lastRowFirstColumn="0" w:lastRowLastColumn="0"/>
            </w:pPr>
            <w:r w:rsidRPr="000F23E0">
              <w:t>Projected</w:t>
            </w:r>
          </w:p>
        </w:tc>
        <w:tc>
          <w:tcPr>
            <w:tcW w:w="2121" w:type="dxa"/>
            <w:tcBorders>
              <w:top w:val="single" w:sz="4" w:space="0" w:color="DFA795"/>
              <w:bottom w:val="single" w:sz="4" w:space="0" w:color="DFA795"/>
            </w:tcBorders>
            <w:shd w:val="clear" w:color="auto" w:fill="FEFAF8"/>
          </w:tcPr>
          <w:p w14:paraId="41F1ACE6" w14:textId="77777777" w:rsidR="009B5A2E" w:rsidRPr="000F23E0" w:rsidRDefault="009B5A2E" w:rsidP="00990E2A">
            <w:pPr>
              <w:pStyle w:val="TableTextRight"/>
              <w:cnfStyle w:val="000000000000" w:firstRow="0" w:lastRow="0" w:firstColumn="0" w:lastColumn="0" w:oddVBand="0" w:evenVBand="0" w:oddHBand="0" w:evenHBand="0" w:firstRowFirstColumn="0" w:firstRowLastColumn="0" w:lastRowFirstColumn="0" w:lastRowLastColumn="0"/>
            </w:pPr>
            <w:r w:rsidRPr="000F23E0">
              <w:t xml:space="preserve">Annually from completion </w:t>
            </w:r>
          </w:p>
        </w:tc>
      </w:tr>
      <w:tr w:rsidR="00EB7950" w:rsidRPr="000F23E0" w14:paraId="5129F117" w14:textId="77777777" w:rsidTr="00990E2A">
        <w:trPr>
          <w:trHeight w:val="196"/>
        </w:trPr>
        <w:tc>
          <w:tcPr>
            <w:cnfStyle w:val="001000000000" w:firstRow="0" w:lastRow="0" w:firstColumn="1" w:lastColumn="0" w:oddVBand="0" w:evenVBand="0" w:oddHBand="0" w:evenHBand="0" w:firstRowFirstColumn="0" w:firstRowLastColumn="0" w:lastRowFirstColumn="0" w:lastRowLastColumn="0"/>
            <w:tcW w:w="1660" w:type="dxa"/>
            <w:vMerge/>
            <w:shd w:val="clear" w:color="auto" w:fill="FDF0E7"/>
          </w:tcPr>
          <w:p w14:paraId="08C0A559" w14:textId="77777777" w:rsidR="009B5A2E" w:rsidRPr="000F23E0" w:rsidRDefault="009B5A2E" w:rsidP="00CE08DF">
            <w:pPr>
              <w:pStyle w:val="TableTextLeft"/>
              <w:spacing w:before="120" w:after="120"/>
              <w:rPr>
                <w:b/>
              </w:rPr>
            </w:pPr>
          </w:p>
        </w:tc>
        <w:tc>
          <w:tcPr>
            <w:tcW w:w="3103" w:type="dxa"/>
            <w:tcBorders>
              <w:top w:val="single" w:sz="4" w:space="0" w:color="DFA795"/>
              <w:bottom w:val="single" w:sz="4" w:space="0" w:color="DFA795"/>
            </w:tcBorders>
            <w:shd w:val="clear" w:color="auto" w:fill="FEFAF8"/>
          </w:tcPr>
          <w:p w14:paraId="61940765" w14:textId="35622702" w:rsidR="009B5A2E" w:rsidRPr="000F23E0" w:rsidRDefault="009B5A2E" w:rsidP="00990E2A">
            <w:pPr>
              <w:pStyle w:val="TableTextLeft"/>
              <w:cnfStyle w:val="000000000000" w:firstRow="0" w:lastRow="0" w:firstColumn="0" w:lastColumn="0" w:oddVBand="0" w:evenVBand="0" w:oddHBand="0" w:evenHBand="0" w:firstRowFirstColumn="0" w:firstRowLastColumn="0" w:lastRowFirstColumn="0" w:lastRowLastColumn="0"/>
            </w:pPr>
            <w:r w:rsidRPr="000F23E0">
              <w:t>Tasmanian Green Hydrogen Hub</w:t>
            </w:r>
          </w:p>
        </w:tc>
        <w:tc>
          <w:tcPr>
            <w:tcW w:w="980" w:type="dxa"/>
            <w:tcBorders>
              <w:top w:val="single" w:sz="4" w:space="0" w:color="DFA795"/>
              <w:bottom w:val="single" w:sz="4" w:space="0" w:color="DFA795"/>
            </w:tcBorders>
            <w:shd w:val="clear" w:color="auto" w:fill="FEFAF8"/>
          </w:tcPr>
          <w:p w14:paraId="06EC9326" w14:textId="77777777" w:rsidR="009B5A2E" w:rsidRPr="000F23E0" w:rsidRDefault="009B5A2E" w:rsidP="00990E2A">
            <w:pPr>
              <w:pStyle w:val="TableTextRight"/>
              <w:cnfStyle w:val="000000000000" w:firstRow="0" w:lastRow="0" w:firstColumn="0" w:lastColumn="0" w:oddVBand="0" w:evenVBand="0" w:oddHBand="0" w:evenHBand="0" w:firstRowFirstColumn="0" w:firstRowLastColumn="0" w:lastRowFirstColumn="0" w:lastRowLastColumn="0"/>
            </w:pPr>
            <w:r w:rsidRPr="000F23E0">
              <w:t>45.0</w:t>
            </w:r>
          </w:p>
        </w:tc>
        <w:tc>
          <w:tcPr>
            <w:tcW w:w="1206" w:type="dxa"/>
            <w:tcBorders>
              <w:top w:val="single" w:sz="4" w:space="0" w:color="DFA795"/>
              <w:bottom w:val="single" w:sz="4" w:space="0" w:color="DFA795"/>
            </w:tcBorders>
            <w:shd w:val="clear" w:color="auto" w:fill="FEFAF8"/>
          </w:tcPr>
          <w:p w14:paraId="3CD5CA08" w14:textId="77777777" w:rsidR="009B5A2E" w:rsidRPr="000F23E0" w:rsidRDefault="009B5A2E" w:rsidP="00990E2A">
            <w:pPr>
              <w:pStyle w:val="TableTextRight"/>
              <w:cnfStyle w:val="000000000000" w:firstRow="0" w:lastRow="0" w:firstColumn="0" w:lastColumn="0" w:oddVBand="0" w:evenVBand="0" w:oddHBand="0" w:evenHBand="0" w:firstRowFirstColumn="0" w:firstRowLastColumn="0" w:lastRowFirstColumn="0" w:lastRowLastColumn="0"/>
            </w:pPr>
            <w:r w:rsidRPr="000F23E0">
              <w:t>Projected</w:t>
            </w:r>
          </w:p>
        </w:tc>
        <w:tc>
          <w:tcPr>
            <w:tcW w:w="2121" w:type="dxa"/>
            <w:tcBorders>
              <w:top w:val="single" w:sz="4" w:space="0" w:color="DFA795"/>
              <w:bottom w:val="single" w:sz="4" w:space="0" w:color="DFA795"/>
            </w:tcBorders>
            <w:shd w:val="clear" w:color="auto" w:fill="FEFAF8"/>
          </w:tcPr>
          <w:p w14:paraId="70B47BB5" w14:textId="517CF51C" w:rsidR="009B5A2E" w:rsidRPr="000F23E0" w:rsidRDefault="009B5A2E" w:rsidP="00990E2A">
            <w:pPr>
              <w:pStyle w:val="TableTextRight"/>
              <w:cnfStyle w:val="000000000000" w:firstRow="0" w:lastRow="0" w:firstColumn="0" w:lastColumn="0" w:oddVBand="0" w:evenVBand="0" w:oddHBand="0" w:evenHBand="0" w:firstRowFirstColumn="0" w:firstRowLastColumn="0" w:lastRowFirstColumn="0" w:lastRowLastColumn="0"/>
            </w:pPr>
            <w:r w:rsidRPr="000F23E0">
              <w:t>Annually from mid-2031</w:t>
            </w:r>
          </w:p>
        </w:tc>
      </w:tr>
      <w:tr w:rsidR="00EB7950" w:rsidRPr="000F23E0" w14:paraId="69DF1455" w14:textId="77777777" w:rsidTr="00990E2A">
        <w:trPr>
          <w:trHeight w:val="95"/>
        </w:trPr>
        <w:tc>
          <w:tcPr>
            <w:cnfStyle w:val="001000000000" w:firstRow="0" w:lastRow="0" w:firstColumn="1" w:lastColumn="0" w:oddVBand="0" w:evenVBand="0" w:oddHBand="0" w:evenHBand="0" w:firstRowFirstColumn="0" w:firstRowLastColumn="0" w:lastRowFirstColumn="0" w:lastRowLastColumn="0"/>
            <w:tcW w:w="1660" w:type="dxa"/>
            <w:vMerge/>
            <w:shd w:val="clear" w:color="auto" w:fill="FDF0E7"/>
          </w:tcPr>
          <w:p w14:paraId="2384EDEE" w14:textId="77777777" w:rsidR="009B5A2E" w:rsidRPr="000F23E0" w:rsidRDefault="009B5A2E" w:rsidP="00CE08DF">
            <w:pPr>
              <w:pStyle w:val="TableTextLeft"/>
              <w:spacing w:before="120" w:after="120"/>
              <w:rPr>
                <w:b/>
              </w:rPr>
            </w:pPr>
          </w:p>
        </w:tc>
        <w:tc>
          <w:tcPr>
            <w:tcW w:w="3103" w:type="dxa"/>
            <w:tcBorders>
              <w:top w:val="single" w:sz="4" w:space="0" w:color="DFA795"/>
              <w:bottom w:val="single" w:sz="4" w:space="0" w:color="DFA795"/>
            </w:tcBorders>
            <w:shd w:val="clear" w:color="auto" w:fill="FEFAF8"/>
          </w:tcPr>
          <w:p w14:paraId="3DA8827A" w14:textId="77777777" w:rsidR="009B5A2E" w:rsidRPr="000F23E0" w:rsidRDefault="009B5A2E" w:rsidP="00990E2A">
            <w:pPr>
              <w:pStyle w:val="TableTextLeft"/>
              <w:cnfStyle w:val="000000000000" w:firstRow="0" w:lastRow="0" w:firstColumn="0" w:lastColumn="0" w:oddVBand="0" w:evenVBand="0" w:oddHBand="0" w:evenHBand="0" w:firstRowFirstColumn="0" w:firstRowLastColumn="0" w:lastRowFirstColumn="0" w:lastRowLastColumn="0"/>
            </w:pPr>
            <w:r w:rsidRPr="000F23E0">
              <w:t>Hunter Hydrogen Hub</w:t>
            </w:r>
          </w:p>
        </w:tc>
        <w:tc>
          <w:tcPr>
            <w:tcW w:w="980" w:type="dxa"/>
            <w:tcBorders>
              <w:top w:val="single" w:sz="4" w:space="0" w:color="DFA795"/>
              <w:bottom w:val="single" w:sz="4" w:space="0" w:color="DFA795"/>
            </w:tcBorders>
            <w:shd w:val="clear" w:color="auto" w:fill="FEFAF8"/>
          </w:tcPr>
          <w:p w14:paraId="04A252F2" w14:textId="0F724D80" w:rsidR="009B5A2E" w:rsidRPr="000F23E0" w:rsidRDefault="009B5A2E" w:rsidP="00990E2A">
            <w:pPr>
              <w:pStyle w:val="TableTextRight"/>
              <w:cnfStyle w:val="000000000000" w:firstRow="0" w:lastRow="0" w:firstColumn="0" w:lastColumn="0" w:oddVBand="0" w:evenVBand="0" w:oddHBand="0" w:evenHBand="0" w:firstRowFirstColumn="0" w:firstRowLastColumn="0" w:lastRowFirstColumn="0" w:lastRowLastColumn="0"/>
            </w:pPr>
            <w:r w:rsidRPr="000F23E0">
              <w:t>4.</w:t>
            </w:r>
            <w:r w:rsidR="00EC5120" w:rsidRPr="000F23E0">
              <w:t>7</w:t>
            </w:r>
          </w:p>
        </w:tc>
        <w:tc>
          <w:tcPr>
            <w:tcW w:w="1206" w:type="dxa"/>
            <w:tcBorders>
              <w:top w:val="single" w:sz="4" w:space="0" w:color="DFA795"/>
              <w:bottom w:val="single" w:sz="4" w:space="0" w:color="DFA795"/>
            </w:tcBorders>
            <w:shd w:val="clear" w:color="auto" w:fill="FEFAF8"/>
          </w:tcPr>
          <w:p w14:paraId="6254D279" w14:textId="77777777" w:rsidR="009B5A2E" w:rsidRPr="000F23E0" w:rsidRDefault="009B5A2E" w:rsidP="00990E2A">
            <w:pPr>
              <w:pStyle w:val="TableTextRight"/>
              <w:cnfStyle w:val="000000000000" w:firstRow="0" w:lastRow="0" w:firstColumn="0" w:lastColumn="0" w:oddVBand="0" w:evenVBand="0" w:oddHBand="0" w:evenHBand="0" w:firstRowFirstColumn="0" w:firstRowLastColumn="0" w:lastRowFirstColumn="0" w:lastRowLastColumn="0"/>
            </w:pPr>
            <w:r w:rsidRPr="000F23E0">
              <w:t>Projected</w:t>
            </w:r>
          </w:p>
        </w:tc>
        <w:tc>
          <w:tcPr>
            <w:tcW w:w="2121" w:type="dxa"/>
            <w:tcBorders>
              <w:top w:val="single" w:sz="4" w:space="0" w:color="DFA795"/>
              <w:bottom w:val="single" w:sz="4" w:space="0" w:color="DFA795"/>
            </w:tcBorders>
            <w:shd w:val="clear" w:color="auto" w:fill="FEFAF8"/>
          </w:tcPr>
          <w:p w14:paraId="6B1B4D83" w14:textId="77777777" w:rsidR="009B5A2E" w:rsidRPr="000F23E0" w:rsidRDefault="009B5A2E" w:rsidP="00990E2A">
            <w:pPr>
              <w:pStyle w:val="TableTextRight"/>
              <w:cnfStyle w:val="000000000000" w:firstRow="0" w:lastRow="0" w:firstColumn="0" w:lastColumn="0" w:oddVBand="0" w:evenVBand="0" w:oddHBand="0" w:evenHBand="0" w:firstRowFirstColumn="0" w:firstRowLastColumn="0" w:lastRowFirstColumn="0" w:lastRowLastColumn="0"/>
            </w:pPr>
            <w:r w:rsidRPr="000F23E0">
              <w:t xml:space="preserve">Annually from completion </w:t>
            </w:r>
          </w:p>
        </w:tc>
      </w:tr>
      <w:tr w:rsidR="00EB7950" w:rsidRPr="000F23E0" w14:paraId="408F278E" w14:textId="77777777" w:rsidTr="00990E2A">
        <w:trPr>
          <w:trHeight w:val="77"/>
        </w:trPr>
        <w:tc>
          <w:tcPr>
            <w:cnfStyle w:val="001000000000" w:firstRow="0" w:lastRow="0" w:firstColumn="1" w:lastColumn="0" w:oddVBand="0" w:evenVBand="0" w:oddHBand="0" w:evenHBand="0" w:firstRowFirstColumn="0" w:firstRowLastColumn="0" w:lastRowFirstColumn="0" w:lastRowLastColumn="0"/>
            <w:tcW w:w="1660" w:type="dxa"/>
            <w:vMerge/>
            <w:shd w:val="clear" w:color="auto" w:fill="FDF0E7"/>
          </w:tcPr>
          <w:p w14:paraId="3D3342C8" w14:textId="77777777" w:rsidR="00A05D53" w:rsidRPr="000F23E0" w:rsidRDefault="00A05D53" w:rsidP="00CE08DF">
            <w:pPr>
              <w:pStyle w:val="TableTextLeft"/>
              <w:spacing w:before="120" w:after="120"/>
              <w:rPr>
                <w:b/>
              </w:rPr>
            </w:pPr>
          </w:p>
        </w:tc>
        <w:tc>
          <w:tcPr>
            <w:tcW w:w="3103" w:type="dxa"/>
            <w:tcBorders>
              <w:top w:val="single" w:sz="4" w:space="0" w:color="DFA795"/>
            </w:tcBorders>
            <w:shd w:val="clear" w:color="auto" w:fill="FEFAF8"/>
          </w:tcPr>
          <w:p w14:paraId="7295D855" w14:textId="1574473F" w:rsidR="00A05D53" w:rsidRPr="000F23E0" w:rsidRDefault="00A05D53" w:rsidP="00990E2A">
            <w:pPr>
              <w:pStyle w:val="TableTextLeft"/>
              <w:cnfStyle w:val="000000000000" w:firstRow="0" w:lastRow="0" w:firstColumn="0" w:lastColumn="0" w:oddVBand="0" w:evenVBand="0" w:oddHBand="0" w:evenHBand="0" w:firstRowFirstColumn="0" w:firstRowLastColumn="0" w:lastRowFirstColumn="0" w:lastRowLastColumn="0"/>
              <w:rPr>
                <w:b/>
                <w:bCs/>
              </w:rPr>
            </w:pPr>
            <w:r w:rsidRPr="000F23E0">
              <w:rPr>
                <w:b/>
                <w:bCs/>
              </w:rPr>
              <w:t>Total</w:t>
            </w:r>
          </w:p>
        </w:tc>
        <w:tc>
          <w:tcPr>
            <w:tcW w:w="980" w:type="dxa"/>
            <w:tcBorders>
              <w:top w:val="single" w:sz="4" w:space="0" w:color="DFA795"/>
            </w:tcBorders>
            <w:shd w:val="clear" w:color="auto" w:fill="FEFAF8"/>
          </w:tcPr>
          <w:p w14:paraId="7999215F" w14:textId="15A3000B" w:rsidR="00A05D53" w:rsidRPr="000F23E0" w:rsidRDefault="00903CC2" w:rsidP="00990E2A">
            <w:pPr>
              <w:pStyle w:val="TableTextRight"/>
              <w:cnfStyle w:val="000000000000" w:firstRow="0" w:lastRow="0" w:firstColumn="0" w:lastColumn="0" w:oddVBand="0" w:evenVBand="0" w:oddHBand="0" w:evenHBand="0" w:firstRowFirstColumn="0" w:firstRowLastColumn="0" w:lastRowFirstColumn="0" w:lastRowLastColumn="0"/>
              <w:rPr>
                <w:rFonts w:asciiTheme="minorHAnsi" w:hAnsiTheme="minorHAnsi"/>
                <w:b/>
                <w:bCs/>
                <w:lang w:eastAsia="en-US"/>
              </w:rPr>
            </w:pPr>
            <w:r w:rsidRPr="000F23E0">
              <w:rPr>
                <w:b/>
                <w:bCs/>
                <w:lang w:eastAsia="en-US"/>
              </w:rPr>
              <w:t>115.</w:t>
            </w:r>
            <w:r w:rsidR="00B74BC9" w:rsidRPr="000F23E0">
              <w:rPr>
                <w:b/>
                <w:bCs/>
                <w:lang w:eastAsia="en-US"/>
              </w:rPr>
              <w:t>2</w:t>
            </w:r>
          </w:p>
        </w:tc>
        <w:tc>
          <w:tcPr>
            <w:tcW w:w="3327" w:type="dxa"/>
            <w:gridSpan w:val="2"/>
            <w:tcBorders>
              <w:top w:val="single" w:sz="4" w:space="0" w:color="DFA795"/>
            </w:tcBorders>
            <w:shd w:val="clear" w:color="auto" w:fill="FEFAF8"/>
          </w:tcPr>
          <w:p w14:paraId="24A3F232" w14:textId="77777777" w:rsidR="00A05D53" w:rsidRPr="000F23E0" w:rsidRDefault="00A05D53" w:rsidP="00990E2A">
            <w:pPr>
              <w:pStyle w:val="TableTextRight"/>
              <w:cnfStyle w:val="000000000000" w:firstRow="0" w:lastRow="0" w:firstColumn="0" w:lastColumn="0" w:oddVBand="0" w:evenVBand="0" w:oddHBand="0" w:evenHBand="0" w:firstRowFirstColumn="0" w:firstRowLastColumn="0" w:lastRowFirstColumn="0" w:lastRowLastColumn="0"/>
              <w:rPr>
                <w:b/>
                <w:bCs/>
              </w:rPr>
            </w:pPr>
          </w:p>
        </w:tc>
      </w:tr>
    </w:tbl>
    <w:p w14:paraId="7CDB16FD" w14:textId="15993C55" w:rsidR="00F52F61" w:rsidRPr="000F23E0" w:rsidRDefault="006A7F8A" w:rsidP="00B460C1">
      <w:pPr>
        <w:pStyle w:val="ChartandTableFootnoteAlpha"/>
        <w:numPr>
          <w:ilvl w:val="0"/>
          <w:numId w:val="47"/>
        </w:numPr>
      </w:pPr>
      <w:r w:rsidRPr="000F23E0">
        <w:t xml:space="preserve">Since the </w:t>
      </w:r>
      <w:r w:rsidR="002B18EB" w:rsidRPr="000F23E0">
        <w:t xml:space="preserve">CQH2 </w:t>
      </w:r>
      <w:r w:rsidRPr="000F23E0">
        <w:t xml:space="preserve">project was cancelled, </w:t>
      </w:r>
      <w:r w:rsidR="00E25C7D" w:rsidRPr="000F23E0">
        <w:t xml:space="preserve">there are no </w:t>
      </w:r>
      <w:r w:rsidRPr="000F23E0">
        <w:t xml:space="preserve">impacts </w:t>
      </w:r>
      <w:r w:rsidR="00E25C7D" w:rsidRPr="000F23E0">
        <w:t>available</w:t>
      </w:r>
      <w:r w:rsidRPr="000F23E0">
        <w:t>.</w:t>
      </w:r>
    </w:p>
    <w:p w14:paraId="18B7B36E" w14:textId="6CDED2E0" w:rsidR="00ED3691" w:rsidRPr="000F23E0" w:rsidRDefault="00ED3691" w:rsidP="00F55854">
      <w:r w:rsidRPr="000F23E0">
        <w:t xml:space="preserve">The Australian Government contributes to </w:t>
      </w:r>
      <w:r w:rsidR="00393957" w:rsidRPr="000F23E0">
        <w:t>Regional Hydrogen Hubs</w:t>
      </w:r>
      <w:r w:rsidRPr="000F23E0">
        <w:t xml:space="preserve"> projects through grants to state and territory government</w:t>
      </w:r>
      <w:r w:rsidR="00BD00C4" w:rsidRPr="000F23E0">
        <w:t>s</w:t>
      </w:r>
      <w:r w:rsidRPr="000F23E0">
        <w:t xml:space="preserve"> and/or industry proponents. Projected hydrogen production has been identified by project proponents of individual projects as part of feasibility studies. Projections have not been produced by the Australian Government. Methodology may differ between projects. </w:t>
      </w:r>
    </w:p>
    <w:p w14:paraId="5A6B4BB7" w14:textId="77777777" w:rsidR="00ED3691" w:rsidRPr="000F23E0" w:rsidRDefault="00ED3691" w:rsidP="00F55854">
      <w:r w:rsidRPr="000F23E0">
        <w:t>Once each project is operational, emissions avoided data will be available by comparing the energy sources displaced by green hydrogen. Projected emissions avoided data are unavailable at this stage.</w:t>
      </w:r>
    </w:p>
    <w:p w14:paraId="614493A1" w14:textId="6E3ED3BE" w:rsidR="00ED3691" w:rsidRPr="000F23E0" w:rsidRDefault="00ED3691" w:rsidP="007143C1">
      <w:pPr>
        <w:pStyle w:val="Heading4"/>
      </w:pPr>
      <w:r w:rsidRPr="000F23E0">
        <w:t xml:space="preserve">Social </w:t>
      </w:r>
      <w:r w:rsidR="00E34586" w:rsidRPr="000F23E0">
        <w:t>c</w:t>
      </w:r>
      <w:r w:rsidRPr="000F23E0">
        <w:t>o</w:t>
      </w:r>
      <w:r w:rsidR="002C4475" w:rsidRPr="000F23E0">
        <w:noBreakHyphen/>
      </w:r>
      <w:r w:rsidRPr="000F23E0">
        <w:t>benefits</w:t>
      </w:r>
    </w:p>
    <w:p w14:paraId="23C5C560" w14:textId="33CEBD66" w:rsidR="00ED3691" w:rsidRPr="000F23E0" w:rsidRDefault="00ED3691" w:rsidP="00F55854">
      <w:r w:rsidRPr="000F23E0">
        <w:t xml:space="preserve">Hydrogen Hubs will support employment opportunities for regional communities. Data for regional job creation will be available when individual projects are complete. </w:t>
      </w:r>
    </w:p>
    <w:tbl>
      <w:tblPr>
        <w:tblW w:w="5000" w:type="pct"/>
        <w:shd w:val="clear" w:color="auto" w:fill="FDF0E7"/>
        <w:tblCellMar>
          <w:top w:w="113" w:type="dxa"/>
          <w:left w:w="284" w:type="dxa"/>
          <w:bottom w:w="227" w:type="dxa"/>
          <w:right w:w="284" w:type="dxa"/>
        </w:tblCellMar>
        <w:tblLook w:val="04A0" w:firstRow="1" w:lastRow="0" w:firstColumn="1" w:lastColumn="0" w:noHBand="0" w:noVBand="1"/>
      </w:tblPr>
      <w:tblGrid>
        <w:gridCol w:w="9070"/>
      </w:tblGrid>
      <w:tr w:rsidR="00ED3691" w:rsidRPr="000F23E0" w14:paraId="7A6EFA1B" w14:textId="77777777" w:rsidTr="00990E2A">
        <w:tc>
          <w:tcPr>
            <w:tcW w:w="5000" w:type="pct"/>
            <w:shd w:val="clear" w:color="auto" w:fill="FDF0E7"/>
            <w:hideMark/>
          </w:tcPr>
          <w:p w14:paraId="7531BCED" w14:textId="0DFBC61B" w:rsidR="00ED3691" w:rsidRPr="000F23E0" w:rsidRDefault="00ED3691" w:rsidP="00B460C1">
            <w:pPr>
              <w:pStyle w:val="Caseheading"/>
            </w:pPr>
            <w:r w:rsidRPr="000F23E0">
              <w:lastRenderedPageBreak/>
              <w:t xml:space="preserve">Case </w:t>
            </w:r>
            <w:r w:rsidR="0073268D" w:rsidRPr="000F23E0">
              <w:t>s</w:t>
            </w:r>
            <w:r w:rsidRPr="000F23E0">
              <w:t xml:space="preserve">tudy </w:t>
            </w:r>
            <w:r w:rsidR="001A774C" w:rsidRPr="000F23E0">
              <w:t>4</w:t>
            </w:r>
            <w:r w:rsidRPr="000F23E0">
              <w:t xml:space="preserve">: </w:t>
            </w:r>
            <w:r w:rsidR="0009450F" w:rsidRPr="000F23E0">
              <w:t xml:space="preserve">The </w:t>
            </w:r>
            <w:r w:rsidR="00EF1B05" w:rsidRPr="000F23E0">
              <w:t>Hunter Valley</w:t>
            </w:r>
            <w:r w:rsidRPr="000F23E0">
              <w:t xml:space="preserve"> Hydrogen Hub</w:t>
            </w:r>
          </w:p>
          <w:p w14:paraId="436B3226" w14:textId="169ACFBB" w:rsidR="00682E3C" w:rsidRPr="000F23E0" w:rsidRDefault="00682E3C" w:rsidP="00D05E2B">
            <w:pPr>
              <w:pStyle w:val="BoxText"/>
            </w:pPr>
            <w:r w:rsidRPr="000F23E0">
              <w:t>The Hunter Valley Hydrogen Hub is a renewables-based hydrogen hub</w:t>
            </w:r>
            <w:r w:rsidR="00A8792A" w:rsidRPr="000F23E0">
              <w:t xml:space="preserve"> development</w:t>
            </w:r>
            <w:r w:rsidRPr="000F23E0">
              <w:t xml:space="preserve"> near Newcastle. Orica Australia </w:t>
            </w:r>
            <w:r w:rsidR="00A8792A" w:rsidRPr="000F23E0">
              <w:t>leads</w:t>
            </w:r>
            <w:r w:rsidRPr="000F23E0">
              <w:t xml:space="preserve"> the project and intends to produce renewable hydrogen using a</w:t>
            </w:r>
            <w:r w:rsidR="00990E2A" w:rsidRPr="000F23E0">
              <w:t> </w:t>
            </w:r>
            <w:r w:rsidRPr="000F23E0">
              <w:t xml:space="preserve">50-MW </w:t>
            </w:r>
            <w:r w:rsidR="008866D0" w:rsidRPr="000F23E0">
              <w:t>electrolyser powered by renewable electricity</w:t>
            </w:r>
            <w:r w:rsidRPr="000F23E0">
              <w:t xml:space="preserve"> to</w:t>
            </w:r>
            <w:r w:rsidR="008866D0" w:rsidRPr="000F23E0">
              <w:t xml:space="preserve"> replace methane gas in Orica’s ammonia production process</w:t>
            </w:r>
            <w:r w:rsidR="00207A4D" w:rsidRPr="000F23E0">
              <w:t xml:space="preserve">. </w:t>
            </w:r>
          </w:p>
          <w:p w14:paraId="026FA683" w14:textId="675841DF" w:rsidR="00682E3C" w:rsidRPr="000F23E0" w:rsidRDefault="00682E3C" w:rsidP="00D05E2B">
            <w:pPr>
              <w:pStyle w:val="BoxText"/>
            </w:pPr>
            <w:r w:rsidRPr="000F23E0">
              <w:t xml:space="preserve">Orica is the recipient of a grant of up to $70 million under the </w:t>
            </w:r>
            <w:r w:rsidR="00393957" w:rsidRPr="000F23E0">
              <w:t>Regional Hydrogen Hubs</w:t>
            </w:r>
            <w:r w:rsidRPr="000F23E0">
              <w:t xml:space="preserve"> program. The NSW Government has also awarded Orica a Hydrogen Hub Initiative grant of up to</w:t>
            </w:r>
            <w:r w:rsidR="00990E2A" w:rsidRPr="000F23E0">
              <w:t> </w:t>
            </w:r>
            <w:r w:rsidRPr="000F23E0">
              <w:t>$45 million for the project.</w:t>
            </w:r>
          </w:p>
          <w:p w14:paraId="1053A6BE" w14:textId="7961C991" w:rsidR="00682E3C" w:rsidRPr="000F23E0" w:rsidRDefault="00682E3C" w:rsidP="00D05E2B">
            <w:pPr>
              <w:pStyle w:val="BoxText"/>
            </w:pPr>
            <w:r w:rsidRPr="000F23E0">
              <w:t>In July 2025, the Australian Government announced that Orica had been awarded up to $432</w:t>
            </w:r>
            <w:r w:rsidR="00990E2A" w:rsidRPr="000F23E0">
              <w:t> </w:t>
            </w:r>
            <w:r w:rsidRPr="000F23E0">
              <w:t>million through the Hydrogen Headstart Program, which will be provided in the form of a</w:t>
            </w:r>
            <w:r w:rsidR="00990E2A" w:rsidRPr="000F23E0">
              <w:t> </w:t>
            </w:r>
            <w:r w:rsidRPr="000F23E0">
              <w:t>production credit administered by ARENA and paid per unit of eligible hydrogen produced.</w:t>
            </w:r>
          </w:p>
          <w:p w14:paraId="74306E83" w14:textId="5C085894" w:rsidR="00682E3C" w:rsidRPr="000F23E0" w:rsidRDefault="00682E3C" w:rsidP="00D05E2B">
            <w:pPr>
              <w:pStyle w:val="BoxText"/>
            </w:pPr>
            <w:r w:rsidRPr="000F23E0">
              <w:t>The project represents a major step in decarbonising Orica’s existing Kooragang Island </w:t>
            </w:r>
            <w:r w:rsidR="00625157" w:rsidRPr="000F23E0">
              <w:t>a</w:t>
            </w:r>
            <w:r w:rsidRPr="000F23E0">
              <w:t xml:space="preserve">mmonia </w:t>
            </w:r>
            <w:r w:rsidR="00625157" w:rsidRPr="000F23E0">
              <w:t>m</w:t>
            </w:r>
            <w:r w:rsidRPr="000F23E0">
              <w:t>anufacturing </w:t>
            </w:r>
            <w:r w:rsidR="00625157" w:rsidRPr="000F23E0">
              <w:t>f</w:t>
            </w:r>
            <w:r w:rsidRPr="000F23E0">
              <w:t>acility and producing low-carbon ammonia and ammonium nitrate for domestic use across mining, agriculture and industrial sectors.</w:t>
            </w:r>
          </w:p>
          <w:p w14:paraId="010C7DDF" w14:textId="7E41014E" w:rsidR="00682E3C" w:rsidRPr="000F23E0" w:rsidRDefault="00682E3C" w:rsidP="00B83DAE">
            <w:pPr>
              <w:pStyle w:val="BoxText"/>
              <w:spacing w:after="240"/>
            </w:pPr>
            <w:r w:rsidRPr="000F23E0">
              <w:t>These projects are key to decarbonising hard</w:t>
            </w:r>
            <w:r w:rsidR="00DD3A7D" w:rsidRPr="000F23E0">
              <w:t>-</w:t>
            </w:r>
            <w:r w:rsidRPr="000F23E0">
              <w:t>to</w:t>
            </w:r>
            <w:r w:rsidR="00DD3A7D" w:rsidRPr="000F23E0">
              <w:t>-</w:t>
            </w:r>
            <w:r w:rsidRPr="000F23E0">
              <w:t>electrify industrial processes</w:t>
            </w:r>
            <w:r w:rsidR="00DD3A7D" w:rsidRPr="000F23E0">
              <w:t>.</w:t>
            </w:r>
            <w:r w:rsidRPr="000F23E0">
              <w:t xml:space="preserve"> </w:t>
            </w:r>
            <w:r w:rsidR="00DD3A7D" w:rsidRPr="000F23E0">
              <w:t>F</w:t>
            </w:r>
            <w:r w:rsidRPr="000F23E0">
              <w:t xml:space="preserve">unding is an essential </w:t>
            </w:r>
            <w:r w:rsidR="00DD3A7D" w:rsidRPr="000F23E0">
              <w:t>for</w:t>
            </w:r>
            <w:r w:rsidRPr="000F23E0">
              <w:t xml:space="preserve"> bridging the commercial gap for early mover renewable hydrogen projects in Australia. The estimated annualised emissions benefit at phase one of full production is equivalent to taking approximately 26,500 cars off the road each year.</w:t>
            </w:r>
          </w:p>
          <w:p w14:paraId="3412742B" w14:textId="77777777" w:rsidR="00990E2A" w:rsidRPr="000F23E0" w:rsidRDefault="00990E2A" w:rsidP="00D05E2B">
            <w:pPr>
              <w:pStyle w:val="BoxText"/>
            </w:pPr>
            <w:r w:rsidRPr="000F23E0">
              <w:drawing>
                <wp:inline distT="0" distB="0" distL="0" distR="0" wp14:anchorId="56653AD4" wp14:editId="1BF0D041">
                  <wp:extent cx="5411972" cy="2318138"/>
                  <wp:effectExtent l="0" t="0" r="0" b="6350"/>
                  <wp:docPr id="1153895804" name="Picture 4" descr="A flat headland, surrounded by a large river covered by grass with industrial areas dispersed throughout. In the middle of the headland is a virtually imposed blue section showing where the hunter valley hydrogen hub will be. Across the other side of the river there is a ci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895804" name="Picture 4" descr="A flat headland, surrounded by a large river covered by grass with industrial areas dispersed throughout. In the middle of the headland is a virtually imposed blue section showing where the hunter valley hydrogen hub will be. Across the other side of the river there is a city. "/>
                          <pic:cNvPicPr/>
                        </pic:nvPicPr>
                        <pic:blipFill>
                          <a:blip r:embed="rId58">
                            <a:extLst>
                              <a:ext uri="{28A0092B-C50C-407E-A947-70E740481C1C}">
                                <a14:useLocalDpi xmlns:a14="http://schemas.microsoft.com/office/drawing/2010/main" val="0"/>
                              </a:ext>
                            </a:extLst>
                          </a:blip>
                          <a:stretch>
                            <a:fillRect/>
                          </a:stretch>
                        </pic:blipFill>
                        <pic:spPr>
                          <a:xfrm>
                            <a:off x="0" y="0"/>
                            <a:ext cx="5418185" cy="2320799"/>
                          </a:xfrm>
                          <a:prstGeom prst="rect">
                            <a:avLst/>
                          </a:prstGeom>
                        </pic:spPr>
                      </pic:pic>
                    </a:graphicData>
                  </a:graphic>
                </wp:inline>
              </w:drawing>
            </w:r>
          </w:p>
          <w:p w14:paraId="6316BD74" w14:textId="0CD6F192" w:rsidR="00990E2A" w:rsidRPr="000F23E0" w:rsidRDefault="00990E2A" w:rsidP="00990E2A">
            <w:pPr>
              <w:pStyle w:val="ChartorTableNote"/>
            </w:pPr>
            <w:r w:rsidRPr="000F23E0">
              <w:t xml:space="preserve">The </w:t>
            </w:r>
            <w:hyperlink r:id="rId59" w:history="1">
              <w:r w:rsidRPr="000F23E0">
                <w:rPr>
                  <w:rStyle w:val="Hyperlink"/>
                </w:rPr>
                <w:t>Hunter Valley Hydrogen Hub</w:t>
              </w:r>
            </w:hyperlink>
            <w:r w:rsidRPr="000F23E0">
              <w:t xml:space="preserve"> at Kooragang Island, New South Wales. Photo courtesy of Orica.</w:t>
            </w:r>
          </w:p>
        </w:tc>
      </w:tr>
    </w:tbl>
    <w:p w14:paraId="7E2D25AE" w14:textId="1CE9B014" w:rsidR="00ED3691" w:rsidRPr="000F23E0" w:rsidRDefault="00ED3691" w:rsidP="00ED3691">
      <w:pPr>
        <w:spacing w:before="0" w:after="160" w:line="259" w:lineRule="auto"/>
      </w:pPr>
      <w:r w:rsidRPr="000F23E0">
        <w:br w:type="page"/>
      </w:r>
    </w:p>
    <w:p w14:paraId="250B7AAD" w14:textId="6D91CBB5" w:rsidR="00ED3691" w:rsidRPr="000F23E0" w:rsidRDefault="00393957" w:rsidP="006475BB">
      <w:pPr>
        <w:pStyle w:val="Heading2"/>
      </w:pPr>
      <w:bookmarkStart w:id="142" w:name="_Toc225155755"/>
      <w:r w:rsidRPr="000F23E0">
        <w:lastRenderedPageBreak/>
        <w:t>Community Batteries</w:t>
      </w:r>
      <w:bookmarkEnd w:id="142"/>
    </w:p>
    <w:p w14:paraId="281B66EB" w14:textId="0D2369D7" w:rsidR="00D74E63" w:rsidRPr="000F23E0" w:rsidRDefault="00D74E63" w:rsidP="00601DD1">
      <w:r w:rsidRPr="000F23E0">
        <w:t xml:space="preserve">The </w:t>
      </w:r>
      <w:r w:rsidR="00393957" w:rsidRPr="000F23E0">
        <w:t>Community Batteries</w:t>
      </w:r>
      <w:r w:rsidRPr="000F23E0">
        <w:t xml:space="preserve"> for Household Solar program </w:t>
      </w:r>
      <w:r w:rsidR="00A1605A" w:rsidRPr="000F23E0">
        <w:t xml:space="preserve">is </w:t>
      </w:r>
      <w:r w:rsidRPr="000F23E0">
        <w:t>install</w:t>
      </w:r>
      <w:r w:rsidR="00A1605A" w:rsidRPr="000F23E0">
        <w:t>ing</w:t>
      </w:r>
      <w:r w:rsidRPr="000F23E0">
        <w:t xml:space="preserve"> more than 4</w:t>
      </w:r>
      <w:r w:rsidR="00335A17" w:rsidRPr="000F23E0">
        <w:t>0</w:t>
      </w:r>
      <w:r w:rsidRPr="000F23E0">
        <w:t xml:space="preserve">0 </w:t>
      </w:r>
      <w:r w:rsidR="00393957" w:rsidRPr="000F23E0">
        <w:t>Community Batteries</w:t>
      </w:r>
      <w:r w:rsidRPr="000F23E0">
        <w:t xml:space="preserve"> across Australia. The batteries will store excess solar energy for consumers to use during peak times, put downward pressure on household electricity costs, contribute to lowering emissions, provide network benefits and support further solar installations. </w:t>
      </w:r>
    </w:p>
    <w:p w14:paraId="69905D14" w14:textId="297D1D6C" w:rsidR="00793FEE" w:rsidRPr="000F23E0" w:rsidRDefault="00D74E63" w:rsidP="00601DD1">
      <w:r w:rsidRPr="000F23E0">
        <w:t>The $200 million program, led by DCCEEW, delivers grants through the Department of Industry, Science and Resources</w:t>
      </w:r>
      <w:r w:rsidR="002C4475" w:rsidRPr="000F23E0">
        <w:t>’</w:t>
      </w:r>
      <w:r w:rsidRPr="000F23E0">
        <w:t xml:space="preserve"> Business Grants Hub and ARENA </w:t>
      </w:r>
      <w:r w:rsidR="00393957" w:rsidRPr="000F23E0">
        <w:t>Community Batteries</w:t>
      </w:r>
      <w:r w:rsidRPr="000F23E0">
        <w:t xml:space="preserve"> </w:t>
      </w:r>
      <w:r w:rsidR="00186B46" w:rsidRPr="000F23E0">
        <w:t>f</w:t>
      </w:r>
      <w:r w:rsidRPr="000F23E0">
        <w:t>unding.</w:t>
      </w:r>
      <w:r w:rsidR="002D2D6F" w:rsidRPr="000F23E0">
        <w:t xml:space="preserve"> </w:t>
      </w:r>
      <w:r w:rsidRPr="000F23E0">
        <w:t>The Business Grants Hub is administering</w:t>
      </w:r>
      <w:r w:rsidR="002D2D6F" w:rsidRPr="000F23E0">
        <w:t xml:space="preserve"> </w:t>
      </w:r>
      <w:r w:rsidRPr="000F23E0">
        <w:t>up to</w:t>
      </w:r>
      <w:r w:rsidR="002D2D6F" w:rsidRPr="000F23E0">
        <w:t xml:space="preserve"> </w:t>
      </w:r>
      <w:r w:rsidRPr="000F23E0">
        <w:t xml:space="preserve">$29 million </w:t>
      </w:r>
      <w:r w:rsidR="00824119" w:rsidRPr="000F23E0">
        <w:t>in </w:t>
      </w:r>
      <w:r w:rsidRPr="000F23E0">
        <w:t>grants to install batteries in up to 57</w:t>
      </w:r>
      <w:r w:rsidR="002D2D6F" w:rsidRPr="000F23E0">
        <w:t> </w:t>
      </w:r>
      <w:r w:rsidRPr="000F23E0">
        <w:t>locations.</w:t>
      </w:r>
      <w:r w:rsidR="00990E2A" w:rsidRPr="000F23E0">
        <w:t xml:space="preserve"> </w:t>
      </w:r>
      <w:r w:rsidR="00C303D9" w:rsidRPr="000F23E0">
        <w:t>The</w:t>
      </w:r>
      <w:r w:rsidR="00990E2A" w:rsidRPr="000F23E0">
        <w:t> </w:t>
      </w:r>
      <w:r w:rsidR="00C303D9" w:rsidRPr="000F23E0">
        <w:t>remaining $171 million has been allocated to ARENA to deliver at least 342 batteries.</w:t>
      </w:r>
      <w:r w:rsidR="00645601" w:rsidRPr="000F23E0">
        <w:rPr>
          <w:rStyle w:val="EndnoteReference"/>
        </w:rPr>
        <w:endnoteReference w:id="43"/>
      </w:r>
    </w:p>
    <w:p w14:paraId="4B0240D2" w14:textId="6A4126D1" w:rsidR="00ED3691" w:rsidRPr="000F23E0" w:rsidRDefault="00ED3691" w:rsidP="007143C1">
      <w:pPr>
        <w:pStyle w:val="Heading3"/>
      </w:pPr>
      <w:r w:rsidRPr="000F23E0">
        <w:t xml:space="preserve">Green Treasury Bond </w:t>
      </w:r>
      <w:r w:rsidR="00E34586" w:rsidRPr="000F23E0">
        <w:t>a</w:t>
      </w:r>
      <w:r w:rsidRPr="000F23E0">
        <w:t>llocation</w:t>
      </w:r>
    </w:p>
    <w:p w14:paraId="5A6A8408" w14:textId="26A2228B" w:rsidR="00ED3691" w:rsidRPr="000F23E0" w:rsidRDefault="00611CEF" w:rsidP="00825561">
      <w:r w:rsidRPr="000F23E0">
        <w:t>GTB</w:t>
      </w:r>
      <w:r w:rsidR="00ED3691" w:rsidRPr="000F23E0">
        <w:t>s contributed $</w:t>
      </w:r>
      <w:r w:rsidR="00CC43EF" w:rsidRPr="000F23E0">
        <w:t>7.7</w:t>
      </w:r>
      <w:r w:rsidR="00ED3691" w:rsidRPr="000F23E0">
        <w:t xml:space="preserve"> million to </w:t>
      </w:r>
      <w:r w:rsidR="00393957" w:rsidRPr="000F23E0">
        <w:t>Community Batteries</w:t>
      </w:r>
      <w:r w:rsidR="00ED3691" w:rsidRPr="000F23E0">
        <w:t xml:space="preserve"> over 202</w:t>
      </w:r>
      <w:r w:rsidR="00601DD1" w:rsidRPr="000F23E0">
        <w:t>4</w:t>
      </w:r>
      <w:r w:rsidR="00A055D4" w:rsidRPr="000F23E0">
        <w:t>–</w:t>
      </w:r>
      <w:r w:rsidR="00601DD1" w:rsidRPr="000F23E0">
        <w:t>25</w:t>
      </w:r>
      <w:r w:rsidR="00332E5D" w:rsidRPr="000F23E0">
        <w:t xml:space="preserve"> (</w:t>
      </w:r>
      <w:r w:rsidR="00591379" w:rsidRPr="000F23E0">
        <w:t xml:space="preserve">Table </w:t>
      </w:r>
      <w:r w:rsidR="00BB5037" w:rsidRPr="000F23E0">
        <w:t>13</w:t>
      </w:r>
      <w:r w:rsidR="00332E5D" w:rsidRPr="000F23E0">
        <w:t>)</w:t>
      </w:r>
      <w:r w:rsidR="00ED3691" w:rsidRPr="000F23E0">
        <w:t>.</w:t>
      </w:r>
    </w:p>
    <w:p w14:paraId="6996BEC9" w14:textId="5B9CCD88" w:rsidR="001E6878" w:rsidRPr="000F23E0" w:rsidRDefault="001E6878" w:rsidP="00825561">
      <w:r w:rsidRPr="000F23E0">
        <w:t xml:space="preserve">Funding in future financial years is </w:t>
      </w:r>
      <w:r w:rsidR="00CD2FEF" w:rsidRPr="000F23E0">
        <w:t xml:space="preserve">expected </w:t>
      </w:r>
      <w:r w:rsidRPr="000F23E0">
        <w:t xml:space="preserve">to be financed through </w:t>
      </w:r>
      <w:r w:rsidR="00611CEF" w:rsidRPr="000F23E0">
        <w:t>GTB</w:t>
      </w:r>
      <w:r w:rsidRPr="000F23E0">
        <w:t>s.</w:t>
      </w:r>
    </w:p>
    <w:p w14:paraId="256BAB2B" w14:textId="3BD45391" w:rsidR="00ED3691" w:rsidRPr="000F23E0" w:rsidRDefault="00ED3691" w:rsidP="00551F72">
      <w:pPr>
        <w:pStyle w:val="TableMainHeading"/>
      </w:pPr>
      <w:bookmarkStart w:id="143" w:name="_Toc220662873"/>
      <w:bookmarkStart w:id="144" w:name="_Toc224637805"/>
      <w:bookmarkStart w:id="145" w:name="_Toc224642469"/>
      <w:bookmarkStart w:id="146" w:name="_Toc225153445"/>
      <w:bookmarkStart w:id="147" w:name="_Toc225154491"/>
      <w:bookmarkStart w:id="148" w:name="_Toc225155756"/>
      <w:r w:rsidRPr="000F23E0">
        <w:t xml:space="preserve">Table </w:t>
      </w:r>
      <w:r w:rsidR="00BB5037" w:rsidRPr="000F23E0">
        <w:t>13</w:t>
      </w:r>
      <w:r w:rsidR="00627058" w:rsidRPr="000F23E0">
        <w:t>:</w:t>
      </w:r>
      <w:r w:rsidRPr="000F23E0">
        <w:t xml:space="preserve"> Allocation </w:t>
      </w:r>
      <w:r w:rsidR="00527E0F" w:rsidRPr="000F23E0">
        <w:t>d</w:t>
      </w:r>
      <w:r w:rsidRPr="000F23E0">
        <w:t xml:space="preserve">ata for </w:t>
      </w:r>
      <w:r w:rsidR="00393957" w:rsidRPr="000F23E0">
        <w:t>Community Batteries</w:t>
      </w:r>
      <w:r w:rsidRPr="000F23E0">
        <w:t xml:space="preserve"> ($ million)</w:t>
      </w:r>
      <w:bookmarkEnd w:id="143"/>
      <w:bookmarkEnd w:id="144"/>
      <w:bookmarkEnd w:id="145"/>
      <w:bookmarkEnd w:id="146"/>
      <w:bookmarkEnd w:id="147"/>
      <w:bookmarkEnd w:id="148"/>
    </w:p>
    <w:tbl>
      <w:tblPr>
        <w:tblStyle w:val="GridTable4-Accent2"/>
        <w:tblW w:w="5000" w:type="pct"/>
        <w:tblInd w:w="5" w:type="dxa"/>
        <w:tblBorders>
          <w:top w:val="single" w:sz="4" w:space="0" w:color="DFA795"/>
          <w:bottom w:val="single" w:sz="4" w:space="0" w:color="DFA795"/>
        </w:tblBorders>
        <w:tblLayout w:type="fixed"/>
        <w:tblCellMar>
          <w:left w:w="28" w:type="dxa"/>
          <w:right w:w="28" w:type="dxa"/>
        </w:tblCellMar>
        <w:tblLook w:val="04A0" w:firstRow="1" w:lastRow="0" w:firstColumn="1" w:lastColumn="0" w:noHBand="0" w:noVBand="1"/>
      </w:tblPr>
      <w:tblGrid>
        <w:gridCol w:w="2547"/>
        <w:gridCol w:w="1843"/>
        <w:gridCol w:w="1417"/>
        <w:gridCol w:w="1985"/>
        <w:gridCol w:w="1278"/>
      </w:tblGrid>
      <w:tr w:rsidR="00864BE1" w:rsidRPr="000F23E0" w14:paraId="383BB8AC" w14:textId="77777777" w:rsidTr="00990E2A">
        <w:trPr>
          <w:cnfStyle w:val="100000000000" w:firstRow="1" w:lastRow="0" w:firstColumn="0" w:lastColumn="0" w:oddVBand="0" w:evenVBand="0" w:oddHBand="0" w:evenHBand="0" w:firstRowFirstColumn="0" w:firstRowLastColumn="0" w:lastRowFirstColumn="0" w:lastRowLastColumn="0"/>
          <w:trHeight w:val="241"/>
        </w:trPr>
        <w:tc>
          <w:tcPr>
            <w:cnfStyle w:val="001000000000" w:firstRow="0" w:lastRow="0" w:firstColumn="1" w:lastColumn="0" w:oddVBand="0" w:evenVBand="0" w:oddHBand="0" w:evenHBand="0" w:firstRowFirstColumn="0" w:firstRowLastColumn="0" w:lastRowFirstColumn="0" w:lastRowLastColumn="0"/>
            <w:tcW w:w="2547" w:type="dxa"/>
            <w:tcBorders>
              <w:top w:val="single" w:sz="4" w:space="0" w:color="DFA795"/>
              <w:bottom w:val="single" w:sz="4" w:space="0" w:color="DFA795"/>
            </w:tcBorders>
            <w:shd w:val="clear" w:color="auto" w:fill="F1D0C6"/>
          </w:tcPr>
          <w:p w14:paraId="2E9257CE" w14:textId="4BC97406" w:rsidR="00864BE1" w:rsidRPr="000F23E0" w:rsidRDefault="00216461" w:rsidP="00C302D5">
            <w:pPr>
              <w:pStyle w:val="TableColumnHeadingLeft"/>
              <w:rPr>
                <w:b/>
                <w:bCs w:val="0"/>
              </w:rPr>
            </w:pPr>
            <w:r w:rsidRPr="000F23E0">
              <w:rPr>
                <w:b/>
                <w:bCs w:val="0"/>
              </w:rPr>
              <w:t>Eligible Green Expenditure</w:t>
            </w:r>
          </w:p>
        </w:tc>
        <w:tc>
          <w:tcPr>
            <w:tcW w:w="1843" w:type="dxa"/>
            <w:tcBorders>
              <w:top w:val="single" w:sz="4" w:space="0" w:color="DFA795"/>
              <w:bottom w:val="single" w:sz="4" w:space="0" w:color="DFA795"/>
            </w:tcBorders>
            <w:shd w:val="clear" w:color="auto" w:fill="F1D0C6"/>
          </w:tcPr>
          <w:p w14:paraId="252F4F9F" w14:textId="35C10EBA" w:rsidR="00864BE1" w:rsidRPr="000F23E0" w:rsidRDefault="00864BE1" w:rsidP="00C302D5">
            <w:pPr>
              <w:pStyle w:val="TableColumnHeadingRight"/>
              <w:cnfStyle w:val="100000000000" w:firstRow="1" w:lastRow="0" w:firstColumn="0" w:lastColumn="0" w:oddVBand="0" w:evenVBand="0" w:oddHBand="0" w:evenHBand="0" w:firstRowFirstColumn="0" w:firstRowLastColumn="0" w:lastRowFirstColumn="0" w:lastRowLastColumn="0"/>
              <w:rPr>
                <w:b/>
                <w:bCs w:val="0"/>
              </w:rPr>
            </w:pPr>
            <w:r w:rsidRPr="000F23E0">
              <w:rPr>
                <w:b/>
                <w:bCs w:val="0"/>
              </w:rPr>
              <w:t>2024</w:t>
            </w:r>
            <w:r w:rsidR="001055D5" w:rsidRPr="000F23E0">
              <w:rPr>
                <w:b/>
                <w:bCs w:val="0"/>
              </w:rPr>
              <w:t>–</w:t>
            </w:r>
            <w:r w:rsidRPr="000F23E0">
              <w:rPr>
                <w:b/>
                <w:bCs w:val="0"/>
              </w:rPr>
              <w:t xml:space="preserve">25 Expenditure </w:t>
            </w:r>
          </w:p>
        </w:tc>
        <w:tc>
          <w:tcPr>
            <w:tcW w:w="1417" w:type="dxa"/>
            <w:tcBorders>
              <w:top w:val="single" w:sz="4" w:space="0" w:color="DFA795"/>
              <w:bottom w:val="single" w:sz="4" w:space="0" w:color="DFA795"/>
            </w:tcBorders>
            <w:shd w:val="clear" w:color="auto" w:fill="F1D0C6"/>
          </w:tcPr>
          <w:p w14:paraId="3F3F42BE" w14:textId="1CABF006" w:rsidR="00864BE1" w:rsidRPr="000F23E0" w:rsidRDefault="00EA0F10" w:rsidP="00C302D5">
            <w:pPr>
              <w:pStyle w:val="TableColumnHeadingRight"/>
              <w:cnfStyle w:val="100000000000" w:firstRow="1" w:lastRow="0" w:firstColumn="0" w:lastColumn="0" w:oddVBand="0" w:evenVBand="0" w:oddHBand="0" w:evenHBand="0" w:firstRowFirstColumn="0" w:firstRowLastColumn="0" w:lastRowFirstColumn="0" w:lastRowLastColumn="0"/>
              <w:rPr>
                <w:b/>
                <w:bCs w:val="0"/>
              </w:rPr>
            </w:pPr>
            <w:r w:rsidRPr="000F23E0">
              <w:rPr>
                <w:b/>
                <w:bCs w:val="0"/>
              </w:rPr>
              <w:t>Allocation 2026</w:t>
            </w:r>
            <w:r w:rsidR="00042AA7" w:rsidRPr="000F23E0">
              <w:rPr>
                <w:b/>
                <w:bCs w:val="0"/>
              </w:rPr>
              <w:t> </w:t>
            </w:r>
            <w:r w:rsidRPr="000F23E0">
              <w:rPr>
                <w:b/>
                <w:bCs w:val="0"/>
              </w:rPr>
              <w:t>Report</w:t>
            </w:r>
            <w:r w:rsidR="00864BE1" w:rsidRPr="000F23E0">
              <w:rPr>
                <w:b/>
                <w:bCs w:val="0"/>
              </w:rPr>
              <w:t xml:space="preserve"> </w:t>
            </w:r>
          </w:p>
        </w:tc>
        <w:tc>
          <w:tcPr>
            <w:tcW w:w="1985" w:type="dxa"/>
            <w:tcBorders>
              <w:top w:val="single" w:sz="4" w:space="0" w:color="DFA795"/>
              <w:bottom w:val="single" w:sz="4" w:space="0" w:color="DFA795"/>
            </w:tcBorders>
            <w:shd w:val="clear" w:color="auto" w:fill="F1D0C6"/>
          </w:tcPr>
          <w:p w14:paraId="78F042BE" w14:textId="7D5DEE23" w:rsidR="00864BE1" w:rsidRPr="000F23E0" w:rsidRDefault="00864BE1" w:rsidP="00C302D5">
            <w:pPr>
              <w:pStyle w:val="TableColumnHeadingRight"/>
              <w:cnfStyle w:val="100000000000" w:firstRow="1" w:lastRow="0" w:firstColumn="0" w:lastColumn="0" w:oddVBand="0" w:evenVBand="0" w:oddHBand="0" w:evenHBand="0" w:firstRowFirstColumn="0" w:firstRowLastColumn="0" w:lastRowFirstColumn="0" w:lastRowLastColumn="0"/>
              <w:rPr>
                <w:b/>
                <w:bCs w:val="0"/>
              </w:rPr>
            </w:pPr>
            <w:r w:rsidRPr="000F23E0">
              <w:rPr>
                <w:b/>
                <w:bCs w:val="0"/>
              </w:rPr>
              <w:t xml:space="preserve">Total Australian Government Contribution </w:t>
            </w:r>
          </w:p>
        </w:tc>
        <w:tc>
          <w:tcPr>
            <w:tcW w:w="1278" w:type="dxa"/>
            <w:tcBorders>
              <w:top w:val="single" w:sz="4" w:space="0" w:color="DFA795"/>
              <w:bottom w:val="single" w:sz="4" w:space="0" w:color="DFA795"/>
            </w:tcBorders>
            <w:shd w:val="clear" w:color="auto" w:fill="F1D0C6"/>
          </w:tcPr>
          <w:p w14:paraId="343D7D6B" w14:textId="63465C68" w:rsidR="00864BE1" w:rsidRPr="000F23E0" w:rsidRDefault="00864BE1" w:rsidP="00C302D5">
            <w:pPr>
              <w:pStyle w:val="TableColumnHeadingRight"/>
              <w:cnfStyle w:val="100000000000" w:firstRow="1" w:lastRow="0" w:firstColumn="0" w:lastColumn="0" w:oddVBand="0" w:evenVBand="0" w:oddHBand="0" w:evenHBand="0" w:firstRowFirstColumn="0" w:firstRowLastColumn="0" w:lastRowFirstColumn="0" w:lastRowLastColumn="0"/>
              <w:rPr>
                <w:b/>
                <w:bCs w:val="0"/>
              </w:rPr>
            </w:pPr>
            <w:r w:rsidRPr="000F23E0">
              <w:rPr>
                <w:b/>
                <w:bCs w:val="0"/>
              </w:rPr>
              <w:t xml:space="preserve">Total Cost of Project </w:t>
            </w:r>
          </w:p>
        </w:tc>
      </w:tr>
      <w:tr w:rsidR="00CB58DE" w:rsidRPr="000F23E0" w14:paraId="51C092F5" w14:textId="77777777" w:rsidTr="00990E2A">
        <w:trPr>
          <w:trHeight w:val="265"/>
        </w:trPr>
        <w:tc>
          <w:tcPr>
            <w:cnfStyle w:val="001000000000" w:firstRow="0" w:lastRow="0" w:firstColumn="1" w:lastColumn="0" w:oddVBand="0" w:evenVBand="0" w:oddHBand="0" w:evenHBand="0" w:firstRowFirstColumn="0" w:firstRowLastColumn="0" w:lastRowFirstColumn="0" w:lastRowLastColumn="0"/>
            <w:tcW w:w="2547" w:type="dxa"/>
            <w:tcBorders>
              <w:top w:val="single" w:sz="4" w:space="0" w:color="DFA795"/>
              <w:bottom w:val="single" w:sz="4" w:space="0" w:color="DFA795"/>
            </w:tcBorders>
            <w:shd w:val="clear" w:color="auto" w:fill="FDF0E7"/>
          </w:tcPr>
          <w:p w14:paraId="1DFB9E65" w14:textId="5B96AD34" w:rsidR="00CB58DE" w:rsidRPr="000F23E0" w:rsidRDefault="00CB58DE" w:rsidP="00C302D5">
            <w:pPr>
              <w:pStyle w:val="TableTextLeft"/>
            </w:pPr>
            <w:r w:rsidRPr="000F23E0">
              <w:t xml:space="preserve">Community </w:t>
            </w:r>
            <w:r w:rsidR="007D68DE" w:rsidRPr="000F23E0">
              <w:t>B</w:t>
            </w:r>
            <w:r w:rsidRPr="000F23E0">
              <w:t>atteries (DCCEEW)</w:t>
            </w:r>
          </w:p>
        </w:tc>
        <w:tc>
          <w:tcPr>
            <w:tcW w:w="1843" w:type="dxa"/>
            <w:tcBorders>
              <w:top w:val="single" w:sz="4" w:space="0" w:color="DFA795"/>
              <w:bottom w:val="single" w:sz="4" w:space="0" w:color="DFA795"/>
            </w:tcBorders>
            <w:shd w:val="clear" w:color="auto" w:fill="FEFAF8"/>
          </w:tcPr>
          <w:p w14:paraId="41061242" w14:textId="0E1723DC" w:rsidR="00CB58DE" w:rsidRPr="000F23E0" w:rsidRDefault="00DE7BF1" w:rsidP="00C302D5">
            <w:pPr>
              <w:pStyle w:val="TableTextRight"/>
              <w:cnfStyle w:val="000000000000" w:firstRow="0" w:lastRow="0" w:firstColumn="0" w:lastColumn="0" w:oddVBand="0" w:evenVBand="0" w:oddHBand="0" w:evenHBand="0" w:firstRowFirstColumn="0" w:firstRowLastColumn="0" w:lastRowFirstColumn="0" w:lastRowLastColumn="0"/>
            </w:pPr>
            <w:r w:rsidRPr="000F23E0">
              <w:t>6.2</w:t>
            </w:r>
          </w:p>
        </w:tc>
        <w:tc>
          <w:tcPr>
            <w:tcW w:w="1417" w:type="dxa"/>
            <w:tcBorders>
              <w:top w:val="single" w:sz="4" w:space="0" w:color="DFA795"/>
              <w:bottom w:val="single" w:sz="4" w:space="0" w:color="DFA795"/>
            </w:tcBorders>
            <w:shd w:val="clear" w:color="auto" w:fill="FEFAF8"/>
          </w:tcPr>
          <w:p w14:paraId="3168BF0F" w14:textId="4A9E20A6" w:rsidR="00CB58DE" w:rsidRPr="000F23E0" w:rsidRDefault="00CC43EF" w:rsidP="00C302D5">
            <w:pPr>
              <w:pStyle w:val="TableTextRight"/>
              <w:cnfStyle w:val="000000000000" w:firstRow="0" w:lastRow="0" w:firstColumn="0" w:lastColumn="0" w:oddVBand="0" w:evenVBand="0" w:oddHBand="0" w:evenHBand="0" w:firstRowFirstColumn="0" w:firstRowLastColumn="0" w:lastRowFirstColumn="0" w:lastRowLastColumn="0"/>
            </w:pPr>
            <w:r w:rsidRPr="000F23E0">
              <w:t>3.4</w:t>
            </w:r>
          </w:p>
        </w:tc>
        <w:tc>
          <w:tcPr>
            <w:tcW w:w="1985" w:type="dxa"/>
            <w:tcBorders>
              <w:top w:val="single" w:sz="4" w:space="0" w:color="DFA795"/>
              <w:bottom w:val="single" w:sz="4" w:space="0" w:color="DFA795"/>
            </w:tcBorders>
            <w:shd w:val="clear" w:color="auto" w:fill="FEFAF8"/>
          </w:tcPr>
          <w:p w14:paraId="1A7676D2" w14:textId="121589D8" w:rsidR="00CB58DE" w:rsidRPr="000F23E0" w:rsidRDefault="00CB58DE" w:rsidP="00C302D5">
            <w:pPr>
              <w:pStyle w:val="TableTextRight"/>
              <w:cnfStyle w:val="000000000000" w:firstRow="0" w:lastRow="0" w:firstColumn="0" w:lastColumn="0" w:oddVBand="0" w:evenVBand="0" w:oddHBand="0" w:evenHBand="0" w:firstRowFirstColumn="0" w:firstRowLastColumn="0" w:lastRowFirstColumn="0" w:lastRowLastColumn="0"/>
            </w:pPr>
            <w:r w:rsidRPr="000F23E0">
              <w:t>27.9</w:t>
            </w:r>
            <w:r w:rsidR="001E5308" w:rsidRPr="000F23E0">
              <w:rPr>
                <w:vertAlign w:val="superscript"/>
              </w:rPr>
              <w:t>(a)</w:t>
            </w:r>
          </w:p>
        </w:tc>
        <w:tc>
          <w:tcPr>
            <w:tcW w:w="1278" w:type="dxa"/>
            <w:tcBorders>
              <w:top w:val="single" w:sz="4" w:space="0" w:color="DFA795"/>
              <w:bottom w:val="single" w:sz="4" w:space="0" w:color="DFA795"/>
            </w:tcBorders>
            <w:shd w:val="clear" w:color="auto" w:fill="FEFAF8"/>
          </w:tcPr>
          <w:p w14:paraId="4DB91DFF" w14:textId="443AA9C9" w:rsidR="00CB58DE" w:rsidRPr="000F23E0" w:rsidRDefault="001864C2" w:rsidP="00C302D5">
            <w:pPr>
              <w:pStyle w:val="TableTextRight"/>
              <w:cnfStyle w:val="000000000000" w:firstRow="0" w:lastRow="0" w:firstColumn="0" w:lastColumn="0" w:oddVBand="0" w:evenVBand="0" w:oddHBand="0" w:evenHBand="0" w:firstRowFirstColumn="0" w:firstRowLastColumn="0" w:lastRowFirstColumn="0" w:lastRowLastColumn="0"/>
            </w:pPr>
            <w:r w:rsidRPr="000F23E0">
              <w:t>37.1</w:t>
            </w:r>
          </w:p>
        </w:tc>
      </w:tr>
      <w:tr w:rsidR="00CB58DE" w:rsidRPr="000F23E0" w14:paraId="4C73FCAD" w14:textId="77777777" w:rsidTr="00990E2A">
        <w:trPr>
          <w:trHeight w:val="265"/>
        </w:trPr>
        <w:tc>
          <w:tcPr>
            <w:cnfStyle w:val="001000000000" w:firstRow="0" w:lastRow="0" w:firstColumn="1" w:lastColumn="0" w:oddVBand="0" w:evenVBand="0" w:oddHBand="0" w:evenHBand="0" w:firstRowFirstColumn="0" w:firstRowLastColumn="0" w:lastRowFirstColumn="0" w:lastRowLastColumn="0"/>
            <w:tcW w:w="2547" w:type="dxa"/>
            <w:tcBorders>
              <w:top w:val="single" w:sz="4" w:space="0" w:color="DFA795"/>
              <w:bottom w:val="single" w:sz="4" w:space="0" w:color="DFA795"/>
            </w:tcBorders>
            <w:shd w:val="clear" w:color="auto" w:fill="FDF0E7"/>
          </w:tcPr>
          <w:p w14:paraId="5791FFBA" w14:textId="3C913A66" w:rsidR="00CB58DE" w:rsidRPr="000F23E0" w:rsidRDefault="00CB58DE" w:rsidP="00C302D5">
            <w:pPr>
              <w:pStyle w:val="TableTextLeft"/>
            </w:pPr>
            <w:r w:rsidRPr="000F23E0">
              <w:t xml:space="preserve">Community </w:t>
            </w:r>
            <w:r w:rsidR="007D68DE" w:rsidRPr="000F23E0">
              <w:t>B</w:t>
            </w:r>
            <w:r w:rsidRPr="000F23E0">
              <w:t>atteries (ARENA)</w:t>
            </w:r>
          </w:p>
        </w:tc>
        <w:tc>
          <w:tcPr>
            <w:tcW w:w="1843" w:type="dxa"/>
            <w:tcBorders>
              <w:top w:val="single" w:sz="4" w:space="0" w:color="DFA795"/>
              <w:bottom w:val="single" w:sz="4" w:space="0" w:color="DFA795"/>
            </w:tcBorders>
            <w:shd w:val="clear" w:color="auto" w:fill="FEFAF8"/>
          </w:tcPr>
          <w:p w14:paraId="474F2C53" w14:textId="4E554D4B" w:rsidR="00CB58DE" w:rsidRPr="000F23E0" w:rsidRDefault="00DE7BF1" w:rsidP="00C302D5">
            <w:pPr>
              <w:pStyle w:val="TableTextRight"/>
              <w:cnfStyle w:val="000000000000" w:firstRow="0" w:lastRow="0" w:firstColumn="0" w:lastColumn="0" w:oddVBand="0" w:evenVBand="0" w:oddHBand="0" w:evenHBand="0" w:firstRowFirstColumn="0" w:firstRowLastColumn="0" w:lastRowFirstColumn="0" w:lastRowLastColumn="0"/>
            </w:pPr>
            <w:r w:rsidRPr="000F23E0">
              <w:t>8.1</w:t>
            </w:r>
          </w:p>
        </w:tc>
        <w:tc>
          <w:tcPr>
            <w:tcW w:w="1417" w:type="dxa"/>
            <w:tcBorders>
              <w:top w:val="single" w:sz="4" w:space="0" w:color="DFA795"/>
              <w:bottom w:val="single" w:sz="4" w:space="0" w:color="DFA795"/>
            </w:tcBorders>
            <w:shd w:val="clear" w:color="auto" w:fill="FEFAF8"/>
          </w:tcPr>
          <w:p w14:paraId="170C7823" w14:textId="24F05A1E" w:rsidR="00CB58DE" w:rsidRPr="000F23E0" w:rsidRDefault="00CC43EF" w:rsidP="00C302D5">
            <w:pPr>
              <w:pStyle w:val="TableTextRight"/>
              <w:cnfStyle w:val="000000000000" w:firstRow="0" w:lastRow="0" w:firstColumn="0" w:lastColumn="0" w:oddVBand="0" w:evenVBand="0" w:oddHBand="0" w:evenHBand="0" w:firstRowFirstColumn="0" w:firstRowLastColumn="0" w:lastRowFirstColumn="0" w:lastRowLastColumn="0"/>
            </w:pPr>
            <w:r w:rsidRPr="000F23E0">
              <w:t>4.4</w:t>
            </w:r>
            <w:r w:rsidR="00AA1F43" w:rsidRPr="000F23E0">
              <w:rPr>
                <w:vertAlign w:val="superscript"/>
              </w:rPr>
              <w:t>(b)</w:t>
            </w:r>
          </w:p>
        </w:tc>
        <w:tc>
          <w:tcPr>
            <w:tcW w:w="1985" w:type="dxa"/>
            <w:tcBorders>
              <w:top w:val="single" w:sz="4" w:space="0" w:color="DFA795"/>
              <w:bottom w:val="single" w:sz="4" w:space="0" w:color="DFA795"/>
            </w:tcBorders>
            <w:shd w:val="clear" w:color="auto" w:fill="FEFAF8"/>
          </w:tcPr>
          <w:p w14:paraId="546989F7" w14:textId="37E93141" w:rsidR="00CB58DE" w:rsidRPr="000F23E0" w:rsidRDefault="00CB58DE" w:rsidP="00C302D5">
            <w:pPr>
              <w:pStyle w:val="TableTextRight"/>
              <w:cnfStyle w:val="000000000000" w:firstRow="0" w:lastRow="0" w:firstColumn="0" w:lastColumn="0" w:oddVBand="0" w:evenVBand="0" w:oddHBand="0" w:evenHBand="0" w:firstRowFirstColumn="0" w:firstRowLastColumn="0" w:lastRowFirstColumn="0" w:lastRowLastColumn="0"/>
            </w:pPr>
            <w:r w:rsidRPr="000F23E0">
              <w:t>100.2</w:t>
            </w:r>
          </w:p>
        </w:tc>
        <w:tc>
          <w:tcPr>
            <w:tcW w:w="1278" w:type="dxa"/>
            <w:tcBorders>
              <w:top w:val="single" w:sz="4" w:space="0" w:color="DFA795"/>
              <w:bottom w:val="single" w:sz="4" w:space="0" w:color="DFA795"/>
            </w:tcBorders>
            <w:shd w:val="clear" w:color="auto" w:fill="FEFAF8"/>
          </w:tcPr>
          <w:p w14:paraId="6FDEABDC" w14:textId="17307338" w:rsidR="00CB58DE" w:rsidRPr="000F23E0" w:rsidRDefault="00CB58DE" w:rsidP="00C302D5">
            <w:pPr>
              <w:pStyle w:val="TableTextRight"/>
              <w:cnfStyle w:val="000000000000" w:firstRow="0" w:lastRow="0" w:firstColumn="0" w:lastColumn="0" w:oddVBand="0" w:evenVBand="0" w:oddHBand="0" w:evenHBand="0" w:firstRowFirstColumn="0" w:firstRowLastColumn="0" w:lastRowFirstColumn="0" w:lastRowLastColumn="0"/>
            </w:pPr>
            <w:r w:rsidRPr="000F23E0">
              <w:t>256.7</w:t>
            </w:r>
          </w:p>
        </w:tc>
      </w:tr>
      <w:tr w:rsidR="00CB58DE" w:rsidRPr="000F23E0" w14:paraId="42C885F9" w14:textId="77777777" w:rsidTr="00990E2A">
        <w:trPr>
          <w:trHeight w:val="265"/>
        </w:trPr>
        <w:tc>
          <w:tcPr>
            <w:cnfStyle w:val="001000000000" w:firstRow="0" w:lastRow="0" w:firstColumn="1" w:lastColumn="0" w:oddVBand="0" w:evenVBand="0" w:oddHBand="0" w:evenHBand="0" w:firstRowFirstColumn="0" w:firstRowLastColumn="0" w:lastRowFirstColumn="0" w:lastRowLastColumn="0"/>
            <w:tcW w:w="2547" w:type="dxa"/>
            <w:tcBorders>
              <w:top w:val="single" w:sz="4" w:space="0" w:color="DFA795"/>
            </w:tcBorders>
            <w:shd w:val="clear" w:color="auto" w:fill="FDF0E7"/>
          </w:tcPr>
          <w:p w14:paraId="63D29A3E" w14:textId="2A7A2E74" w:rsidR="00CB58DE" w:rsidRPr="000F23E0" w:rsidRDefault="00CB58DE" w:rsidP="00C302D5">
            <w:pPr>
              <w:pStyle w:val="TableTextLeft"/>
              <w:rPr>
                <w:b/>
                <w:bCs w:val="0"/>
              </w:rPr>
            </w:pPr>
            <w:r w:rsidRPr="000F23E0">
              <w:rPr>
                <w:b/>
                <w:bCs w:val="0"/>
              </w:rPr>
              <w:t>Total</w:t>
            </w:r>
          </w:p>
        </w:tc>
        <w:tc>
          <w:tcPr>
            <w:tcW w:w="1843" w:type="dxa"/>
            <w:tcBorders>
              <w:top w:val="single" w:sz="4" w:space="0" w:color="DFA795"/>
            </w:tcBorders>
            <w:shd w:val="clear" w:color="auto" w:fill="FEFAF8"/>
          </w:tcPr>
          <w:p w14:paraId="4482A523" w14:textId="0E7BC5A8" w:rsidR="00CB58DE" w:rsidRPr="000F23E0" w:rsidRDefault="00DE7BF1" w:rsidP="00C302D5">
            <w:pPr>
              <w:pStyle w:val="TableTextRight"/>
              <w:cnfStyle w:val="000000000000" w:firstRow="0" w:lastRow="0" w:firstColumn="0" w:lastColumn="0" w:oddVBand="0" w:evenVBand="0" w:oddHBand="0" w:evenHBand="0" w:firstRowFirstColumn="0" w:firstRowLastColumn="0" w:lastRowFirstColumn="0" w:lastRowLastColumn="0"/>
              <w:rPr>
                <w:b/>
                <w:bCs/>
              </w:rPr>
            </w:pPr>
            <w:r w:rsidRPr="000F23E0">
              <w:rPr>
                <w:b/>
                <w:bCs/>
              </w:rPr>
              <w:t>14.3</w:t>
            </w:r>
          </w:p>
        </w:tc>
        <w:tc>
          <w:tcPr>
            <w:tcW w:w="1417" w:type="dxa"/>
            <w:tcBorders>
              <w:top w:val="single" w:sz="4" w:space="0" w:color="DFA795"/>
            </w:tcBorders>
            <w:shd w:val="clear" w:color="auto" w:fill="FEFAF8"/>
          </w:tcPr>
          <w:p w14:paraId="77E88032" w14:textId="2C54D1FD" w:rsidR="00CB58DE" w:rsidRPr="000F23E0" w:rsidRDefault="00CC43EF" w:rsidP="00C302D5">
            <w:pPr>
              <w:pStyle w:val="TableTextRight"/>
              <w:cnfStyle w:val="000000000000" w:firstRow="0" w:lastRow="0" w:firstColumn="0" w:lastColumn="0" w:oddVBand="0" w:evenVBand="0" w:oddHBand="0" w:evenHBand="0" w:firstRowFirstColumn="0" w:firstRowLastColumn="0" w:lastRowFirstColumn="0" w:lastRowLastColumn="0"/>
              <w:rPr>
                <w:b/>
                <w:bCs/>
              </w:rPr>
            </w:pPr>
            <w:r w:rsidRPr="000F23E0">
              <w:rPr>
                <w:b/>
                <w:bCs/>
              </w:rPr>
              <w:t>7.7</w:t>
            </w:r>
            <w:r w:rsidR="00220626" w:rsidRPr="000F23E0">
              <w:rPr>
                <w:b/>
                <w:bCs/>
                <w:vertAlign w:val="superscript"/>
              </w:rPr>
              <w:t>(c)</w:t>
            </w:r>
          </w:p>
        </w:tc>
        <w:tc>
          <w:tcPr>
            <w:tcW w:w="1985" w:type="dxa"/>
            <w:tcBorders>
              <w:top w:val="single" w:sz="4" w:space="0" w:color="DFA795"/>
            </w:tcBorders>
            <w:shd w:val="clear" w:color="auto" w:fill="FEFAF8"/>
          </w:tcPr>
          <w:p w14:paraId="2D8AE617" w14:textId="329413A8" w:rsidR="00CB58DE" w:rsidRPr="000F23E0" w:rsidRDefault="00CB58DE" w:rsidP="00C302D5">
            <w:pPr>
              <w:pStyle w:val="TableTextRight"/>
              <w:cnfStyle w:val="000000000000" w:firstRow="0" w:lastRow="0" w:firstColumn="0" w:lastColumn="0" w:oddVBand="0" w:evenVBand="0" w:oddHBand="0" w:evenHBand="0" w:firstRowFirstColumn="0" w:firstRowLastColumn="0" w:lastRowFirstColumn="0" w:lastRowLastColumn="0"/>
              <w:rPr>
                <w:b/>
                <w:bCs/>
              </w:rPr>
            </w:pPr>
            <w:r w:rsidRPr="000F23E0">
              <w:rPr>
                <w:b/>
                <w:bCs/>
              </w:rPr>
              <w:t>128.1</w:t>
            </w:r>
          </w:p>
        </w:tc>
        <w:tc>
          <w:tcPr>
            <w:tcW w:w="1278" w:type="dxa"/>
            <w:tcBorders>
              <w:top w:val="single" w:sz="4" w:space="0" w:color="DFA795"/>
            </w:tcBorders>
            <w:shd w:val="clear" w:color="auto" w:fill="FEFAF8"/>
          </w:tcPr>
          <w:p w14:paraId="44A9D7CC" w14:textId="2FFE797D" w:rsidR="00CB58DE" w:rsidRPr="000F23E0" w:rsidRDefault="00CB58DE" w:rsidP="00C302D5">
            <w:pPr>
              <w:pStyle w:val="TableTextRight"/>
              <w:cnfStyle w:val="000000000000" w:firstRow="0" w:lastRow="0" w:firstColumn="0" w:lastColumn="0" w:oddVBand="0" w:evenVBand="0" w:oddHBand="0" w:evenHBand="0" w:firstRowFirstColumn="0" w:firstRowLastColumn="0" w:lastRowFirstColumn="0" w:lastRowLastColumn="0"/>
              <w:rPr>
                <w:b/>
                <w:bCs/>
              </w:rPr>
            </w:pPr>
            <w:r w:rsidRPr="000F23E0">
              <w:rPr>
                <w:b/>
                <w:bCs/>
              </w:rPr>
              <w:t>293.</w:t>
            </w:r>
            <w:r w:rsidR="00147CB9" w:rsidRPr="000F23E0">
              <w:rPr>
                <w:b/>
                <w:bCs/>
              </w:rPr>
              <w:t>8</w:t>
            </w:r>
          </w:p>
        </w:tc>
      </w:tr>
    </w:tbl>
    <w:p w14:paraId="140EEEC4" w14:textId="74150DB0" w:rsidR="00220626" w:rsidRPr="000F23E0" w:rsidRDefault="007D68DE" w:rsidP="00C302D5">
      <w:pPr>
        <w:pStyle w:val="ChartandTableFootnoteAlpha"/>
        <w:numPr>
          <w:ilvl w:val="0"/>
          <w:numId w:val="13"/>
        </w:numPr>
      </w:pPr>
      <w:r w:rsidRPr="000F23E0">
        <w:t>Expenditure for this component is not finalised and does not yet align with the reported value of $29 million.</w:t>
      </w:r>
    </w:p>
    <w:p w14:paraId="21C88BA2" w14:textId="4D089314" w:rsidR="00ED3691" w:rsidRPr="000F23E0" w:rsidRDefault="00AA2A38" w:rsidP="00C302D5">
      <w:pPr>
        <w:pStyle w:val="ChartandTableFootnoteAlpha"/>
        <w:numPr>
          <w:ilvl w:val="0"/>
          <w:numId w:val="13"/>
        </w:numPr>
      </w:pPr>
      <w:r w:rsidRPr="000F23E0">
        <w:t xml:space="preserve">Only includes </w:t>
      </w:r>
      <w:r w:rsidR="00700760" w:rsidRPr="000F23E0">
        <w:t>Round 1 project costs. </w:t>
      </w:r>
    </w:p>
    <w:p w14:paraId="5F36820B" w14:textId="45ACE419" w:rsidR="001226AC" w:rsidRPr="000F23E0" w:rsidRDefault="001D024C" w:rsidP="00C302D5">
      <w:pPr>
        <w:pStyle w:val="ChartandTableFootnoteAlpha"/>
      </w:pPr>
      <w:r w:rsidRPr="000F23E0">
        <w:t>Note some of the</w:t>
      </w:r>
      <w:r w:rsidR="00400EE9" w:rsidRPr="000F23E0">
        <w:t xml:space="preserve"> 2024</w:t>
      </w:r>
      <w:r w:rsidR="001055D5" w:rsidRPr="000F23E0">
        <w:t>–</w:t>
      </w:r>
      <w:r w:rsidR="00400EE9" w:rsidRPr="000F23E0">
        <w:t>25</w:t>
      </w:r>
      <w:r w:rsidRPr="000F23E0">
        <w:t xml:space="preserve"> tota</w:t>
      </w:r>
      <w:r w:rsidR="00400EE9" w:rsidRPr="000F23E0">
        <w:t>l allocation does</w:t>
      </w:r>
      <w:r w:rsidRPr="000F23E0">
        <w:t xml:space="preserve"> </w:t>
      </w:r>
      <w:r w:rsidR="00400EE9" w:rsidRPr="000F23E0">
        <w:t>not add up to 7.8 due to rounding.</w:t>
      </w:r>
    </w:p>
    <w:p w14:paraId="25A18817" w14:textId="7ACD75B7" w:rsidR="00ED3691" w:rsidRPr="000F23E0" w:rsidRDefault="00ED3691" w:rsidP="007143C1">
      <w:pPr>
        <w:pStyle w:val="Heading4"/>
      </w:pPr>
      <w:r w:rsidRPr="000F23E0">
        <w:t>Co</w:t>
      </w:r>
      <w:r w:rsidR="002C4475" w:rsidRPr="000F23E0">
        <w:noBreakHyphen/>
      </w:r>
      <w:r w:rsidRPr="000F23E0">
        <w:t xml:space="preserve">financing </w:t>
      </w:r>
      <w:r w:rsidR="00E34586" w:rsidRPr="000F23E0">
        <w:t>a</w:t>
      </w:r>
      <w:r w:rsidRPr="000F23E0">
        <w:t>rrangements</w:t>
      </w:r>
    </w:p>
    <w:p w14:paraId="40EEA3B6" w14:textId="5F9E154C" w:rsidR="00ED3691" w:rsidRPr="000F23E0" w:rsidRDefault="00393957" w:rsidP="00ED3691">
      <w:r w:rsidRPr="000F23E0">
        <w:t>Community</w:t>
      </w:r>
      <w:r w:rsidR="00ED3691" w:rsidRPr="000F23E0">
        <w:t xml:space="preserve"> Batteries </w:t>
      </w:r>
      <w:r w:rsidR="004D371C" w:rsidRPr="000F23E0">
        <w:t>sub</w:t>
      </w:r>
      <w:r w:rsidR="002C4475" w:rsidRPr="000F23E0">
        <w:noBreakHyphen/>
      </w:r>
      <w:r w:rsidR="004D371C" w:rsidRPr="000F23E0">
        <w:t>projects</w:t>
      </w:r>
      <w:r w:rsidR="00ED3691" w:rsidRPr="000F23E0">
        <w:t xml:space="preserve"> can be co</w:t>
      </w:r>
      <w:r w:rsidR="002C4475" w:rsidRPr="000F23E0">
        <w:noBreakHyphen/>
      </w:r>
      <w:r w:rsidR="00ED3691" w:rsidRPr="000F23E0">
        <w:t xml:space="preserve">financed with project proponents. </w:t>
      </w:r>
      <w:r w:rsidR="007D45CA" w:rsidRPr="000F23E0">
        <w:t>Where total project costs are above the grant amount, the grantees are responsible for the difference. This amount can be funded from the grantee or from project partners.</w:t>
      </w:r>
    </w:p>
    <w:p w14:paraId="1E0B504A" w14:textId="67594990" w:rsidR="00ED3691" w:rsidRPr="000F23E0" w:rsidRDefault="00ED3691" w:rsidP="007143C1">
      <w:pPr>
        <w:pStyle w:val="Heading4"/>
      </w:pPr>
      <w:r w:rsidRPr="000F23E0">
        <w:t xml:space="preserve">Material </w:t>
      </w:r>
      <w:r w:rsidR="00E34586" w:rsidRPr="000F23E0">
        <w:t>r</w:t>
      </w:r>
      <w:r w:rsidRPr="000F23E0">
        <w:t>isks</w:t>
      </w:r>
    </w:p>
    <w:p w14:paraId="3313F230" w14:textId="35A29F0E" w:rsidR="00ED3691" w:rsidRPr="000F23E0" w:rsidRDefault="00ED3691" w:rsidP="001E5011">
      <w:r w:rsidRPr="000F23E0">
        <w:t xml:space="preserve">No material risks have been identified </w:t>
      </w:r>
      <w:r w:rsidR="005C76CE" w:rsidRPr="000F23E0">
        <w:t xml:space="preserve">in </w:t>
      </w:r>
      <w:r w:rsidRPr="000F23E0">
        <w:t>deliver</w:t>
      </w:r>
      <w:r w:rsidR="005C76CE" w:rsidRPr="000F23E0">
        <w:t>ing</w:t>
      </w:r>
      <w:r w:rsidRPr="000F23E0">
        <w:t xml:space="preserve"> </w:t>
      </w:r>
      <w:r w:rsidR="00393957" w:rsidRPr="000F23E0">
        <w:t>Community Batteries</w:t>
      </w:r>
      <w:r w:rsidRPr="000F23E0">
        <w:t>.</w:t>
      </w:r>
      <w:r w:rsidR="00472E31" w:rsidRPr="000F23E0">
        <w:t xml:space="preserve"> A small number of projects have identified siting issues and grantees are working through options for alternative siting</w:t>
      </w:r>
      <w:r w:rsidRPr="000F23E0">
        <w:t>.</w:t>
      </w:r>
    </w:p>
    <w:p w14:paraId="339C4869" w14:textId="77777777" w:rsidR="00C302D5" w:rsidRPr="000F23E0" w:rsidRDefault="00C302D5" w:rsidP="00122F14">
      <w:r w:rsidRPr="000F23E0">
        <w:br w:type="page"/>
      </w:r>
    </w:p>
    <w:p w14:paraId="1F3EE3F8" w14:textId="34F845D8" w:rsidR="00ED3691" w:rsidRPr="000F23E0" w:rsidRDefault="00ED3691" w:rsidP="007143C1">
      <w:pPr>
        <w:pStyle w:val="Heading3"/>
      </w:pPr>
      <w:r w:rsidRPr="000F23E0">
        <w:lastRenderedPageBreak/>
        <w:t xml:space="preserve">Project </w:t>
      </w:r>
      <w:r w:rsidR="00C23CC4" w:rsidRPr="000F23E0">
        <w:t>i</w:t>
      </w:r>
      <w:r w:rsidRPr="000F23E0">
        <w:t>mpacts</w:t>
      </w:r>
    </w:p>
    <w:p w14:paraId="4ABC7457" w14:textId="790C5AE6" w:rsidR="00ED3691" w:rsidRPr="000F23E0" w:rsidRDefault="00ED3691" w:rsidP="00AF05A1">
      <w:r w:rsidRPr="000F23E0">
        <w:t>Once online, the batteries will have a</w:t>
      </w:r>
      <w:r w:rsidR="001160B2" w:rsidRPr="000F23E0">
        <w:t>n</w:t>
      </w:r>
      <w:r w:rsidRPr="000F23E0">
        <w:t xml:space="preserve"> impact on local network constraints and expand rooftop solar capacity, reduce emissions and reduce electricity costs for consumers. The batteries will reduce pressure on the electricity grid and absorb excess energy that </w:t>
      </w:r>
      <w:r w:rsidR="003F0D8D" w:rsidRPr="000F23E0">
        <w:t xml:space="preserve">could </w:t>
      </w:r>
      <w:r w:rsidRPr="000F23E0">
        <w:t xml:space="preserve">cause voltage spikes. </w:t>
      </w:r>
      <w:r w:rsidR="00611CEF" w:rsidRPr="000F23E0">
        <w:t>GTB</w:t>
      </w:r>
      <w:r w:rsidRPr="000F23E0">
        <w:t xml:space="preserve">s financed </w:t>
      </w:r>
      <w:r w:rsidR="00CF4281" w:rsidRPr="000F23E0">
        <w:t>3</w:t>
      </w:r>
      <w:r w:rsidR="00285846" w:rsidRPr="000F23E0">
        <w:t>1</w:t>
      </w:r>
      <w:r w:rsidR="682191B9" w:rsidRPr="000F23E0">
        <w:t xml:space="preserve"> </w:t>
      </w:r>
      <w:r w:rsidR="00393957" w:rsidRPr="000F23E0">
        <w:t>Community Batteries</w:t>
      </w:r>
      <w:r w:rsidRPr="000F23E0">
        <w:t xml:space="preserve"> </w:t>
      </w:r>
      <w:r w:rsidR="51D5B819" w:rsidRPr="000F23E0">
        <w:t>in 2024</w:t>
      </w:r>
      <w:r w:rsidR="001055D5" w:rsidRPr="000F23E0">
        <w:t>–</w:t>
      </w:r>
      <w:r w:rsidR="51D5B819" w:rsidRPr="000F23E0">
        <w:t>25</w:t>
      </w:r>
      <w:r w:rsidRPr="000F23E0">
        <w:t xml:space="preserve">. </w:t>
      </w:r>
    </w:p>
    <w:p w14:paraId="3AC7FFE1" w14:textId="748517CD" w:rsidR="00ED3691" w:rsidRPr="000F23E0" w:rsidRDefault="00ED3691" w:rsidP="00551F72">
      <w:pPr>
        <w:pStyle w:val="TableMainHeading"/>
      </w:pPr>
      <w:bookmarkStart w:id="149" w:name="_Toc220662874"/>
      <w:bookmarkStart w:id="150" w:name="_Toc224637806"/>
      <w:bookmarkStart w:id="151" w:name="_Toc224642470"/>
      <w:bookmarkStart w:id="152" w:name="_Toc225153446"/>
      <w:bookmarkStart w:id="153" w:name="_Toc225154492"/>
      <w:bookmarkStart w:id="154" w:name="_Toc225155757"/>
      <w:r w:rsidRPr="000F23E0">
        <w:t xml:space="preserve">Table </w:t>
      </w:r>
      <w:r w:rsidR="00BB5037" w:rsidRPr="000F23E0">
        <w:t>14</w:t>
      </w:r>
      <w:r w:rsidR="00627058" w:rsidRPr="000F23E0">
        <w:t>:</w:t>
      </w:r>
      <w:r w:rsidRPr="000F23E0">
        <w:t xml:space="preserve"> Impact </w:t>
      </w:r>
      <w:r w:rsidR="003F0D8D" w:rsidRPr="000F23E0">
        <w:t>d</w:t>
      </w:r>
      <w:r w:rsidRPr="000F23E0">
        <w:t xml:space="preserve">ata for </w:t>
      </w:r>
      <w:bookmarkEnd w:id="149"/>
      <w:r w:rsidR="00393957" w:rsidRPr="000F23E0">
        <w:t>Community Batteries</w:t>
      </w:r>
      <w:bookmarkEnd w:id="150"/>
      <w:bookmarkEnd w:id="151"/>
      <w:bookmarkEnd w:id="152"/>
      <w:bookmarkEnd w:id="153"/>
      <w:bookmarkEnd w:id="154"/>
    </w:p>
    <w:tbl>
      <w:tblPr>
        <w:tblStyle w:val="GridTable4-Accent2"/>
        <w:tblW w:w="5000" w:type="pct"/>
        <w:tblInd w:w="5" w:type="dxa"/>
        <w:tblBorders>
          <w:top w:val="single" w:sz="4" w:space="0" w:color="DFA795"/>
          <w:bottom w:val="single" w:sz="4" w:space="0" w:color="DFA795"/>
        </w:tblBorders>
        <w:tblLayout w:type="fixed"/>
        <w:tblLook w:val="04A0" w:firstRow="1" w:lastRow="0" w:firstColumn="1" w:lastColumn="0" w:noHBand="0" w:noVBand="1"/>
      </w:tblPr>
      <w:tblGrid>
        <w:gridCol w:w="4106"/>
        <w:gridCol w:w="1559"/>
        <w:gridCol w:w="1843"/>
        <w:gridCol w:w="1562"/>
      </w:tblGrid>
      <w:tr w:rsidR="00D45649" w:rsidRPr="000F23E0" w14:paraId="1F290BF1" w14:textId="77777777" w:rsidTr="00C71B7B">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106" w:type="dxa"/>
            <w:tcBorders>
              <w:bottom w:val="single" w:sz="4" w:space="0" w:color="DFA795"/>
            </w:tcBorders>
            <w:shd w:val="clear" w:color="auto" w:fill="F1D0C6"/>
          </w:tcPr>
          <w:p w14:paraId="25B01F26" w14:textId="23F72DF4" w:rsidR="00ED3691" w:rsidRPr="000F23E0" w:rsidRDefault="00ED3691" w:rsidP="00C302D5">
            <w:pPr>
              <w:pStyle w:val="TableColumnHeadingLeft"/>
              <w:rPr>
                <w:b/>
                <w:bCs w:val="0"/>
              </w:rPr>
            </w:pPr>
            <w:r w:rsidRPr="000F23E0">
              <w:rPr>
                <w:b/>
                <w:bCs w:val="0"/>
              </w:rPr>
              <w:t>Metric</w:t>
            </w:r>
          </w:p>
        </w:tc>
        <w:tc>
          <w:tcPr>
            <w:tcW w:w="1559" w:type="dxa"/>
            <w:tcBorders>
              <w:bottom w:val="single" w:sz="4" w:space="0" w:color="DFA795"/>
            </w:tcBorders>
            <w:shd w:val="clear" w:color="auto" w:fill="F1D0C6"/>
          </w:tcPr>
          <w:p w14:paraId="70A7C86C" w14:textId="31A6EA78" w:rsidR="00ED3691" w:rsidRPr="000F23E0" w:rsidRDefault="009D512B" w:rsidP="00C302D5">
            <w:pPr>
              <w:pStyle w:val="TableColumnHeadingRight"/>
              <w:cnfStyle w:val="100000000000" w:firstRow="1" w:lastRow="0" w:firstColumn="0" w:lastColumn="0" w:oddVBand="0" w:evenVBand="0" w:oddHBand="0" w:evenHBand="0" w:firstRowFirstColumn="0" w:firstRowLastColumn="0" w:lastRowFirstColumn="0" w:lastRowLastColumn="0"/>
              <w:rPr>
                <w:b/>
                <w:bCs w:val="0"/>
              </w:rPr>
            </w:pPr>
            <w:r w:rsidRPr="000F23E0">
              <w:rPr>
                <w:b/>
                <w:bCs w:val="0"/>
              </w:rPr>
              <w:t>Value</w:t>
            </w:r>
          </w:p>
        </w:tc>
        <w:tc>
          <w:tcPr>
            <w:tcW w:w="1843" w:type="dxa"/>
            <w:tcBorders>
              <w:bottom w:val="single" w:sz="4" w:space="0" w:color="DFA795"/>
            </w:tcBorders>
            <w:shd w:val="clear" w:color="auto" w:fill="F1D0C6"/>
          </w:tcPr>
          <w:p w14:paraId="6FC0CC58" w14:textId="77777777" w:rsidR="00ED3691" w:rsidRPr="000F23E0" w:rsidRDefault="00ED3691" w:rsidP="00C302D5">
            <w:pPr>
              <w:pStyle w:val="TableColumnHeadingRight"/>
              <w:cnfStyle w:val="100000000000" w:firstRow="1" w:lastRow="0" w:firstColumn="0" w:lastColumn="0" w:oddVBand="0" w:evenVBand="0" w:oddHBand="0" w:evenHBand="0" w:firstRowFirstColumn="0" w:firstRowLastColumn="0" w:lastRowFirstColumn="0" w:lastRowLastColumn="0"/>
              <w:rPr>
                <w:b/>
                <w:bCs w:val="0"/>
              </w:rPr>
            </w:pPr>
            <w:r w:rsidRPr="000F23E0">
              <w:rPr>
                <w:b/>
                <w:bCs w:val="0"/>
              </w:rPr>
              <w:t>Record/ Projected</w:t>
            </w:r>
          </w:p>
        </w:tc>
        <w:tc>
          <w:tcPr>
            <w:tcW w:w="1562" w:type="dxa"/>
            <w:tcBorders>
              <w:bottom w:val="single" w:sz="4" w:space="0" w:color="DFA795"/>
            </w:tcBorders>
            <w:shd w:val="clear" w:color="auto" w:fill="F1D0C6"/>
          </w:tcPr>
          <w:p w14:paraId="526C4893" w14:textId="77777777" w:rsidR="00ED3691" w:rsidRPr="000F23E0" w:rsidRDefault="00ED3691" w:rsidP="00C302D5">
            <w:pPr>
              <w:pStyle w:val="TableColumnHeadingRight"/>
              <w:cnfStyle w:val="100000000000" w:firstRow="1" w:lastRow="0" w:firstColumn="0" w:lastColumn="0" w:oddVBand="0" w:evenVBand="0" w:oddHBand="0" w:evenHBand="0" w:firstRowFirstColumn="0" w:firstRowLastColumn="0" w:lastRowFirstColumn="0" w:lastRowLastColumn="0"/>
              <w:rPr>
                <w:b/>
                <w:bCs w:val="0"/>
              </w:rPr>
            </w:pPr>
            <w:r w:rsidRPr="000F23E0">
              <w:rPr>
                <w:b/>
                <w:bCs w:val="0"/>
              </w:rPr>
              <w:t>Time Period</w:t>
            </w:r>
          </w:p>
        </w:tc>
      </w:tr>
      <w:tr w:rsidR="00D45649" w:rsidRPr="000F23E0" w14:paraId="0DA8741D" w14:textId="77777777" w:rsidTr="00C71B7B">
        <w:trPr>
          <w:trHeight w:val="196"/>
        </w:trPr>
        <w:tc>
          <w:tcPr>
            <w:cnfStyle w:val="001000000000" w:firstRow="0" w:lastRow="0" w:firstColumn="1" w:lastColumn="0" w:oddVBand="0" w:evenVBand="0" w:oddHBand="0" w:evenHBand="0" w:firstRowFirstColumn="0" w:firstRowLastColumn="0" w:lastRowFirstColumn="0" w:lastRowLastColumn="0"/>
            <w:tcW w:w="4106" w:type="dxa"/>
            <w:tcBorders>
              <w:top w:val="single" w:sz="4" w:space="0" w:color="DFA795"/>
              <w:bottom w:val="single" w:sz="4" w:space="0" w:color="DFA795"/>
            </w:tcBorders>
            <w:shd w:val="clear" w:color="auto" w:fill="FDF0E7"/>
          </w:tcPr>
          <w:p w14:paraId="63EA5793" w14:textId="5DF26FAE" w:rsidR="00117F9E" w:rsidRPr="000F23E0" w:rsidRDefault="00771E9C" w:rsidP="00C302D5">
            <w:pPr>
              <w:pStyle w:val="TableTextLeft"/>
              <w:rPr>
                <w:rFonts w:eastAsia="Calibri"/>
              </w:rPr>
            </w:pPr>
            <w:r w:rsidRPr="000F23E0">
              <w:rPr>
                <w:rFonts w:eastAsia="Calibri"/>
              </w:rPr>
              <w:t xml:space="preserve">Energy </w:t>
            </w:r>
            <w:r w:rsidR="00D6625A" w:rsidRPr="000F23E0">
              <w:rPr>
                <w:rFonts w:eastAsia="Calibri"/>
              </w:rPr>
              <w:t>s</w:t>
            </w:r>
            <w:r w:rsidRPr="000F23E0">
              <w:rPr>
                <w:rFonts w:eastAsia="Calibri"/>
              </w:rPr>
              <w:t xml:space="preserve">torage </w:t>
            </w:r>
            <w:r w:rsidR="00D6625A" w:rsidRPr="000F23E0">
              <w:rPr>
                <w:rFonts w:eastAsia="Calibri"/>
              </w:rPr>
              <w:t>c</w:t>
            </w:r>
            <w:r w:rsidRPr="000F23E0">
              <w:rPr>
                <w:rFonts w:eastAsia="Calibri"/>
              </w:rPr>
              <w:t xml:space="preserve">apacity </w:t>
            </w:r>
            <w:r w:rsidR="00C8277C" w:rsidRPr="000F23E0">
              <w:rPr>
                <w:rFonts w:eastAsia="Calibri"/>
              </w:rPr>
              <w:t>(</w:t>
            </w:r>
            <w:r w:rsidR="00117F9E" w:rsidRPr="000F23E0">
              <w:rPr>
                <w:rFonts w:eastAsia="Calibri"/>
              </w:rPr>
              <w:t>MW/MWh</w:t>
            </w:r>
            <w:r w:rsidR="00C8277C" w:rsidRPr="000F23E0">
              <w:rPr>
                <w:rFonts w:eastAsia="Calibri"/>
              </w:rPr>
              <w:t>)</w:t>
            </w:r>
          </w:p>
        </w:tc>
        <w:tc>
          <w:tcPr>
            <w:tcW w:w="1559" w:type="dxa"/>
            <w:tcBorders>
              <w:top w:val="single" w:sz="4" w:space="0" w:color="DFA795"/>
              <w:bottom w:val="single" w:sz="4" w:space="0" w:color="DFA795"/>
            </w:tcBorders>
            <w:shd w:val="clear" w:color="auto" w:fill="FEFAF8"/>
          </w:tcPr>
          <w:p w14:paraId="3608789E" w14:textId="193F7E21" w:rsidR="00ED3691" w:rsidRPr="000F23E0" w:rsidRDefault="00C11E71" w:rsidP="00C302D5">
            <w:pPr>
              <w:pStyle w:val="TableTextRight"/>
              <w:cnfStyle w:val="000000000000" w:firstRow="0" w:lastRow="0" w:firstColumn="0" w:lastColumn="0" w:oddVBand="0" w:evenVBand="0" w:oddHBand="0" w:evenHBand="0" w:firstRowFirstColumn="0" w:firstRowLastColumn="0" w:lastRowFirstColumn="0" w:lastRowLastColumn="0"/>
            </w:pPr>
            <w:r w:rsidRPr="000F23E0">
              <w:t>5</w:t>
            </w:r>
            <w:r w:rsidR="007A0998" w:rsidRPr="000F23E0">
              <w:t>.</w:t>
            </w:r>
            <w:r w:rsidRPr="000F23E0">
              <w:t>1</w:t>
            </w:r>
            <w:r w:rsidR="00A30BB7" w:rsidRPr="000F23E0">
              <w:t xml:space="preserve"> </w:t>
            </w:r>
            <w:r w:rsidR="00117F9E" w:rsidRPr="000F23E0">
              <w:t>/</w:t>
            </w:r>
            <w:r w:rsidR="00A30BB7" w:rsidRPr="000F23E0">
              <w:t xml:space="preserve"> </w:t>
            </w:r>
            <w:r w:rsidR="00ED3691" w:rsidRPr="000F23E0">
              <w:t>1</w:t>
            </w:r>
            <w:r w:rsidR="00EE28AB" w:rsidRPr="000F23E0">
              <w:t>2</w:t>
            </w:r>
            <w:r w:rsidR="00ED3691" w:rsidRPr="000F23E0">
              <w:t>.</w:t>
            </w:r>
            <w:r w:rsidR="00D63F21" w:rsidRPr="000F23E0">
              <w:t>0</w:t>
            </w:r>
          </w:p>
        </w:tc>
        <w:tc>
          <w:tcPr>
            <w:tcW w:w="1843" w:type="dxa"/>
            <w:tcBorders>
              <w:top w:val="single" w:sz="4" w:space="0" w:color="DFA795"/>
              <w:bottom w:val="single" w:sz="4" w:space="0" w:color="DFA795"/>
            </w:tcBorders>
            <w:shd w:val="clear" w:color="auto" w:fill="FEFAF8"/>
          </w:tcPr>
          <w:p w14:paraId="7E08211B" w14:textId="77777777" w:rsidR="00ED3691" w:rsidRPr="000F23E0" w:rsidRDefault="00ED3691" w:rsidP="00C302D5">
            <w:pPr>
              <w:pStyle w:val="TableTextRight"/>
              <w:cnfStyle w:val="000000000000" w:firstRow="0" w:lastRow="0" w:firstColumn="0" w:lastColumn="0" w:oddVBand="0" w:evenVBand="0" w:oddHBand="0" w:evenHBand="0" w:firstRowFirstColumn="0" w:firstRowLastColumn="0" w:lastRowFirstColumn="0" w:lastRowLastColumn="0"/>
            </w:pPr>
            <w:r w:rsidRPr="000F23E0">
              <w:t>Recorded</w:t>
            </w:r>
          </w:p>
        </w:tc>
        <w:tc>
          <w:tcPr>
            <w:tcW w:w="1562" w:type="dxa"/>
            <w:tcBorders>
              <w:top w:val="single" w:sz="4" w:space="0" w:color="DFA795"/>
              <w:bottom w:val="single" w:sz="4" w:space="0" w:color="DFA795"/>
            </w:tcBorders>
            <w:shd w:val="clear" w:color="auto" w:fill="FEFAF8"/>
          </w:tcPr>
          <w:p w14:paraId="18EB159A" w14:textId="15C57858" w:rsidR="00ED3691" w:rsidRPr="000F23E0" w:rsidRDefault="00EE28AB" w:rsidP="00C302D5">
            <w:pPr>
              <w:pStyle w:val="TableTextRight"/>
              <w:cnfStyle w:val="000000000000" w:firstRow="0" w:lastRow="0" w:firstColumn="0" w:lastColumn="0" w:oddVBand="0" w:evenVBand="0" w:oddHBand="0" w:evenHBand="0" w:firstRowFirstColumn="0" w:firstRowLastColumn="0" w:lastRowFirstColumn="0" w:lastRowLastColumn="0"/>
            </w:pPr>
            <w:r w:rsidRPr="000F23E0">
              <w:t>2024</w:t>
            </w:r>
            <w:r w:rsidR="001055D5" w:rsidRPr="000F23E0">
              <w:t>–</w:t>
            </w:r>
            <w:r w:rsidRPr="000F23E0">
              <w:t>25</w:t>
            </w:r>
          </w:p>
        </w:tc>
      </w:tr>
      <w:tr w:rsidR="00252767" w:rsidRPr="000F23E0" w14:paraId="64D83541" w14:textId="77777777" w:rsidTr="00C71B7B">
        <w:trPr>
          <w:trHeight w:val="196"/>
        </w:trPr>
        <w:tc>
          <w:tcPr>
            <w:cnfStyle w:val="001000000000" w:firstRow="0" w:lastRow="0" w:firstColumn="1" w:lastColumn="0" w:oddVBand="0" w:evenVBand="0" w:oddHBand="0" w:evenHBand="0" w:firstRowFirstColumn="0" w:firstRowLastColumn="0" w:lastRowFirstColumn="0" w:lastRowLastColumn="0"/>
            <w:tcW w:w="4106" w:type="dxa"/>
            <w:tcBorders>
              <w:top w:val="single" w:sz="4" w:space="0" w:color="DFA795"/>
            </w:tcBorders>
            <w:shd w:val="clear" w:color="auto" w:fill="FDF0E7"/>
          </w:tcPr>
          <w:p w14:paraId="63373FDB" w14:textId="38B3551B" w:rsidR="00252767" w:rsidRPr="000F23E0" w:rsidRDefault="00252767" w:rsidP="00C302D5">
            <w:pPr>
              <w:pStyle w:val="TableTextLeft"/>
              <w:rPr>
                <w:rFonts w:eastAsia="Calibri"/>
              </w:rPr>
            </w:pPr>
            <w:r w:rsidRPr="000F23E0">
              <w:rPr>
                <w:rFonts w:eastAsia="Calibri"/>
              </w:rPr>
              <w:t xml:space="preserve">Number of </w:t>
            </w:r>
            <w:r w:rsidR="00393957" w:rsidRPr="000F23E0">
              <w:rPr>
                <w:rFonts w:eastAsia="Calibri"/>
              </w:rPr>
              <w:t>Community Batteries</w:t>
            </w:r>
            <w:r w:rsidRPr="000F23E0">
              <w:rPr>
                <w:rFonts w:eastAsia="Calibri"/>
              </w:rPr>
              <w:t xml:space="preserve"> deployed</w:t>
            </w:r>
          </w:p>
        </w:tc>
        <w:tc>
          <w:tcPr>
            <w:tcW w:w="1559" w:type="dxa"/>
            <w:tcBorders>
              <w:top w:val="single" w:sz="4" w:space="0" w:color="DFA795"/>
            </w:tcBorders>
            <w:shd w:val="clear" w:color="auto" w:fill="FEFAF8"/>
          </w:tcPr>
          <w:p w14:paraId="7579B3E2" w14:textId="475EFEA0" w:rsidR="00252767" w:rsidRPr="000F23E0" w:rsidRDefault="00C45928" w:rsidP="00C302D5">
            <w:pPr>
              <w:pStyle w:val="TableTextRight"/>
              <w:cnfStyle w:val="000000000000" w:firstRow="0" w:lastRow="0" w:firstColumn="0" w:lastColumn="0" w:oddVBand="0" w:evenVBand="0" w:oddHBand="0" w:evenHBand="0" w:firstRowFirstColumn="0" w:firstRowLastColumn="0" w:lastRowFirstColumn="0" w:lastRowLastColumn="0"/>
            </w:pPr>
            <w:r w:rsidRPr="000F23E0">
              <w:t>3</w:t>
            </w:r>
            <w:r w:rsidR="00285846" w:rsidRPr="000F23E0">
              <w:t>1</w:t>
            </w:r>
          </w:p>
        </w:tc>
        <w:tc>
          <w:tcPr>
            <w:tcW w:w="1843" w:type="dxa"/>
            <w:tcBorders>
              <w:top w:val="single" w:sz="4" w:space="0" w:color="DFA795"/>
            </w:tcBorders>
            <w:shd w:val="clear" w:color="auto" w:fill="FEFAF8"/>
          </w:tcPr>
          <w:p w14:paraId="58F6E694" w14:textId="0BABC7FD" w:rsidR="00252767" w:rsidRPr="000F23E0" w:rsidRDefault="00C45928" w:rsidP="00C302D5">
            <w:pPr>
              <w:pStyle w:val="TableTextRight"/>
              <w:cnfStyle w:val="000000000000" w:firstRow="0" w:lastRow="0" w:firstColumn="0" w:lastColumn="0" w:oddVBand="0" w:evenVBand="0" w:oddHBand="0" w:evenHBand="0" w:firstRowFirstColumn="0" w:firstRowLastColumn="0" w:lastRowFirstColumn="0" w:lastRowLastColumn="0"/>
            </w:pPr>
            <w:r w:rsidRPr="000F23E0">
              <w:t>Recorded</w:t>
            </w:r>
          </w:p>
        </w:tc>
        <w:tc>
          <w:tcPr>
            <w:tcW w:w="1562" w:type="dxa"/>
            <w:tcBorders>
              <w:top w:val="single" w:sz="4" w:space="0" w:color="DFA795"/>
            </w:tcBorders>
            <w:shd w:val="clear" w:color="auto" w:fill="FEFAF8"/>
          </w:tcPr>
          <w:p w14:paraId="12F890D0" w14:textId="66C7C9E0" w:rsidR="00252767" w:rsidRPr="000F23E0" w:rsidRDefault="000F6640" w:rsidP="00C302D5">
            <w:pPr>
              <w:pStyle w:val="TableTextRight"/>
              <w:cnfStyle w:val="000000000000" w:firstRow="0" w:lastRow="0" w:firstColumn="0" w:lastColumn="0" w:oddVBand="0" w:evenVBand="0" w:oddHBand="0" w:evenHBand="0" w:firstRowFirstColumn="0" w:firstRowLastColumn="0" w:lastRowFirstColumn="0" w:lastRowLastColumn="0"/>
            </w:pPr>
            <w:r w:rsidRPr="000F23E0">
              <w:t>2024-25</w:t>
            </w:r>
          </w:p>
        </w:tc>
      </w:tr>
    </w:tbl>
    <w:p w14:paraId="26DE130A" w14:textId="046ADBF9" w:rsidR="00ED3691" w:rsidRPr="000F23E0" w:rsidRDefault="00ED3691" w:rsidP="009E1B98">
      <w:pPr>
        <w:pStyle w:val="Heading4"/>
      </w:pPr>
      <w:r w:rsidRPr="000F23E0">
        <w:t xml:space="preserve">Social </w:t>
      </w:r>
      <w:r w:rsidR="00C23CC4" w:rsidRPr="000F23E0">
        <w:t>c</w:t>
      </w:r>
      <w:r w:rsidRPr="000F23E0">
        <w:t>o</w:t>
      </w:r>
      <w:r w:rsidR="002C4475" w:rsidRPr="000F23E0">
        <w:noBreakHyphen/>
      </w:r>
      <w:r w:rsidRPr="000F23E0">
        <w:t>benefits</w:t>
      </w:r>
    </w:p>
    <w:p w14:paraId="63656235" w14:textId="77777777" w:rsidR="00122F14" w:rsidRPr="000F23E0" w:rsidRDefault="0073268D" w:rsidP="009E1B98">
      <w:r w:rsidRPr="000F23E0">
        <w:t>E</w:t>
      </w:r>
      <w:r w:rsidR="00ED3691" w:rsidRPr="000F23E0">
        <w:t xml:space="preserve">nergy consumers </w:t>
      </w:r>
      <w:r w:rsidR="005903D4" w:rsidRPr="000F23E0">
        <w:t>that</w:t>
      </w:r>
      <w:r w:rsidRPr="000F23E0">
        <w:t xml:space="preserve"> could </w:t>
      </w:r>
      <w:r w:rsidR="00ED3691" w:rsidRPr="000F23E0">
        <w:t>benefit from batteries</w:t>
      </w:r>
      <w:r w:rsidRPr="000F23E0">
        <w:t xml:space="preserve"> include</w:t>
      </w:r>
      <w:r w:rsidR="00ED3691" w:rsidRPr="000F23E0">
        <w:t xml:space="preserve"> households, hospitals, schools and tertiary education institutions, council facilities, housing developments, social and community housing, sports facilities, libraries, aquatic centres, shopping centres, and regional and remote communities.</w:t>
      </w:r>
    </w:p>
    <w:p w14:paraId="308D3203" w14:textId="0E40B4D1" w:rsidR="00122F14" w:rsidRPr="000F23E0" w:rsidRDefault="00122F14" w:rsidP="009E1B98">
      <w:r w:rsidRPr="000F23E0">
        <w:br w:type="page"/>
      </w:r>
    </w:p>
    <w:tbl>
      <w:tblPr>
        <w:tblW w:w="5000" w:type="pct"/>
        <w:shd w:val="clear" w:color="auto" w:fill="FDF0E7"/>
        <w:tblCellMar>
          <w:top w:w="113" w:type="dxa"/>
          <w:left w:w="284" w:type="dxa"/>
          <w:bottom w:w="227" w:type="dxa"/>
          <w:right w:w="284" w:type="dxa"/>
        </w:tblCellMar>
        <w:tblLook w:val="04A0" w:firstRow="1" w:lastRow="0" w:firstColumn="1" w:lastColumn="0" w:noHBand="0" w:noVBand="1"/>
      </w:tblPr>
      <w:tblGrid>
        <w:gridCol w:w="9070"/>
      </w:tblGrid>
      <w:tr w:rsidR="009A13AB" w:rsidRPr="000F23E0" w14:paraId="4E3E85FE" w14:textId="77777777" w:rsidTr="009E1B98">
        <w:tc>
          <w:tcPr>
            <w:tcW w:w="5000" w:type="pct"/>
            <w:shd w:val="clear" w:color="auto" w:fill="FDF0E7"/>
            <w:hideMark/>
          </w:tcPr>
          <w:p w14:paraId="1186ABFC" w14:textId="52D4C00E" w:rsidR="00ED3691" w:rsidRPr="000F23E0" w:rsidRDefault="00ED3691" w:rsidP="009E1B98">
            <w:pPr>
              <w:pStyle w:val="Caseheading"/>
              <w:keepNext w:val="0"/>
            </w:pPr>
            <w:bookmarkStart w:id="155" w:name="_Hlk222311704"/>
            <w:r w:rsidRPr="000F23E0">
              <w:lastRenderedPageBreak/>
              <w:t xml:space="preserve">Case </w:t>
            </w:r>
            <w:r w:rsidR="0073268D" w:rsidRPr="000F23E0">
              <w:t>s</w:t>
            </w:r>
            <w:r w:rsidRPr="000F23E0">
              <w:t xml:space="preserve">tudy </w:t>
            </w:r>
            <w:r w:rsidR="001A774C" w:rsidRPr="000F23E0">
              <w:t>5</w:t>
            </w:r>
            <w:r w:rsidRPr="000F23E0">
              <w:t xml:space="preserve">: </w:t>
            </w:r>
            <w:r w:rsidR="006E7013" w:rsidRPr="000F23E0">
              <w:t xml:space="preserve">Ausgrid – </w:t>
            </w:r>
            <w:r w:rsidR="00C23CC4" w:rsidRPr="000F23E0">
              <w:t>c</w:t>
            </w:r>
            <w:r w:rsidR="006E7013" w:rsidRPr="000F23E0">
              <w:t xml:space="preserve">o-located </w:t>
            </w:r>
            <w:r w:rsidR="00393957" w:rsidRPr="000F23E0">
              <w:t>Community Batteries</w:t>
            </w:r>
            <w:r w:rsidR="006E7013" w:rsidRPr="000F23E0">
              <w:t xml:space="preserve"> </w:t>
            </w:r>
            <w:r w:rsidR="00C23CC4" w:rsidRPr="000F23E0">
              <w:t>p</w:t>
            </w:r>
            <w:r w:rsidR="006E7013" w:rsidRPr="000F23E0">
              <w:t>rogram</w:t>
            </w:r>
          </w:p>
          <w:p w14:paraId="23F06B1A" w14:textId="77777777" w:rsidR="00ED3691" w:rsidRPr="000F23E0" w:rsidRDefault="00D45BE3" w:rsidP="009E1B98">
            <w:pPr>
              <w:pStyle w:val="BoxText"/>
            </w:pPr>
            <w:r w:rsidRPr="000F23E0">
              <w:t xml:space="preserve">Ausgrid aims to deploy 46 front-of-the-meter </w:t>
            </w:r>
            <w:r w:rsidR="00393957" w:rsidRPr="000F23E0">
              <w:t>Community Batteries</w:t>
            </w:r>
            <w:r w:rsidR="00114644" w:rsidRPr="000F23E0">
              <w:t xml:space="preserve"> – </w:t>
            </w:r>
            <w:r w:rsidRPr="000F23E0">
              <w:t>ground and pole-mounted</w:t>
            </w:r>
            <w:r w:rsidR="00114644" w:rsidRPr="000F23E0">
              <w:t xml:space="preserve"> – </w:t>
            </w:r>
            <w:r w:rsidRPr="000F23E0">
              <w:t xml:space="preserve">across its network. </w:t>
            </w:r>
            <w:r w:rsidR="00E178D0" w:rsidRPr="000F23E0">
              <w:t>It is i</w:t>
            </w:r>
            <w:r w:rsidRPr="000F23E0">
              <w:t>nstalling batteries in Sydney, Georges River, the Central Coast, and Lake Macquarie</w:t>
            </w:r>
            <w:r w:rsidR="00E178D0" w:rsidRPr="000F23E0">
              <w:t>. The</w:t>
            </w:r>
            <w:r w:rsidRPr="000F23E0">
              <w:t xml:space="preserve"> project supports grid stability and reduces network constraints</w:t>
            </w:r>
            <w:r w:rsidR="00E178D0" w:rsidRPr="000F23E0">
              <w:t>. It also</w:t>
            </w:r>
            <w:r w:rsidRPr="000F23E0">
              <w:t xml:space="preserve"> enables communities to </w:t>
            </w:r>
            <w:r w:rsidR="00E178D0" w:rsidRPr="000F23E0">
              <w:t>share</w:t>
            </w:r>
            <w:r w:rsidRPr="000F23E0">
              <w:t xml:space="preserve"> battery storage, alleviat</w:t>
            </w:r>
            <w:r w:rsidR="008E5D7D" w:rsidRPr="000F23E0">
              <w:t>e</w:t>
            </w:r>
            <w:r w:rsidRPr="000F23E0">
              <w:t xml:space="preserve"> solar export curtailment, and lower household electricity costs</w:t>
            </w:r>
            <w:r w:rsidR="00265AB5" w:rsidRPr="000F23E0">
              <w:t>.</w:t>
            </w:r>
          </w:p>
          <w:p w14:paraId="1289406F" w14:textId="77777777" w:rsidR="009E1B98" w:rsidRPr="000F23E0" w:rsidRDefault="009E1B98" w:rsidP="009E1B98">
            <w:pPr>
              <w:pStyle w:val="BoxText"/>
            </w:pPr>
            <w:r w:rsidRPr="000F23E0">
              <w:drawing>
                <wp:inline distT="0" distB="0" distL="0" distR="0" wp14:anchorId="6C1FCC91" wp14:editId="7CB19E61">
                  <wp:extent cx="5407218" cy="3349255"/>
                  <wp:effectExtent l="0" t="0" r="3175" b="3810"/>
                  <wp:docPr id="413631692" name="Picture 6" descr="A large metal white box (a community battery), surrounded by grass and next to footpath, with a road behind. Indigenous themed artwork is painted on the batt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631692" name="Picture 6" descr="A large metal white box (a community battery), surrounded by grass and next to footpath, with a road behind. Indigenous themed artwork is painted on the battery."/>
                          <pic:cNvPicPr/>
                        </pic:nvPicPr>
                        <pic:blipFill>
                          <a:blip r:embed="rId60">
                            <a:extLst>
                              <a:ext uri="{28A0092B-C50C-407E-A947-70E740481C1C}">
                                <a14:useLocalDpi xmlns:a14="http://schemas.microsoft.com/office/drawing/2010/main" val="0"/>
                              </a:ext>
                            </a:extLst>
                          </a:blip>
                          <a:stretch>
                            <a:fillRect/>
                          </a:stretch>
                        </pic:blipFill>
                        <pic:spPr>
                          <a:xfrm>
                            <a:off x="0" y="0"/>
                            <a:ext cx="5479940" cy="3394300"/>
                          </a:xfrm>
                          <a:prstGeom prst="rect">
                            <a:avLst/>
                          </a:prstGeom>
                        </pic:spPr>
                      </pic:pic>
                    </a:graphicData>
                  </a:graphic>
                </wp:inline>
              </w:drawing>
            </w:r>
          </w:p>
          <w:p w14:paraId="019F103C" w14:textId="5C7E65A2" w:rsidR="009E1B98" w:rsidRPr="000F23E0" w:rsidRDefault="009E1B98" w:rsidP="009E1B98">
            <w:pPr>
              <w:pStyle w:val="ChartorTableNote"/>
            </w:pPr>
            <w:r w:rsidRPr="000F23E0">
              <w:t xml:space="preserve">A community battery in Bexley North, New South Wales. Photo courtesy of </w:t>
            </w:r>
            <w:r w:rsidR="00C6000A" w:rsidRPr="000F23E0">
              <w:t>Ausgrid</w:t>
            </w:r>
            <w:r w:rsidRPr="000F23E0">
              <w:t>.</w:t>
            </w:r>
          </w:p>
        </w:tc>
      </w:tr>
      <w:bookmarkEnd w:id="155"/>
    </w:tbl>
    <w:p w14:paraId="1FE8E8F7" w14:textId="2BE4B244" w:rsidR="00990E2A" w:rsidRPr="000F23E0" w:rsidRDefault="00990E2A" w:rsidP="009E1B98"/>
    <w:tbl>
      <w:tblPr>
        <w:tblW w:w="5000" w:type="pct"/>
        <w:shd w:val="clear" w:color="auto" w:fill="FDF0E7"/>
        <w:tblCellMar>
          <w:top w:w="113" w:type="dxa"/>
          <w:left w:w="284" w:type="dxa"/>
          <w:bottom w:w="113" w:type="dxa"/>
          <w:right w:w="284" w:type="dxa"/>
        </w:tblCellMar>
        <w:tblLook w:val="04A0" w:firstRow="1" w:lastRow="0" w:firstColumn="1" w:lastColumn="0" w:noHBand="0" w:noVBand="1"/>
      </w:tblPr>
      <w:tblGrid>
        <w:gridCol w:w="9070"/>
      </w:tblGrid>
      <w:tr w:rsidR="00C302D5" w:rsidRPr="000F23E0" w14:paraId="1C34AF1F" w14:textId="77777777" w:rsidTr="00042AA7">
        <w:tc>
          <w:tcPr>
            <w:tcW w:w="5000" w:type="pct"/>
            <w:shd w:val="clear" w:color="auto" w:fill="FDF0E7"/>
            <w:hideMark/>
          </w:tcPr>
          <w:p w14:paraId="1904DF60" w14:textId="59270D69" w:rsidR="00C302D5" w:rsidRPr="000F23E0" w:rsidRDefault="00C302D5" w:rsidP="00C302D5">
            <w:pPr>
              <w:pStyle w:val="Caseheading"/>
            </w:pPr>
            <w:r w:rsidRPr="000F23E0">
              <w:t xml:space="preserve">Case study 6: Ausgrid – Energy Storage as a Service (ESaaS) </w:t>
            </w:r>
          </w:p>
          <w:p w14:paraId="1439BFBB" w14:textId="101D3B01" w:rsidR="00C302D5" w:rsidRPr="000F23E0" w:rsidRDefault="00C302D5" w:rsidP="00D05E2B">
            <w:pPr>
              <w:pStyle w:val="BoxText"/>
              <w:rPr>
                <w:b/>
              </w:rPr>
            </w:pPr>
            <w:r w:rsidRPr="000F23E0">
              <w:t xml:space="preserve">Energy Storage as a Service (ESaaS) is an Ausgrid initiative that provides eligible households with shared access to </w:t>
            </w:r>
            <w:r w:rsidR="00393957" w:rsidRPr="000F23E0">
              <w:t>Community Batteries</w:t>
            </w:r>
            <w:r w:rsidRPr="000F23E0">
              <w:t xml:space="preserve">. This makes stored renewable energy available to renters and homeowners regardless of whether they have rooftop solar. </w:t>
            </w:r>
          </w:p>
          <w:p w14:paraId="6AFA379F" w14:textId="78839457" w:rsidR="00C302D5" w:rsidRPr="000F23E0" w:rsidRDefault="00C302D5" w:rsidP="00D05E2B">
            <w:pPr>
              <w:pStyle w:val="BoxText"/>
            </w:pPr>
            <w:r w:rsidRPr="000F23E0">
              <w:t xml:space="preserve">Customers in eligible catchment areas near </w:t>
            </w:r>
            <w:r w:rsidR="00393957" w:rsidRPr="000F23E0">
              <w:t>Community Batteries</w:t>
            </w:r>
            <w:r w:rsidRPr="000F23E0">
              <w:t xml:space="preserve"> can join ESaaS through participating retailers. The battery energy ESaaS customers use is stored locally, reducing use of the transmission network. Ausgrid determines the battery catchment area and number of eligible customers based on battery size, proximity and network connectivity. Customers can save up to $200</w:t>
            </w:r>
            <w:r w:rsidR="00BB60BE" w:rsidRPr="000F23E0">
              <w:t> </w:t>
            </w:r>
            <w:r w:rsidRPr="000F23E0">
              <w:t>per</w:t>
            </w:r>
            <w:r w:rsidR="00BB60BE" w:rsidRPr="000F23E0">
              <w:t> </w:t>
            </w:r>
            <w:r w:rsidRPr="000F23E0">
              <w:t xml:space="preserve">annum depending on usage. Ausgrid has 6 battery projects installed and providing ESaaS. </w:t>
            </w:r>
          </w:p>
        </w:tc>
      </w:tr>
    </w:tbl>
    <w:p w14:paraId="6696C65F" w14:textId="77777777" w:rsidR="00C302D5" w:rsidRPr="000F23E0" w:rsidRDefault="00C302D5" w:rsidP="009E1B98">
      <w:pPr>
        <w:pStyle w:val="SingleParagraph"/>
      </w:pPr>
    </w:p>
    <w:p w14:paraId="5EE6D569" w14:textId="52D67CF9" w:rsidR="00ED3691" w:rsidRPr="000F23E0" w:rsidRDefault="00ED3691" w:rsidP="00122F14">
      <w:pPr>
        <w:pStyle w:val="Heading2"/>
        <w:keepLines/>
      </w:pPr>
      <w:bookmarkStart w:id="156" w:name="_Toc225155758"/>
      <w:r w:rsidRPr="000F23E0">
        <w:lastRenderedPageBreak/>
        <w:t xml:space="preserve">Advancing </w:t>
      </w:r>
      <w:r w:rsidR="00126AB0" w:rsidRPr="000F23E0">
        <w:t>R</w:t>
      </w:r>
      <w:r w:rsidRPr="000F23E0">
        <w:t xml:space="preserve">enewables </w:t>
      </w:r>
      <w:r w:rsidR="00126AB0" w:rsidRPr="000F23E0">
        <w:t>P</w:t>
      </w:r>
      <w:r w:rsidRPr="000F23E0">
        <w:t>rogram</w:t>
      </w:r>
      <w:bookmarkEnd w:id="156"/>
    </w:p>
    <w:p w14:paraId="5895FAF4" w14:textId="28D5D2D6" w:rsidR="00ED3691" w:rsidRPr="000F23E0" w:rsidRDefault="004440B4" w:rsidP="00122F14">
      <w:pPr>
        <w:keepNext/>
        <w:keepLines/>
      </w:pPr>
      <w:r w:rsidRPr="000F23E0">
        <w:t>ARENA</w:t>
      </w:r>
      <w:r w:rsidR="000F6EE6" w:rsidRPr="000F23E0">
        <w:t xml:space="preserve"> runs t</w:t>
      </w:r>
      <w:r w:rsidR="00ED3691" w:rsidRPr="000F23E0">
        <w:t xml:space="preserve">he </w:t>
      </w:r>
      <w:r w:rsidR="00393957" w:rsidRPr="000F23E0">
        <w:t>Advancing Renewables Program</w:t>
      </w:r>
      <w:r w:rsidR="00ED3691" w:rsidRPr="000F23E0">
        <w:t xml:space="preserve"> (ARP) </w:t>
      </w:r>
      <w:r w:rsidR="007F2CCD" w:rsidRPr="000F23E0">
        <w:t xml:space="preserve">and </w:t>
      </w:r>
      <w:r w:rsidR="00ED3691" w:rsidRPr="000F23E0">
        <w:t>supports development, demonstration, and pre</w:t>
      </w:r>
      <w:r w:rsidR="002C4475" w:rsidRPr="000F23E0">
        <w:noBreakHyphen/>
      </w:r>
      <w:r w:rsidR="00ED3691" w:rsidRPr="000F23E0">
        <w:t>commercial deployment projects. This includes opportunities to:</w:t>
      </w:r>
    </w:p>
    <w:p w14:paraId="0CC94C5E" w14:textId="641B8C1A" w:rsidR="00ED3691" w:rsidRPr="000F23E0" w:rsidRDefault="007F2CCD" w:rsidP="00122F14">
      <w:pPr>
        <w:pStyle w:val="Bullet"/>
        <w:keepNext/>
        <w:keepLines/>
      </w:pPr>
      <w:r w:rsidRPr="000F23E0">
        <w:t>o</w:t>
      </w:r>
      <w:r w:rsidR="00ED3691" w:rsidRPr="000F23E0">
        <w:t>ptimise the transition to renewable electricity</w:t>
      </w:r>
    </w:p>
    <w:p w14:paraId="218370F1" w14:textId="5A1759FA" w:rsidR="00ED3691" w:rsidRPr="000F23E0" w:rsidRDefault="007F2CCD" w:rsidP="00122F14">
      <w:pPr>
        <w:pStyle w:val="Bullet"/>
        <w:keepNext/>
        <w:keepLines/>
      </w:pPr>
      <w:r w:rsidRPr="000F23E0">
        <w:t>c</w:t>
      </w:r>
      <w:r w:rsidR="00ED3691" w:rsidRPr="000F23E0">
        <w:t>ommercialise clean hydrogen</w:t>
      </w:r>
    </w:p>
    <w:p w14:paraId="4A908945" w14:textId="1DCB99DE" w:rsidR="00ED3691" w:rsidRPr="000F23E0" w:rsidRDefault="007F2CCD" w:rsidP="00122F14">
      <w:pPr>
        <w:pStyle w:val="Bullet"/>
        <w:keepNext/>
        <w:keepLines/>
      </w:pPr>
      <w:r w:rsidRPr="000F23E0">
        <w:t>s</w:t>
      </w:r>
      <w:r w:rsidR="00ED3691" w:rsidRPr="000F23E0">
        <w:t>upport the transition to low emissions metals.</w:t>
      </w:r>
    </w:p>
    <w:p w14:paraId="25EEECFE" w14:textId="5AA203D7" w:rsidR="00ED3691" w:rsidRPr="000F23E0" w:rsidRDefault="00ED3691" w:rsidP="00122F14">
      <w:pPr>
        <w:keepNext/>
        <w:keepLines/>
      </w:pPr>
      <w:r w:rsidRPr="000F23E0">
        <w:t>ARP funds only low emissions projects that involve renewable energy technology or improve existing mechanisms to facilitate renewable energy technologies.</w:t>
      </w:r>
    </w:p>
    <w:p w14:paraId="3888F627" w14:textId="55D494EF" w:rsidR="00A7497D" w:rsidRPr="000F23E0" w:rsidRDefault="005949DA" w:rsidP="00122F14">
      <w:pPr>
        <w:keepNext/>
        <w:keepLines/>
      </w:pPr>
      <w:r w:rsidRPr="000F23E0">
        <w:t>Examples</w:t>
      </w:r>
      <w:r w:rsidR="00FC15A4" w:rsidRPr="000F23E0">
        <w:t xml:space="preserve"> of projects </w:t>
      </w:r>
      <w:r w:rsidR="00A7497D" w:rsidRPr="000F23E0">
        <w:t xml:space="preserve">ARP </w:t>
      </w:r>
      <w:r w:rsidR="00FC15A4" w:rsidRPr="000F23E0">
        <w:t xml:space="preserve">has </w:t>
      </w:r>
      <w:r w:rsidR="00A7497D" w:rsidRPr="000F23E0">
        <w:t xml:space="preserve">contributed </w:t>
      </w:r>
      <w:r w:rsidR="00970689" w:rsidRPr="000F23E0">
        <w:t xml:space="preserve">to </w:t>
      </w:r>
      <w:r w:rsidR="005606FC" w:rsidRPr="000F23E0">
        <w:t>in</w:t>
      </w:r>
      <w:r w:rsidR="00A7497D" w:rsidRPr="000F23E0">
        <w:t xml:space="preserve"> </w:t>
      </w:r>
      <w:r w:rsidR="000B4680" w:rsidRPr="000F23E0">
        <w:t>2024</w:t>
      </w:r>
      <w:r w:rsidR="001055D5" w:rsidRPr="000F23E0">
        <w:t>–</w:t>
      </w:r>
      <w:r w:rsidR="000B4680" w:rsidRPr="000F23E0">
        <w:t>25</w:t>
      </w:r>
      <w:r w:rsidR="00970689" w:rsidRPr="000F23E0">
        <w:t xml:space="preserve"> include:</w:t>
      </w:r>
    </w:p>
    <w:p w14:paraId="7C9D9C6F" w14:textId="782FC629" w:rsidR="00EB291F" w:rsidRPr="000F23E0" w:rsidRDefault="00EB291F" w:rsidP="000C025A">
      <w:pPr>
        <w:pStyle w:val="Bullet"/>
      </w:pPr>
      <w:r w:rsidRPr="000F23E0">
        <w:t>ARENA is contributing $45</w:t>
      </w:r>
      <w:r w:rsidR="00BB60BE" w:rsidRPr="000F23E0">
        <w:t> </w:t>
      </w:r>
      <w:r w:rsidRPr="000F23E0">
        <w:t>million to Fortescue</w:t>
      </w:r>
      <w:r w:rsidR="002C4475" w:rsidRPr="000F23E0">
        <w:t>’</w:t>
      </w:r>
      <w:r w:rsidRPr="000F23E0">
        <w:t>s Solar Innovation Hub in the Pilbara, Western Australia, a 500</w:t>
      </w:r>
      <w:r w:rsidR="00BB60BE" w:rsidRPr="000F23E0">
        <w:t> </w:t>
      </w:r>
      <w:r w:rsidR="0072686A" w:rsidRPr="000F23E0">
        <w:t>megawatt</w:t>
      </w:r>
      <w:r w:rsidR="002054BD" w:rsidRPr="000F23E0">
        <w:t>s</w:t>
      </w:r>
      <w:r w:rsidRPr="000F23E0">
        <w:t xml:space="preserve"> test bed for cutting</w:t>
      </w:r>
      <w:r w:rsidR="002C4475" w:rsidRPr="000F23E0">
        <w:noBreakHyphen/>
      </w:r>
      <w:r w:rsidRPr="000F23E0">
        <w:t>edge solar tech within a 1</w:t>
      </w:r>
      <w:r w:rsidR="0072686A" w:rsidRPr="000F23E0">
        <w:t>,</w:t>
      </w:r>
      <w:r w:rsidRPr="000F23E0">
        <w:t>5</w:t>
      </w:r>
      <w:r w:rsidR="0072686A" w:rsidRPr="000F23E0">
        <w:t>00</w:t>
      </w:r>
      <w:r w:rsidR="00BB60BE" w:rsidRPr="000F23E0">
        <w:t> </w:t>
      </w:r>
      <w:r w:rsidR="0072686A" w:rsidRPr="000F23E0">
        <w:t>megawatt</w:t>
      </w:r>
      <w:r w:rsidR="002054BD" w:rsidRPr="000F23E0">
        <w:t>s</w:t>
      </w:r>
      <w:r w:rsidR="0072686A" w:rsidRPr="000F23E0">
        <w:t xml:space="preserve"> </w:t>
      </w:r>
      <w:r w:rsidRPr="000F23E0">
        <w:t>PV pipeline. By trialling multiple breakthrough projects</w:t>
      </w:r>
      <w:r w:rsidR="006F0B71" w:rsidRPr="000F23E0">
        <w:t xml:space="preserve"> – </w:t>
      </w:r>
      <w:r w:rsidRPr="000F23E0">
        <w:t>like robotics and rapid</w:t>
      </w:r>
      <w:r w:rsidR="002C4475" w:rsidRPr="000F23E0">
        <w:noBreakHyphen/>
      </w:r>
      <w:r w:rsidRPr="000F23E0">
        <w:t>deployment solar</w:t>
      </w:r>
      <w:r w:rsidR="006F0B71" w:rsidRPr="000F23E0">
        <w:t xml:space="preserve"> – </w:t>
      </w:r>
      <w:r w:rsidRPr="000F23E0">
        <w:t>the Hub aims to cut solar costs, speed up innovation, and deliver real</w:t>
      </w:r>
      <w:r w:rsidR="002C4475" w:rsidRPr="000F23E0">
        <w:noBreakHyphen/>
      </w:r>
      <w:r w:rsidRPr="000F23E0">
        <w:t>world insights to accelerate Australia</w:t>
      </w:r>
      <w:r w:rsidR="002C4475" w:rsidRPr="000F23E0">
        <w:t>’</w:t>
      </w:r>
      <w:r w:rsidRPr="000F23E0">
        <w:t>s clean energy future.</w:t>
      </w:r>
      <w:r w:rsidR="006F0B71" w:rsidRPr="000F23E0">
        <w:t xml:space="preserve"> </w:t>
      </w:r>
    </w:p>
    <w:p w14:paraId="45874AC8" w14:textId="15E19FA9" w:rsidR="00EB291F" w:rsidRPr="000F23E0" w:rsidRDefault="00EB291F" w:rsidP="000C025A">
      <w:pPr>
        <w:pStyle w:val="Bullet"/>
      </w:pPr>
      <w:r w:rsidRPr="000F23E0">
        <w:t>ARENA is supporting Aussie solar innovator 5B with $15.5</w:t>
      </w:r>
      <w:r w:rsidR="00BB60BE" w:rsidRPr="000F23E0">
        <w:t> </w:t>
      </w:r>
      <w:r w:rsidRPr="000F23E0">
        <w:t>million to accelerate automation of its modular, factory</w:t>
      </w:r>
      <w:r w:rsidR="002C4475" w:rsidRPr="000F23E0">
        <w:noBreakHyphen/>
      </w:r>
      <w:r w:rsidRPr="000F23E0">
        <w:t>built Maverick solar arrays. By developing automated manufacturing and robotic deployment systems at its Sydney HQ, 5B aims to cut solar farm costs by up to 70</w:t>
      </w:r>
      <w:r w:rsidR="00BB60BE" w:rsidRPr="000F23E0">
        <w:t> </w:t>
      </w:r>
      <w:r w:rsidR="009A0FD9" w:rsidRPr="000F23E0">
        <w:t>per</w:t>
      </w:r>
      <w:r w:rsidR="00BB60BE" w:rsidRPr="000F23E0">
        <w:t> </w:t>
      </w:r>
      <w:r w:rsidR="009A0FD9" w:rsidRPr="000F23E0">
        <w:t xml:space="preserve">cent </w:t>
      </w:r>
      <w:r w:rsidRPr="000F23E0">
        <w:t>by 2030. The Maverick</w:t>
      </w:r>
      <w:r w:rsidR="002C4475" w:rsidRPr="000F23E0">
        <w:t>’</w:t>
      </w:r>
      <w:r w:rsidRPr="000F23E0">
        <w:t>s rapid deployment and new high</w:t>
      </w:r>
      <w:r w:rsidR="002C4475" w:rsidRPr="000F23E0">
        <w:noBreakHyphen/>
      </w:r>
      <w:r w:rsidRPr="000F23E0">
        <w:t>capacity design are set to help Australia meet its solar deployment targets.</w:t>
      </w:r>
    </w:p>
    <w:p w14:paraId="11F6A945" w14:textId="64852560" w:rsidR="00A7497D" w:rsidRPr="000F23E0" w:rsidRDefault="00EB291F" w:rsidP="000C025A">
      <w:pPr>
        <w:pStyle w:val="Bullet"/>
      </w:pPr>
      <w:r w:rsidRPr="000F23E0">
        <w:t>RayGen is receiving $27</w:t>
      </w:r>
      <w:r w:rsidR="00BB60BE" w:rsidRPr="000F23E0">
        <w:t> </w:t>
      </w:r>
      <w:r w:rsidRPr="000F23E0">
        <w:t xml:space="preserve">million from ARENA to further develop its solar and thermal storage technology. The project includes the design of a subsequent 200 MW solar and 115 </w:t>
      </w:r>
      <w:r w:rsidR="00C115B4" w:rsidRPr="000F23E0">
        <w:t>megawatt</w:t>
      </w:r>
      <w:r w:rsidR="002054BD" w:rsidRPr="000F23E0">
        <w:t>s</w:t>
      </w:r>
      <w:r w:rsidRPr="000F23E0">
        <w:t xml:space="preserve"> / 1</w:t>
      </w:r>
      <w:r w:rsidR="00C115B4" w:rsidRPr="000F23E0">
        <w:t>,</w:t>
      </w:r>
      <w:r w:rsidRPr="000F23E0">
        <w:t>2</w:t>
      </w:r>
      <w:r w:rsidR="00C115B4" w:rsidRPr="000F23E0">
        <w:t>00</w:t>
      </w:r>
      <w:r w:rsidR="00BB60BE" w:rsidRPr="000F23E0">
        <w:t> </w:t>
      </w:r>
      <w:r w:rsidR="00C115B4" w:rsidRPr="000F23E0">
        <w:t>megawatt</w:t>
      </w:r>
      <w:r w:rsidR="002054BD" w:rsidRPr="000F23E0">
        <w:t xml:space="preserve"> </w:t>
      </w:r>
      <w:r w:rsidR="00C115B4" w:rsidRPr="000F23E0">
        <w:t>hour</w:t>
      </w:r>
      <w:r w:rsidR="002054BD" w:rsidRPr="000F23E0">
        <w:t>s</w:t>
      </w:r>
      <w:r w:rsidRPr="000F23E0">
        <w:t xml:space="preserve"> storage facility at Yadnarie, South Australia. This project aims to deliver dispatchable, long</w:t>
      </w:r>
      <w:r w:rsidR="002C4475" w:rsidRPr="000F23E0">
        <w:noBreakHyphen/>
      </w:r>
      <w:r w:rsidRPr="000F23E0">
        <w:t>duration renewable energy, helping to meet Australia</w:t>
      </w:r>
      <w:r w:rsidR="002C4475" w:rsidRPr="000F23E0">
        <w:t>’</w:t>
      </w:r>
      <w:r w:rsidRPr="000F23E0">
        <w:t>s growing need for reliable clean electricity and supporting progress towards net zero emissions.</w:t>
      </w:r>
    </w:p>
    <w:p w14:paraId="5A068657" w14:textId="43D4295E" w:rsidR="00ED3691" w:rsidRPr="000F23E0" w:rsidRDefault="00ED3691" w:rsidP="00B906C7">
      <w:pPr>
        <w:pStyle w:val="Heading3"/>
        <w:keepLines/>
      </w:pPr>
      <w:r w:rsidRPr="000F23E0">
        <w:lastRenderedPageBreak/>
        <w:t xml:space="preserve">Green Treasury Bond </w:t>
      </w:r>
      <w:r w:rsidR="0002119B" w:rsidRPr="000F23E0">
        <w:t>a</w:t>
      </w:r>
      <w:r w:rsidRPr="000F23E0">
        <w:t>llocation</w:t>
      </w:r>
    </w:p>
    <w:p w14:paraId="475CAF0B" w14:textId="62D67050" w:rsidR="00ED3691" w:rsidRPr="000F23E0" w:rsidRDefault="00611CEF" w:rsidP="00B906C7">
      <w:pPr>
        <w:keepNext/>
        <w:keepLines/>
      </w:pPr>
      <w:r w:rsidRPr="000F23E0">
        <w:t>GTB</w:t>
      </w:r>
      <w:r w:rsidR="00ED3691" w:rsidRPr="000F23E0">
        <w:t>s have contributed $</w:t>
      </w:r>
      <w:r w:rsidR="007B690A" w:rsidRPr="000F23E0">
        <w:t>72.4</w:t>
      </w:r>
      <w:r w:rsidR="00BB60BE" w:rsidRPr="000F23E0">
        <w:t> </w:t>
      </w:r>
      <w:r w:rsidR="00ED3691" w:rsidRPr="000F23E0">
        <w:t xml:space="preserve">million to the ARP in </w:t>
      </w:r>
      <w:r w:rsidR="00BF7FDB" w:rsidRPr="000F23E0">
        <w:t>2024</w:t>
      </w:r>
      <w:r w:rsidR="001055D5" w:rsidRPr="000F23E0">
        <w:t>–</w:t>
      </w:r>
      <w:r w:rsidR="00BF7FDB" w:rsidRPr="000F23E0">
        <w:t>25</w:t>
      </w:r>
      <w:r w:rsidR="00ED3691" w:rsidRPr="000F23E0">
        <w:t xml:space="preserve"> (</w:t>
      </w:r>
      <w:r w:rsidR="005B6EBA" w:rsidRPr="000F23E0">
        <w:t>Table 15</w:t>
      </w:r>
      <w:r w:rsidR="00ED3691" w:rsidRPr="000F23E0">
        <w:t>).</w:t>
      </w:r>
    </w:p>
    <w:p w14:paraId="49B40100" w14:textId="7B05006E" w:rsidR="00ED3691" w:rsidRPr="000F23E0" w:rsidRDefault="00ED3691" w:rsidP="00B906C7">
      <w:pPr>
        <w:keepNext/>
        <w:keepLines/>
      </w:pPr>
      <w:r w:rsidRPr="000F23E0">
        <w:t xml:space="preserve">The total </w:t>
      </w:r>
      <w:r w:rsidR="00373041" w:rsidRPr="000F23E0">
        <w:t>g</w:t>
      </w:r>
      <w:r w:rsidRPr="000F23E0">
        <w:t xml:space="preserve">overnment contribution to projects represent contracted funding for individual projects (past and expected). Most projects </w:t>
      </w:r>
      <w:r w:rsidR="00373041" w:rsidRPr="000F23E0">
        <w:t>were</w:t>
      </w:r>
      <w:r w:rsidRPr="000F23E0">
        <w:t xml:space="preserve"> established prior to issuance of </w:t>
      </w:r>
      <w:r w:rsidR="00611CEF" w:rsidRPr="000F23E0">
        <w:t>GTB</w:t>
      </w:r>
      <w:r w:rsidRPr="000F23E0">
        <w:t xml:space="preserve">s. </w:t>
      </w:r>
    </w:p>
    <w:p w14:paraId="19974C32" w14:textId="0C1950D6" w:rsidR="00ED3691" w:rsidRPr="000F23E0" w:rsidRDefault="00ED3691" w:rsidP="00B906C7">
      <w:pPr>
        <w:keepNext/>
        <w:keepLines/>
      </w:pPr>
      <w:r w:rsidRPr="000F23E0">
        <w:t>The total cost of project includes co</w:t>
      </w:r>
      <w:r w:rsidR="002C4475" w:rsidRPr="000F23E0">
        <w:noBreakHyphen/>
      </w:r>
      <w:r w:rsidRPr="000F23E0">
        <w:t>financing with project partners.</w:t>
      </w:r>
    </w:p>
    <w:p w14:paraId="5C52E2EB" w14:textId="73C796E5" w:rsidR="00ED3691" w:rsidRPr="000F23E0" w:rsidRDefault="00ED3691" w:rsidP="00551F72">
      <w:pPr>
        <w:pStyle w:val="TableMainHeading"/>
      </w:pPr>
      <w:bookmarkStart w:id="157" w:name="_Toc220662875"/>
      <w:bookmarkStart w:id="158" w:name="_Toc224637808"/>
      <w:bookmarkStart w:id="159" w:name="_Toc224642472"/>
      <w:bookmarkStart w:id="160" w:name="_Toc225153448"/>
      <w:bookmarkStart w:id="161" w:name="_Toc225154494"/>
      <w:bookmarkStart w:id="162" w:name="_Toc225155759"/>
      <w:r w:rsidRPr="000F23E0">
        <w:t xml:space="preserve">Table </w:t>
      </w:r>
      <w:r w:rsidR="005B6EBA" w:rsidRPr="000F23E0">
        <w:t>15</w:t>
      </w:r>
      <w:r w:rsidR="00627058" w:rsidRPr="000F23E0">
        <w:t>:</w:t>
      </w:r>
      <w:r w:rsidRPr="000F23E0">
        <w:t xml:space="preserve"> Allocation </w:t>
      </w:r>
      <w:r w:rsidR="0002119B" w:rsidRPr="000F23E0">
        <w:t>d</w:t>
      </w:r>
      <w:r w:rsidRPr="000F23E0">
        <w:t xml:space="preserve">ata for the </w:t>
      </w:r>
      <w:r w:rsidR="00393957" w:rsidRPr="000F23E0">
        <w:t>Advancing Renewables Program</w:t>
      </w:r>
      <w:r w:rsidR="00AB33BF" w:rsidRPr="000F23E0">
        <w:t xml:space="preserve"> ($ million)</w:t>
      </w:r>
      <w:bookmarkEnd w:id="157"/>
      <w:bookmarkEnd w:id="158"/>
      <w:bookmarkEnd w:id="159"/>
      <w:bookmarkEnd w:id="160"/>
      <w:bookmarkEnd w:id="161"/>
      <w:bookmarkEnd w:id="162"/>
    </w:p>
    <w:tbl>
      <w:tblPr>
        <w:tblStyle w:val="GridTable4-Accent2"/>
        <w:tblW w:w="5000" w:type="pct"/>
        <w:tblInd w:w="-3" w:type="dxa"/>
        <w:tblBorders>
          <w:top w:val="single" w:sz="4" w:space="0" w:color="DFA795"/>
          <w:bottom w:val="single" w:sz="4" w:space="0" w:color="DFA795"/>
          <w:insideH w:val="single" w:sz="4" w:space="0" w:color="DFA795"/>
        </w:tblBorders>
        <w:tblLayout w:type="fixed"/>
        <w:tblLook w:val="04A0" w:firstRow="1" w:lastRow="0" w:firstColumn="1" w:lastColumn="0" w:noHBand="0" w:noVBand="1"/>
      </w:tblPr>
      <w:tblGrid>
        <w:gridCol w:w="1396"/>
        <w:gridCol w:w="2094"/>
        <w:gridCol w:w="1395"/>
        <w:gridCol w:w="1395"/>
        <w:gridCol w:w="1395"/>
        <w:gridCol w:w="1395"/>
      </w:tblGrid>
      <w:tr w:rsidR="00EB7950" w:rsidRPr="000F23E0" w14:paraId="4E3C4906" w14:textId="77777777" w:rsidTr="00042AA7">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361" w:type="dxa"/>
            <w:shd w:val="clear" w:color="auto" w:fill="F1D0C6"/>
          </w:tcPr>
          <w:p w14:paraId="11A35289" w14:textId="38D35AB4" w:rsidR="00CA1C75" w:rsidRPr="000F23E0" w:rsidRDefault="00CA1C75" w:rsidP="00B906C7">
            <w:pPr>
              <w:pStyle w:val="TableColumnHeadingLeft"/>
              <w:keepLines/>
              <w:rPr>
                <w:b/>
                <w:bCs w:val="0"/>
              </w:rPr>
            </w:pPr>
            <w:r w:rsidRPr="000F23E0">
              <w:rPr>
                <w:b/>
                <w:bCs w:val="0"/>
              </w:rPr>
              <w:t>Eligible Green Expenditure</w:t>
            </w:r>
          </w:p>
        </w:tc>
        <w:tc>
          <w:tcPr>
            <w:tcW w:w="2041" w:type="dxa"/>
            <w:shd w:val="clear" w:color="auto" w:fill="F1D0C6"/>
          </w:tcPr>
          <w:p w14:paraId="72D83985" w14:textId="4E1B8AA9" w:rsidR="00CA1C75" w:rsidRPr="000F23E0" w:rsidRDefault="00CA1C75" w:rsidP="00B906C7">
            <w:pPr>
              <w:pStyle w:val="TableColumnHeadingLeft"/>
              <w:keepLines/>
              <w:cnfStyle w:val="100000000000" w:firstRow="1" w:lastRow="0" w:firstColumn="0" w:lastColumn="0" w:oddVBand="0" w:evenVBand="0" w:oddHBand="0" w:evenHBand="0" w:firstRowFirstColumn="0" w:firstRowLastColumn="0" w:lastRowFirstColumn="0" w:lastRowLastColumn="0"/>
              <w:rPr>
                <w:b/>
                <w:bCs w:val="0"/>
              </w:rPr>
            </w:pPr>
            <w:r w:rsidRPr="000F23E0">
              <w:rPr>
                <w:b/>
                <w:bCs w:val="0"/>
              </w:rPr>
              <w:t>Projects supported</w:t>
            </w:r>
          </w:p>
        </w:tc>
        <w:tc>
          <w:tcPr>
            <w:tcW w:w="1361" w:type="dxa"/>
            <w:shd w:val="clear" w:color="auto" w:fill="F1D0C6"/>
          </w:tcPr>
          <w:p w14:paraId="5C53E50D" w14:textId="2FB57151" w:rsidR="00CA1C75" w:rsidRPr="000F23E0" w:rsidRDefault="00CA1C75" w:rsidP="00B906C7">
            <w:pPr>
              <w:pStyle w:val="TableColumnHeadingRight"/>
              <w:keepLines/>
              <w:cnfStyle w:val="100000000000" w:firstRow="1" w:lastRow="0" w:firstColumn="0" w:lastColumn="0" w:oddVBand="0" w:evenVBand="0" w:oddHBand="0" w:evenHBand="0" w:firstRowFirstColumn="0" w:firstRowLastColumn="0" w:lastRowFirstColumn="0" w:lastRowLastColumn="0"/>
              <w:rPr>
                <w:b/>
                <w:bCs w:val="0"/>
              </w:rPr>
            </w:pPr>
            <w:r w:rsidRPr="000F23E0">
              <w:rPr>
                <w:b/>
                <w:bCs w:val="0"/>
              </w:rPr>
              <w:t xml:space="preserve">2024–25 Expenditure </w:t>
            </w:r>
          </w:p>
        </w:tc>
        <w:tc>
          <w:tcPr>
            <w:tcW w:w="1361" w:type="dxa"/>
            <w:shd w:val="clear" w:color="auto" w:fill="F1D0C6"/>
          </w:tcPr>
          <w:p w14:paraId="6C238F96" w14:textId="67A582CF" w:rsidR="00CA1C75" w:rsidRPr="000F23E0" w:rsidRDefault="00EA0F10" w:rsidP="00B906C7">
            <w:pPr>
              <w:pStyle w:val="TableColumnHeadingRight"/>
              <w:keepLines/>
              <w:cnfStyle w:val="100000000000" w:firstRow="1" w:lastRow="0" w:firstColumn="0" w:lastColumn="0" w:oddVBand="0" w:evenVBand="0" w:oddHBand="0" w:evenHBand="0" w:firstRowFirstColumn="0" w:firstRowLastColumn="0" w:lastRowFirstColumn="0" w:lastRowLastColumn="0"/>
              <w:rPr>
                <w:b/>
                <w:bCs w:val="0"/>
              </w:rPr>
            </w:pPr>
            <w:r w:rsidRPr="000F23E0">
              <w:rPr>
                <w:b/>
                <w:bCs w:val="0"/>
              </w:rPr>
              <w:t>Allocation 2026 Report</w:t>
            </w:r>
            <w:r w:rsidR="00CA1C75" w:rsidRPr="000F23E0">
              <w:rPr>
                <w:b/>
                <w:bCs w:val="0"/>
              </w:rPr>
              <w:t xml:space="preserve"> </w:t>
            </w:r>
          </w:p>
        </w:tc>
        <w:tc>
          <w:tcPr>
            <w:tcW w:w="1361" w:type="dxa"/>
            <w:shd w:val="clear" w:color="auto" w:fill="F1D0C6"/>
          </w:tcPr>
          <w:p w14:paraId="2B485977" w14:textId="7B39202C" w:rsidR="00CA1C75" w:rsidRPr="000F23E0" w:rsidRDefault="00CA1C75" w:rsidP="00B906C7">
            <w:pPr>
              <w:pStyle w:val="TableColumnHeadingRight"/>
              <w:keepLines/>
              <w:cnfStyle w:val="100000000000" w:firstRow="1" w:lastRow="0" w:firstColumn="0" w:lastColumn="0" w:oddVBand="0" w:evenVBand="0" w:oddHBand="0" w:evenHBand="0" w:firstRowFirstColumn="0" w:firstRowLastColumn="0" w:lastRowFirstColumn="0" w:lastRowLastColumn="0"/>
              <w:rPr>
                <w:b/>
                <w:bCs w:val="0"/>
              </w:rPr>
            </w:pPr>
            <w:r w:rsidRPr="000F23E0">
              <w:rPr>
                <w:b/>
                <w:bCs w:val="0"/>
              </w:rPr>
              <w:t xml:space="preserve">Total Australian Government Contribution </w:t>
            </w:r>
          </w:p>
        </w:tc>
        <w:tc>
          <w:tcPr>
            <w:tcW w:w="1361" w:type="dxa"/>
            <w:shd w:val="clear" w:color="auto" w:fill="F1D0C6"/>
          </w:tcPr>
          <w:p w14:paraId="119CFA55" w14:textId="69E60ACF" w:rsidR="00CA1C75" w:rsidRPr="000F23E0" w:rsidRDefault="00CA1C75" w:rsidP="00B906C7">
            <w:pPr>
              <w:pStyle w:val="TableColumnHeadingRight"/>
              <w:keepLines/>
              <w:cnfStyle w:val="100000000000" w:firstRow="1" w:lastRow="0" w:firstColumn="0" w:lastColumn="0" w:oddVBand="0" w:evenVBand="0" w:oddHBand="0" w:evenHBand="0" w:firstRowFirstColumn="0" w:firstRowLastColumn="0" w:lastRowFirstColumn="0" w:lastRowLastColumn="0"/>
              <w:rPr>
                <w:b/>
                <w:bCs w:val="0"/>
              </w:rPr>
            </w:pPr>
            <w:r w:rsidRPr="000F23E0">
              <w:rPr>
                <w:b/>
                <w:bCs w:val="0"/>
              </w:rPr>
              <w:t xml:space="preserve">Total Cost of Project </w:t>
            </w:r>
          </w:p>
        </w:tc>
      </w:tr>
      <w:tr w:rsidR="00EB7950" w:rsidRPr="000F23E0" w14:paraId="1B2D3AB9" w14:textId="77777777" w:rsidTr="009E1B98">
        <w:trPr>
          <w:trHeight w:val="20"/>
        </w:trPr>
        <w:tc>
          <w:tcPr>
            <w:cnfStyle w:val="001000000000" w:firstRow="0" w:lastRow="0" w:firstColumn="1" w:lastColumn="0" w:oddVBand="0" w:evenVBand="0" w:oddHBand="0" w:evenHBand="0" w:firstRowFirstColumn="0" w:firstRowLastColumn="0" w:lastRowFirstColumn="0" w:lastRowLastColumn="0"/>
            <w:tcW w:w="1361" w:type="dxa"/>
            <w:vMerge w:val="restart"/>
            <w:shd w:val="clear" w:color="auto" w:fill="FDF0E7"/>
          </w:tcPr>
          <w:p w14:paraId="04AE26EC" w14:textId="4AF4CC9F" w:rsidR="00CA1C75" w:rsidRPr="000F23E0" w:rsidRDefault="00393957" w:rsidP="00B906C7">
            <w:pPr>
              <w:pStyle w:val="TableTextLeft"/>
              <w:keepNext/>
              <w:keepLines/>
              <w:rPr>
                <w:rFonts w:eastAsiaTheme="majorEastAsia"/>
              </w:rPr>
            </w:pPr>
            <w:r w:rsidRPr="000F23E0">
              <w:t>Advancing Renewables Program</w:t>
            </w:r>
          </w:p>
        </w:tc>
        <w:tc>
          <w:tcPr>
            <w:tcW w:w="2041" w:type="dxa"/>
            <w:shd w:val="clear" w:color="auto" w:fill="FEFAF8"/>
          </w:tcPr>
          <w:p w14:paraId="19A8B17A" w14:textId="73D670B1" w:rsidR="00CA1C75" w:rsidRPr="000F23E0" w:rsidRDefault="00CA1C75" w:rsidP="00B906C7">
            <w:pPr>
              <w:pStyle w:val="TableTextLeft"/>
              <w:keepNext/>
              <w:keepLines/>
              <w:cnfStyle w:val="000000000000" w:firstRow="0" w:lastRow="0" w:firstColumn="0" w:lastColumn="0" w:oddVBand="0" w:evenVBand="0" w:oddHBand="0" w:evenHBand="0" w:firstRowFirstColumn="0" w:firstRowLastColumn="0" w:lastRowFirstColumn="0" w:lastRowLastColumn="0"/>
            </w:pPr>
            <w:r w:rsidRPr="000F23E0">
              <w:rPr>
                <w:rFonts w:eastAsiaTheme="majorEastAsia"/>
              </w:rPr>
              <w:t>Renewable hydrogen</w:t>
            </w:r>
          </w:p>
        </w:tc>
        <w:tc>
          <w:tcPr>
            <w:tcW w:w="1361" w:type="dxa"/>
            <w:shd w:val="clear" w:color="auto" w:fill="FEFAF8"/>
          </w:tcPr>
          <w:p w14:paraId="397A8176" w14:textId="6DE11F58" w:rsidR="00CA1C75" w:rsidRPr="000F23E0" w:rsidRDefault="00CA1C75" w:rsidP="00B906C7">
            <w:pPr>
              <w:pStyle w:val="TableTextRight"/>
              <w:keepNext/>
              <w:keepLines/>
              <w:cnfStyle w:val="000000000000" w:firstRow="0" w:lastRow="0" w:firstColumn="0" w:lastColumn="0" w:oddVBand="0" w:evenVBand="0" w:oddHBand="0" w:evenHBand="0" w:firstRowFirstColumn="0" w:firstRowLastColumn="0" w:lastRowFirstColumn="0" w:lastRowLastColumn="0"/>
              <w:rPr>
                <w:rStyle w:val="normaltextrun"/>
              </w:rPr>
            </w:pPr>
            <w:r w:rsidRPr="000F23E0">
              <w:rPr>
                <w:rStyle w:val="normaltextrun"/>
              </w:rPr>
              <w:t>5.5</w:t>
            </w:r>
          </w:p>
        </w:tc>
        <w:tc>
          <w:tcPr>
            <w:tcW w:w="1361" w:type="dxa"/>
            <w:shd w:val="clear" w:color="auto" w:fill="FEFAF8"/>
          </w:tcPr>
          <w:p w14:paraId="61FECC55" w14:textId="382AEDF7" w:rsidR="00CA1C75" w:rsidRPr="000F23E0" w:rsidRDefault="00CA1C75" w:rsidP="00B906C7">
            <w:pPr>
              <w:pStyle w:val="TableTextRight"/>
              <w:keepNext/>
              <w:keepLines/>
              <w:cnfStyle w:val="000000000000" w:firstRow="0" w:lastRow="0" w:firstColumn="0" w:lastColumn="0" w:oddVBand="0" w:evenVBand="0" w:oddHBand="0" w:evenHBand="0" w:firstRowFirstColumn="0" w:firstRowLastColumn="0" w:lastRowFirstColumn="0" w:lastRowLastColumn="0"/>
            </w:pPr>
            <w:r w:rsidRPr="000F23E0">
              <w:t>3.0</w:t>
            </w:r>
          </w:p>
        </w:tc>
        <w:tc>
          <w:tcPr>
            <w:tcW w:w="1361" w:type="dxa"/>
            <w:shd w:val="clear" w:color="auto" w:fill="FEFAF8"/>
          </w:tcPr>
          <w:p w14:paraId="06F1D56A" w14:textId="71D484FF" w:rsidR="00CA1C75" w:rsidRPr="000F23E0" w:rsidRDefault="00CA1C75" w:rsidP="00B906C7">
            <w:pPr>
              <w:pStyle w:val="TableTextRight"/>
              <w:keepNext/>
              <w:keepLines/>
              <w:cnfStyle w:val="000000000000" w:firstRow="0" w:lastRow="0" w:firstColumn="0" w:lastColumn="0" w:oddVBand="0" w:evenVBand="0" w:oddHBand="0" w:evenHBand="0" w:firstRowFirstColumn="0" w:firstRowLastColumn="0" w:lastRowFirstColumn="0" w:lastRowLastColumn="0"/>
            </w:pPr>
            <w:r w:rsidRPr="000F23E0">
              <w:rPr>
                <w:rStyle w:val="normaltextrun"/>
              </w:rPr>
              <w:t>78.7</w:t>
            </w:r>
          </w:p>
        </w:tc>
        <w:tc>
          <w:tcPr>
            <w:tcW w:w="1361" w:type="dxa"/>
            <w:shd w:val="clear" w:color="auto" w:fill="FEFAF8"/>
          </w:tcPr>
          <w:p w14:paraId="0694F2A4" w14:textId="5FD6F3FB" w:rsidR="00CA1C75" w:rsidRPr="000F23E0" w:rsidRDefault="00CA1C75" w:rsidP="00B906C7">
            <w:pPr>
              <w:pStyle w:val="TableTextRight"/>
              <w:keepNext/>
              <w:keepLines/>
              <w:divId w:val="1532189000"/>
              <w:cnfStyle w:val="000000000000" w:firstRow="0" w:lastRow="0" w:firstColumn="0" w:lastColumn="0" w:oddVBand="0" w:evenVBand="0" w:oddHBand="0" w:evenHBand="0" w:firstRowFirstColumn="0" w:firstRowLastColumn="0" w:lastRowFirstColumn="0" w:lastRowLastColumn="0"/>
              <w:rPr>
                <w:rStyle w:val="normaltextrun"/>
              </w:rPr>
            </w:pPr>
            <w:r w:rsidRPr="000F23E0">
              <w:rPr>
                <w:rStyle w:val="normaltextrun"/>
              </w:rPr>
              <w:t>272.5</w:t>
            </w:r>
          </w:p>
        </w:tc>
      </w:tr>
      <w:tr w:rsidR="00EB7950" w:rsidRPr="000F23E0" w14:paraId="104162BB" w14:textId="77777777" w:rsidTr="009E1B98">
        <w:trPr>
          <w:trHeight w:val="261"/>
        </w:trPr>
        <w:tc>
          <w:tcPr>
            <w:cnfStyle w:val="001000000000" w:firstRow="0" w:lastRow="0" w:firstColumn="1" w:lastColumn="0" w:oddVBand="0" w:evenVBand="0" w:oddHBand="0" w:evenHBand="0" w:firstRowFirstColumn="0" w:firstRowLastColumn="0" w:lastRowFirstColumn="0" w:lastRowLastColumn="0"/>
            <w:tcW w:w="1361" w:type="dxa"/>
            <w:vMerge/>
            <w:shd w:val="clear" w:color="auto" w:fill="FDF0E7"/>
          </w:tcPr>
          <w:p w14:paraId="53BA0877" w14:textId="77777777" w:rsidR="00CA1C75" w:rsidRPr="000F23E0" w:rsidRDefault="00CA1C75" w:rsidP="00B906C7">
            <w:pPr>
              <w:pStyle w:val="TableTextLeft"/>
              <w:keepNext/>
              <w:keepLines/>
              <w:spacing w:before="120" w:after="120"/>
              <w:rPr>
                <w:rFonts w:eastAsiaTheme="majorEastAsia"/>
                <w:b/>
                <w:szCs w:val="18"/>
              </w:rPr>
            </w:pPr>
          </w:p>
        </w:tc>
        <w:tc>
          <w:tcPr>
            <w:tcW w:w="2041" w:type="dxa"/>
            <w:shd w:val="clear" w:color="auto" w:fill="FEFAF8"/>
          </w:tcPr>
          <w:p w14:paraId="31328713" w14:textId="40C153D6" w:rsidR="00CA1C75" w:rsidRPr="000F23E0" w:rsidRDefault="00CA1C75" w:rsidP="00B906C7">
            <w:pPr>
              <w:pStyle w:val="TableTextLeft"/>
              <w:keepNext/>
              <w:keepLines/>
              <w:cnfStyle w:val="000000000000" w:firstRow="0" w:lastRow="0" w:firstColumn="0" w:lastColumn="0" w:oddVBand="0" w:evenVBand="0" w:oddHBand="0" w:evenHBand="0" w:firstRowFirstColumn="0" w:firstRowLastColumn="0" w:lastRowFirstColumn="0" w:lastRowLastColumn="0"/>
            </w:pPr>
            <w:r w:rsidRPr="000F23E0">
              <w:rPr>
                <w:rFonts w:eastAsiaTheme="majorEastAsia"/>
              </w:rPr>
              <w:t>Decarbonise land transport</w:t>
            </w:r>
          </w:p>
        </w:tc>
        <w:tc>
          <w:tcPr>
            <w:tcW w:w="1361" w:type="dxa"/>
            <w:shd w:val="clear" w:color="auto" w:fill="FEFAF8"/>
          </w:tcPr>
          <w:p w14:paraId="4A6AA0F7" w14:textId="40326F42" w:rsidR="00CA1C75" w:rsidRPr="000F23E0" w:rsidRDefault="00CA1C75" w:rsidP="00B906C7">
            <w:pPr>
              <w:pStyle w:val="TableTextRight"/>
              <w:keepNext/>
              <w:keepLines/>
              <w:cnfStyle w:val="000000000000" w:firstRow="0" w:lastRow="0" w:firstColumn="0" w:lastColumn="0" w:oddVBand="0" w:evenVBand="0" w:oddHBand="0" w:evenHBand="0" w:firstRowFirstColumn="0" w:firstRowLastColumn="0" w:lastRowFirstColumn="0" w:lastRowLastColumn="0"/>
              <w:rPr>
                <w:rStyle w:val="normaltextrun"/>
              </w:rPr>
            </w:pPr>
            <w:r w:rsidRPr="000F23E0">
              <w:rPr>
                <w:rStyle w:val="normaltextrun"/>
              </w:rPr>
              <w:t>6.7</w:t>
            </w:r>
          </w:p>
        </w:tc>
        <w:tc>
          <w:tcPr>
            <w:tcW w:w="1361" w:type="dxa"/>
            <w:shd w:val="clear" w:color="auto" w:fill="FEFAF8"/>
          </w:tcPr>
          <w:p w14:paraId="4EC283CD" w14:textId="11D20ADC" w:rsidR="00CA1C75" w:rsidRPr="000F23E0" w:rsidRDefault="00CA1C75" w:rsidP="00B906C7">
            <w:pPr>
              <w:pStyle w:val="TableTextRight"/>
              <w:keepNext/>
              <w:keepLines/>
              <w:cnfStyle w:val="000000000000" w:firstRow="0" w:lastRow="0" w:firstColumn="0" w:lastColumn="0" w:oddVBand="0" w:evenVBand="0" w:oddHBand="0" w:evenHBand="0" w:firstRowFirstColumn="0" w:firstRowLastColumn="0" w:lastRowFirstColumn="0" w:lastRowLastColumn="0"/>
            </w:pPr>
            <w:r w:rsidRPr="000F23E0">
              <w:t>3.6</w:t>
            </w:r>
          </w:p>
        </w:tc>
        <w:tc>
          <w:tcPr>
            <w:tcW w:w="1361" w:type="dxa"/>
            <w:shd w:val="clear" w:color="auto" w:fill="FEFAF8"/>
          </w:tcPr>
          <w:p w14:paraId="17473DD8" w14:textId="258F8326" w:rsidR="00CA1C75" w:rsidRPr="000F23E0" w:rsidRDefault="00CA1C75" w:rsidP="00B906C7">
            <w:pPr>
              <w:pStyle w:val="TableTextRight"/>
              <w:keepNext/>
              <w:keepLines/>
              <w:cnfStyle w:val="000000000000" w:firstRow="0" w:lastRow="0" w:firstColumn="0" w:lastColumn="0" w:oddVBand="0" w:evenVBand="0" w:oddHBand="0" w:evenHBand="0" w:firstRowFirstColumn="0" w:firstRowLastColumn="0" w:lastRowFirstColumn="0" w:lastRowLastColumn="0"/>
            </w:pPr>
            <w:r w:rsidRPr="000F23E0">
              <w:rPr>
                <w:rStyle w:val="normaltextrun"/>
              </w:rPr>
              <w:t>40.4</w:t>
            </w:r>
          </w:p>
        </w:tc>
        <w:tc>
          <w:tcPr>
            <w:tcW w:w="1361" w:type="dxa"/>
            <w:shd w:val="clear" w:color="auto" w:fill="FEFAF8"/>
          </w:tcPr>
          <w:p w14:paraId="231C504D" w14:textId="18AA4095" w:rsidR="00CA1C75" w:rsidRPr="000F23E0" w:rsidRDefault="00CA1C75" w:rsidP="00B906C7">
            <w:pPr>
              <w:pStyle w:val="TableTextRight"/>
              <w:keepNext/>
              <w:keepLines/>
              <w:cnfStyle w:val="000000000000" w:firstRow="0" w:lastRow="0" w:firstColumn="0" w:lastColumn="0" w:oddVBand="0" w:evenVBand="0" w:oddHBand="0" w:evenHBand="0" w:firstRowFirstColumn="0" w:firstRowLastColumn="0" w:lastRowFirstColumn="0" w:lastRowLastColumn="0"/>
            </w:pPr>
            <w:r w:rsidRPr="000F23E0">
              <w:rPr>
                <w:rStyle w:val="normaltextrun"/>
              </w:rPr>
              <w:t>138.8</w:t>
            </w:r>
          </w:p>
        </w:tc>
      </w:tr>
      <w:tr w:rsidR="00EB7950" w:rsidRPr="000F23E0" w14:paraId="4015DB00" w14:textId="77777777" w:rsidTr="009E1B98">
        <w:trPr>
          <w:trHeight w:val="261"/>
        </w:trPr>
        <w:tc>
          <w:tcPr>
            <w:cnfStyle w:val="001000000000" w:firstRow="0" w:lastRow="0" w:firstColumn="1" w:lastColumn="0" w:oddVBand="0" w:evenVBand="0" w:oddHBand="0" w:evenHBand="0" w:firstRowFirstColumn="0" w:firstRowLastColumn="0" w:lastRowFirstColumn="0" w:lastRowLastColumn="0"/>
            <w:tcW w:w="1361" w:type="dxa"/>
            <w:vMerge/>
            <w:shd w:val="clear" w:color="auto" w:fill="FDF0E7"/>
          </w:tcPr>
          <w:p w14:paraId="6F05DA86" w14:textId="77777777" w:rsidR="00CA1C75" w:rsidRPr="000F23E0" w:rsidRDefault="00CA1C75" w:rsidP="00B906C7">
            <w:pPr>
              <w:pStyle w:val="TableTextLeft"/>
              <w:keepNext/>
              <w:keepLines/>
              <w:spacing w:before="120" w:after="120"/>
              <w:rPr>
                <w:rFonts w:eastAsiaTheme="majorEastAsia"/>
                <w:b/>
                <w:szCs w:val="18"/>
              </w:rPr>
            </w:pPr>
          </w:p>
        </w:tc>
        <w:tc>
          <w:tcPr>
            <w:tcW w:w="2041" w:type="dxa"/>
            <w:shd w:val="clear" w:color="auto" w:fill="FEFAF8"/>
          </w:tcPr>
          <w:p w14:paraId="377561B9" w14:textId="66E4B523" w:rsidR="00CA1C75" w:rsidRPr="000F23E0" w:rsidRDefault="00CA1C75" w:rsidP="00B906C7">
            <w:pPr>
              <w:pStyle w:val="TableTextLeft"/>
              <w:keepNext/>
              <w:keepLines/>
              <w:cnfStyle w:val="000000000000" w:firstRow="0" w:lastRow="0" w:firstColumn="0" w:lastColumn="0" w:oddVBand="0" w:evenVBand="0" w:oddHBand="0" w:evenHBand="0" w:firstRowFirstColumn="0" w:firstRowLastColumn="0" w:lastRowFirstColumn="0" w:lastRowLastColumn="0"/>
            </w:pPr>
            <w:r w:rsidRPr="000F23E0">
              <w:rPr>
                <w:rFonts w:eastAsiaTheme="majorEastAsia"/>
              </w:rPr>
              <w:t>Optimising the transition to renewable electricity</w:t>
            </w:r>
          </w:p>
        </w:tc>
        <w:tc>
          <w:tcPr>
            <w:tcW w:w="1361" w:type="dxa"/>
            <w:shd w:val="clear" w:color="auto" w:fill="FEFAF8"/>
          </w:tcPr>
          <w:p w14:paraId="091C50BF" w14:textId="7A3DC916" w:rsidR="00CA1C75" w:rsidRPr="000F23E0" w:rsidRDefault="00CA1C75" w:rsidP="00B906C7">
            <w:pPr>
              <w:pStyle w:val="TableTextRight"/>
              <w:keepNext/>
              <w:keepLines/>
              <w:cnfStyle w:val="000000000000" w:firstRow="0" w:lastRow="0" w:firstColumn="0" w:lastColumn="0" w:oddVBand="0" w:evenVBand="0" w:oddHBand="0" w:evenHBand="0" w:firstRowFirstColumn="0" w:firstRowLastColumn="0" w:lastRowFirstColumn="0" w:lastRowLastColumn="0"/>
              <w:rPr>
                <w:rStyle w:val="normaltextrun"/>
              </w:rPr>
            </w:pPr>
            <w:r w:rsidRPr="000F23E0">
              <w:rPr>
                <w:rStyle w:val="normaltextrun"/>
              </w:rPr>
              <w:t>101.2</w:t>
            </w:r>
          </w:p>
        </w:tc>
        <w:tc>
          <w:tcPr>
            <w:tcW w:w="1361" w:type="dxa"/>
            <w:shd w:val="clear" w:color="auto" w:fill="FEFAF8"/>
          </w:tcPr>
          <w:p w14:paraId="361CBB61" w14:textId="5F6762EB" w:rsidR="00CA1C75" w:rsidRPr="000F23E0" w:rsidRDefault="00CA1C75" w:rsidP="00B906C7">
            <w:pPr>
              <w:pStyle w:val="TableTextRight"/>
              <w:keepNext/>
              <w:keepLines/>
              <w:cnfStyle w:val="000000000000" w:firstRow="0" w:lastRow="0" w:firstColumn="0" w:lastColumn="0" w:oddVBand="0" w:evenVBand="0" w:oddHBand="0" w:evenHBand="0" w:firstRowFirstColumn="0" w:firstRowLastColumn="0" w:lastRowFirstColumn="0" w:lastRowLastColumn="0"/>
            </w:pPr>
            <w:r w:rsidRPr="000F23E0">
              <w:t>54.8</w:t>
            </w:r>
          </w:p>
        </w:tc>
        <w:tc>
          <w:tcPr>
            <w:tcW w:w="1361" w:type="dxa"/>
            <w:shd w:val="clear" w:color="auto" w:fill="FEFAF8"/>
          </w:tcPr>
          <w:p w14:paraId="074D55E7" w14:textId="4304E3D7" w:rsidR="00CA1C75" w:rsidRPr="000F23E0" w:rsidRDefault="00CA1C75" w:rsidP="00B906C7">
            <w:pPr>
              <w:pStyle w:val="TableTextRight"/>
              <w:keepNext/>
              <w:keepLines/>
              <w:cnfStyle w:val="000000000000" w:firstRow="0" w:lastRow="0" w:firstColumn="0" w:lastColumn="0" w:oddVBand="0" w:evenVBand="0" w:oddHBand="0" w:evenHBand="0" w:firstRowFirstColumn="0" w:firstRowLastColumn="0" w:lastRowFirstColumn="0" w:lastRowLastColumn="0"/>
            </w:pPr>
            <w:r w:rsidRPr="000F23E0">
              <w:rPr>
                <w:rStyle w:val="normaltextrun"/>
              </w:rPr>
              <w:t>455.8</w:t>
            </w:r>
          </w:p>
        </w:tc>
        <w:tc>
          <w:tcPr>
            <w:tcW w:w="1361" w:type="dxa"/>
            <w:shd w:val="clear" w:color="auto" w:fill="FEFAF8"/>
          </w:tcPr>
          <w:p w14:paraId="3CE53458" w14:textId="1726FE63" w:rsidR="00CA1C75" w:rsidRPr="000F23E0" w:rsidRDefault="00CA1C75" w:rsidP="00B906C7">
            <w:pPr>
              <w:pStyle w:val="TableTextRight"/>
              <w:keepNext/>
              <w:keepLines/>
              <w:cnfStyle w:val="000000000000" w:firstRow="0" w:lastRow="0" w:firstColumn="0" w:lastColumn="0" w:oddVBand="0" w:evenVBand="0" w:oddHBand="0" w:evenHBand="0" w:firstRowFirstColumn="0" w:firstRowLastColumn="0" w:lastRowFirstColumn="0" w:lastRowLastColumn="0"/>
            </w:pPr>
            <w:r w:rsidRPr="000F23E0">
              <w:rPr>
                <w:rStyle w:val="normaltextrun"/>
              </w:rPr>
              <w:t>3</w:t>
            </w:r>
            <w:r w:rsidR="00D6625A" w:rsidRPr="000F23E0">
              <w:rPr>
                <w:rStyle w:val="normaltextrun"/>
              </w:rPr>
              <w:t>,</w:t>
            </w:r>
            <w:r w:rsidRPr="000F23E0">
              <w:rPr>
                <w:rStyle w:val="normaltextrun"/>
              </w:rPr>
              <w:t>331.8</w:t>
            </w:r>
          </w:p>
        </w:tc>
      </w:tr>
      <w:tr w:rsidR="00EB7950" w:rsidRPr="000F23E0" w14:paraId="119D437D" w14:textId="77777777" w:rsidTr="009E1B98">
        <w:trPr>
          <w:trHeight w:val="261"/>
        </w:trPr>
        <w:tc>
          <w:tcPr>
            <w:cnfStyle w:val="001000000000" w:firstRow="0" w:lastRow="0" w:firstColumn="1" w:lastColumn="0" w:oddVBand="0" w:evenVBand="0" w:oddHBand="0" w:evenHBand="0" w:firstRowFirstColumn="0" w:firstRowLastColumn="0" w:lastRowFirstColumn="0" w:lastRowLastColumn="0"/>
            <w:tcW w:w="1361" w:type="dxa"/>
            <w:vMerge/>
            <w:shd w:val="clear" w:color="auto" w:fill="FDF0E7"/>
          </w:tcPr>
          <w:p w14:paraId="3C72D241" w14:textId="77777777" w:rsidR="00CA1C75" w:rsidRPr="000F23E0" w:rsidRDefault="00CA1C75" w:rsidP="00B906C7">
            <w:pPr>
              <w:pStyle w:val="TableTextLeft"/>
              <w:keepNext/>
              <w:keepLines/>
              <w:spacing w:before="120" w:after="120"/>
              <w:rPr>
                <w:rFonts w:eastAsiaTheme="majorEastAsia"/>
                <w:b/>
                <w:szCs w:val="18"/>
              </w:rPr>
            </w:pPr>
          </w:p>
        </w:tc>
        <w:tc>
          <w:tcPr>
            <w:tcW w:w="2041" w:type="dxa"/>
            <w:shd w:val="clear" w:color="auto" w:fill="FEFAF8"/>
          </w:tcPr>
          <w:p w14:paraId="175DC35C" w14:textId="60BFE2F6" w:rsidR="00CA1C75" w:rsidRPr="000F23E0" w:rsidRDefault="00CA1C75" w:rsidP="00B906C7">
            <w:pPr>
              <w:pStyle w:val="TableTextLeft"/>
              <w:keepNext/>
              <w:keepLines/>
              <w:cnfStyle w:val="000000000000" w:firstRow="0" w:lastRow="0" w:firstColumn="0" w:lastColumn="0" w:oddVBand="0" w:evenVBand="0" w:oddHBand="0" w:evenHBand="0" w:firstRowFirstColumn="0" w:firstRowLastColumn="0" w:lastRowFirstColumn="0" w:lastRowLastColumn="0"/>
            </w:pPr>
            <w:r w:rsidRPr="000F23E0">
              <w:rPr>
                <w:rFonts w:eastAsiaTheme="majorEastAsia"/>
              </w:rPr>
              <w:t>Other</w:t>
            </w:r>
          </w:p>
        </w:tc>
        <w:tc>
          <w:tcPr>
            <w:tcW w:w="1361" w:type="dxa"/>
            <w:shd w:val="clear" w:color="auto" w:fill="FEFAF8"/>
          </w:tcPr>
          <w:p w14:paraId="7F0DB4E3" w14:textId="1515AEAA" w:rsidR="00CA1C75" w:rsidRPr="000F23E0" w:rsidRDefault="00CA1C75" w:rsidP="00B906C7">
            <w:pPr>
              <w:pStyle w:val="TableTextRight"/>
              <w:keepNext/>
              <w:keepLines/>
              <w:cnfStyle w:val="000000000000" w:firstRow="0" w:lastRow="0" w:firstColumn="0" w:lastColumn="0" w:oddVBand="0" w:evenVBand="0" w:oddHBand="0" w:evenHBand="0" w:firstRowFirstColumn="0" w:firstRowLastColumn="0" w:lastRowFirstColumn="0" w:lastRowLastColumn="0"/>
              <w:rPr>
                <w:rStyle w:val="normaltextrun"/>
              </w:rPr>
            </w:pPr>
            <w:r w:rsidRPr="000F23E0">
              <w:rPr>
                <w:rStyle w:val="normaltextrun"/>
              </w:rPr>
              <w:t>20.</w:t>
            </w:r>
            <w:r w:rsidR="003A73FE" w:rsidRPr="000F23E0">
              <w:rPr>
                <w:rStyle w:val="normaltextrun"/>
              </w:rPr>
              <w:t>3</w:t>
            </w:r>
          </w:p>
        </w:tc>
        <w:tc>
          <w:tcPr>
            <w:tcW w:w="1361" w:type="dxa"/>
            <w:shd w:val="clear" w:color="auto" w:fill="FEFAF8"/>
          </w:tcPr>
          <w:p w14:paraId="3FA452E3" w14:textId="22246E06" w:rsidR="00CA1C75" w:rsidRPr="000F23E0" w:rsidRDefault="00CA1C75" w:rsidP="00B906C7">
            <w:pPr>
              <w:pStyle w:val="TableTextRight"/>
              <w:keepNext/>
              <w:keepLines/>
              <w:cnfStyle w:val="000000000000" w:firstRow="0" w:lastRow="0" w:firstColumn="0" w:lastColumn="0" w:oddVBand="0" w:evenVBand="0" w:oddHBand="0" w:evenHBand="0" w:firstRowFirstColumn="0" w:firstRowLastColumn="0" w:lastRowFirstColumn="0" w:lastRowLastColumn="0"/>
            </w:pPr>
            <w:r w:rsidRPr="000F23E0">
              <w:t>1</w:t>
            </w:r>
            <w:r w:rsidR="003A73FE" w:rsidRPr="000F23E0">
              <w:t>1.0</w:t>
            </w:r>
          </w:p>
        </w:tc>
        <w:tc>
          <w:tcPr>
            <w:tcW w:w="1361" w:type="dxa"/>
            <w:shd w:val="clear" w:color="auto" w:fill="FEFAF8"/>
          </w:tcPr>
          <w:p w14:paraId="1E0CA084" w14:textId="5BE2270B" w:rsidR="00CA1C75" w:rsidRPr="000F23E0" w:rsidRDefault="00CA1C75" w:rsidP="00B906C7">
            <w:pPr>
              <w:pStyle w:val="TableTextRight"/>
              <w:keepNext/>
              <w:keepLines/>
              <w:cnfStyle w:val="000000000000" w:firstRow="0" w:lastRow="0" w:firstColumn="0" w:lastColumn="0" w:oddVBand="0" w:evenVBand="0" w:oddHBand="0" w:evenHBand="0" w:firstRowFirstColumn="0" w:firstRowLastColumn="0" w:lastRowFirstColumn="0" w:lastRowLastColumn="0"/>
            </w:pPr>
            <w:r w:rsidRPr="000F23E0">
              <w:rPr>
                <w:rStyle w:val="normaltextrun"/>
              </w:rPr>
              <w:t>104.</w:t>
            </w:r>
            <w:r w:rsidR="00780752" w:rsidRPr="000F23E0">
              <w:rPr>
                <w:rStyle w:val="normaltextrun"/>
              </w:rPr>
              <w:t>9</w:t>
            </w:r>
          </w:p>
        </w:tc>
        <w:tc>
          <w:tcPr>
            <w:tcW w:w="1361" w:type="dxa"/>
            <w:shd w:val="clear" w:color="auto" w:fill="FEFAF8"/>
          </w:tcPr>
          <w:p w14:paraId="65769775" w14:textId="283DF373" w:rsidR="00CA1C75" w:rsidRPr="000F23E0" w:rsidRDefault="00CA1C75" w:rsidP="00B906C7">
            <w:pPr>
              <w:pStyle w:val="TableTextRight"/>
              <w:keepNext/>
              <w:keepLines/>
              <w:cnfStyle w:val="000000000000" w:firstRow="0" w:lastRow="0" w:firstColumn="0" w:lastColumn="0" w:oddVBand="0" w:evenVBand="0" w:oddHBand="0" w:evenHBand="0" w:firstRowFirstColumn="0" w:firstRowLastColumn="0" w:lastRowFirstColumn="0" w:lastRowLastColumn="0"/>
            </w:pPr>
            <w:r w:rsidRPr="000F23E0">
              <w:rPr>
                <w:rStyle w:val="normaltextrun"/>
              </w:rPr>
              <w:t>1</w:t>
            </w:r>
            <w:r w:rsidR="00D6625A" w:rsidRPr="000F23E0">
              <w:rPr>
                <w:rStyle w:val="normaltextrun"/>
              </w:rPr>
              <w:t>,</w:t>
            </w:r>
            <w:r w:rsidRPr="000F23E0">
              <w:rPr>
                <w:rStyle w:val="normaltextrun"/>
              </w:rPr>
              <w:t>38</w:t>
            </w:r>
            <w:r w:rsidR="00780752" w:rsidRPr="000F23E0">
              <w:rPr>
                <w:rStyle w:val="normaltextrun"/>
              </w:rPr>
              <w:t>7</w:t>
            </w:r>
            <w:r w:rsidRPr="000F23E0">
              <w:rPr>
                <w:rStyle w:val="normaltextrun"/>
              </w:rPr>
              <w:t>.5</w:t>
            </w:r>
          </w:p>
        </w:tc>
      </w:tr>
      <w:tr w:rsidR="004D6BFF" w:rsidRPr="000F23E0" w14:paraId="20C9C152" w14:textId="77777777" w:rsidTr="009E1B98">
        <w:trPr>
          <w:trHeight w:val="261"/>
        </w:trPr>
        <w:tc>
          <w:tcPr>
            <w:cnfStyle w:val="001000000000" w:firstRow="0" w:lastRow="0" w:firstColumn="1" w:lastColumn="0" w:oddVBand="0" w:evenVBand="0" w:oddHBand="0" w:evenHBand="0" w:firstRowFirstColumn="0" w:firstRowLastColumn="0" w:lastRowFirstColumn="0" w:lastRowLastColumn="0"/>
            <w:tcW w:w="1361" w:type="dxa"/>
            <w:vMerge/>
            <w:shd w:val="clear" w:color="auto" w:fill="FDF0E7"/>
          </w:tcPr>
          <w:p w14:paraId="42293522" w14:textId="77777777" w:rsidR="00CA1C75" w:rsidRPr="000F23E0" w:rsidRDefault="00CA1C75" w:rsidP="00B906C7">
            <w:pPr>
              <w:pStyle w:val="TableTextLeft"/>
              <w:keepNext/>
              <w:keepLines/>
              <w:spacing w:before="120" w:after="120"/>
              <w:rPr>
                <w:szCs w:val="18"/>
              </w:rPr>
            </w:pPr>
          </w:p>
        </w:tc>
        <w:tc>
          <w:tcPr>
            <w:tcW w:w="2041" w:type="dxa"/>
            <w:shd w:val="clear" w:color="auto" w:fill="FEFAF8"/>
            <w:vAlign w:val="center"/>
          </w:tcPr>
          <w:p w14:paraId="5932E009" w14:textId="6581CED3" w:rsidR="00CA1C75" w:rsidRPr="000F23E0" w:rsidRDefault="00CA1C75" w:rsidP="00B906C7">
            <w:pPr>
              <w:pStyle w:val="TableTextLeft"/>
              <w:keepNext/>
              <w:keepLines/>
              <w:cnfStyle w:val="000000000000" w:firstRow="0" w:lastRow="0" w:firstColumn="0" w:lastColumn="0" w:oddVBand="0" w:evenVBand="0" w:oddHBand="0" w:evenHBand="0" w:firstRowFirstColumn="0" w:firstRowLastColumn="0" w:lastRowFirstColumn="0" w:lastRowLastColumn="0"/>
              <w:rPr>
                <w:b/>
                <w:bCs/>
              </w:rPr>
            </w:pPr>
            <w:r w:rsidRPr="000F23E0">
              <w:rPr>
                <w:b/>
                <w:bCs/>
              </w:rPr>
              <w:t>Total</w:t>
            </w:r>
            <w:r w:rsidR="007633BE" w:rsidRPr="000F23E0">
              <w:rPr>
                <w:b/>
                <w:bCs/>
              </w:rPr>
              <w:t>(a)</w:t>
            </w:r>
          </w:p>
        </w:tc>
        <w:tc>
          <w:tcPr>
            <w:tcW w:w="1361" w:type="dxa"/>
            <w:shd w:val="clear" w:color="auto" w:fill="FEFAF8"/>
          </w:tcPr>
          <w:p w14:paraId="5F5A94F5" w14:textId="2985EE72" w:rsidR="00CA1C75" w:rsidRPr="000F23E0" w:rsidRDefault="00CA1C75" w:rsidP="00B906C7">
            <w:pPr>
              <w:pStyle w:val="TableTextRight"/>
              <w:keepNext/>
              <w:keepLines/>
              <w:cnfStyle w:val="000000000000" w:firstRow="0" w:lastRow="0" w:firstColumn="0" w:lastColumn="0" w:oddVBand="0" w:evenVBand="0" w:oddHBand="0" w:evenHBand="0" w:firstRowFirstColumn="0" w:firstRowLastColumn="0" w:lastRowFirstColumn="0" w:lastRowLastColumn="0"/>
              <w:rPr>
                <w:rStyle w:val="normaltextrun"/>
                <w:b/>
                <w:bCs/>
              </w:rPr>
            </w:pPr>
            <w:r w:rsidRPr="000F23E0">
              <w:rPr>
                <w:rStyle w:val="normaltextrun"/>
                <w:b/>
                <w:bCs/>
              </w:rPr>
              <w:t>133.7</w:t>
            </w:r>
          </w:p>
        </w:tc>
        <w:tc>
          <w:tcPr>
            <w:tcW w:w="1361" w:type="dxa"/>
            <w:shd w:val="clear" w:color="auto" w:fill="FEFAF8"/>
          </w:tcPr>
          <w:p w14:paraId="7BE6C7CC" w14:textId="7515C7EB" w:rsidR="00CA1C75" w:rsidRPr="000F23E0" w:rsidRDefault="00CA1C75" w:rsidP="00B906C7">
            <w:pPr>
              <w:pStyle w:val="TableTextRight"/>
              <w:keepNext/>
              <w:keepLines/>
              <w:cnfStyle w:val="000000000000" w:firstRow="0" w:lastRow="0" w:firstColumn="0" w:lastColumn="0" w:oddVBand="0" w:evenVBand="0" w:oddHBand="0" w:evenHBand="0" w:firstRowFirstColumn="0" w:firstRowLastColumn="0" w:lastRowFirstColumn="0" w:lastRowLastColumn="0"/>
              <w:rPr>
                <w:b/>
                <w:bCs/>
              </w:rPr>
            </w:pPr>
            <w:r w:rsidRPr="000F23E0">
              <w:rPr>
                <w:b/>
                <w:bCs/>
              </w:rPr>
              <w:t>72.4</w:t>
            </w:r>
          </w:p>
        </w:tc>
        <w:tc>
          <w:tcPr>
            <w:tcW w:w="1361" w:type="dxa"/>
            <w:shd w:val="clear" w:color="auto" w:fill="FEFAF8"/>
          </w:tcPr>
          <w:p w14:paraId="5F8BCDCD" w14:textId="269977C8" w:rsidR="00CA1C75" w:rsidRPr="000F23E0" w:rsidRDefault="00CA1C75" w:rsidP="00B906C7">
            <w:pPr>
              <w:pStyle w:val="TableTextRight"/>
              <w:keepNext/>
              <w:keepLines/>
              <w:cnfStyle w:val="000000000000" w:firstRow="0" w:lastRow="0" w:firstColumn="0" w:lastColumn="0" w:oddVBand="0" w:evenVBand="0" w:oddHBand="0" w:evenHBand="0" w:firstRowFirstColumn="0" w:firstRowLastColumn="0" w:lastRowFirstColumn="0" w:lastRowLastColumn="0"/>
              <w:rPr>
                <w:b/>
                <w:bCs/>
              </w:rPr>
            </w:pPr>
            <w:r w:rsidRPr="000F23E0">
              <w:rPr>
                <w:rStyle w:val="normaltextrun"/>
                <w:b/>
                <w:bCs/>
              </w:rPr>
              <w:t>679.9</w:t>
            </w:r>
          </w:p>
        </w:tc>
        <w:tc>
          <w:tcPr>
            <w:tcW w:w="1361" w:type="dxa"/>
            <w:shd w:val="clear" w:color="auto" w:fill="FEFAF8"/>
          </w:tcPr>
          <w:p w14:paraId="11631282" w14:textId="03F373FC" w:rsidR="00CA1C75" w:rsidRPr="000F23E0" w:rsidRDefault="00CA1C75" w:rsidP="00B906C7">
            <w:pPr>
              <w:pStyle w:val="TableTextRight"/>
              <w:keepNext/>
              <w:keepLines/>
              <w:cnfStyle w:val="000000000000" w:firstRow="0" w:lastRow="0" w:firstColumn="0" w:lastColumn="0" w:oddVBand="0" w:evenVBand="0" w:oddHBand="0" w:evenHBand="0" w:firstRowFirstColumn="0" w:firstRowLastColumn="0" w:lastRowFirstColumn="0" w:lastRowLastColumn="0"/>
              <w:rPr>
                <w:b/>
                <w:bCs/>
              </w:rPr>
            </w:pPr>
            <w:r w:rsidRPr="000F23E0">
              <w:rPr>
                <w:rStyle w:val="normaltextrun"/>
                <w:b/>
                <w:bCs/>
              </w:rPr>
              <w:t>5</w:t>
            </w:r>
            <w:r w:rsidR="00D6625A" w:rsidRPr="000F23E0">
              <w:rPr>
                <w:rStyle w:val="normaltextrun"/>
                <w:b/>
                <w:bCs/>
              </w:rPr>
              <w:t>,</w:t>
            </w:r>
            <w:r w:rsidRPr="000F23E0">
              <w:rPr>
                <w:rStyle w:val="normaltextrun"/>
                <w:b/>
                <w:bCs/>
              </w:rPr>
              <w:t>130.6</w:t>
            </w:r>
          </w:p>
        </w:tc>
      </w:tr>
    </w:tbl>
    <w:p w14:paraId="6B5BA77B" w14:textId="1EE05BB4" w:rsidR="00B238A0" w:rsidRPr="000F23E0" w:rsidRDefault="00E5298C" w:rsidP="00B906C7">
      <w:pPr>
        <w:pStyle w:val="ChartandTableFootnoteAlpha"/>
        <w:keepNext/>
        <w:keepLines/>
        <w:numPr>
          <w:ilvl w:val="0"/>
          <w:numId w:val="48"/>
        </w:numPr>
      </w:pPr>
      <w:r w:rsidRPr="000F23E0">
        <w:t>Due to rounding, discrepancies may occur between sums of the component items and totals.</w:t>
      </w:r>
    </w:p>
    <w:p w14:paraId="770A3430" w14:textId="7E6A03D1" w:rsidR="00ED3691" w:rsidRPr="000F23E0" w:rsidRDefault="00ED3691" w:rsidP="007143C1">
      <w:pPr>
        <w:pStyle w:val="Heading4"/>
      </w:pPr>
      <w:r w:rsidRPr="000F23E0">
        <w:t>Co</w:t>
      </w:r>
      <w:r w:rsidR="002C4475" w:rsidRPr="000F23E0">
        <w:noBreakHyphen/>
      </w:r>
      <w:r w:rsidRPr="000F23E0">
        <w:t xml:space="preserve">financing </w:t>
      </w:r>
      <w:r w:rsidR="0002119B" w:rsidRPr="000F23E0">
        <w:t>a</w:t>
      </w:r>
      <w:r w:rsidRPr="000F23E0">
        <w:t>rrangements</w:t>
      </w:r>
    </w:p>
    <w:p w14:paraId="5D8107A0" w14:textId="4E44E4A6" w:rsidR="00ED3691" w:rsidRPr="000F23E0" w:rsidRDefault="00ED3691" w:rsidP="002815EF">
      <w:r w:rsidRPr="000F23E0">
        <w:t xml:space="preserve">ARP funding is deployed by ARENA through grants. The </w:t>
      </w:r>
      <w:r w:rsidR="00373041" w:rsidRPr="000F23E0">
        <w:t>p</w:t>
      </w:r>
      <w:r w:rsidRPr="000F23E0">
        <w:t>rogram is co</w:t>
      </w:r>
      <w:r w:rsidR="002C4475" w:rsidRPr="000F23E0">
        <w:noBreakHyphen/>
      </w:r>
      <w:r w:rsidRPr="000F23E0">
        <w:t xml:space="preserve">financed with project partners, but grant recipients are </w:t>
      </w:r>
      <w:r w:rsidR="00373041" w:rsidRPr="000F23E0">
        <w:t xml:space="preserve">usually </w:t>
      </w:r>
      <w:r w:rsidRPr="000F23E0">
        <w:t>expected to match funding provided by ARENA. ARENA will provide the</w:t>
      </w:r>
      <w:r w:rsidR="00B906C7" w:rsidRPr="000F23E0">
        <w:t> </w:t>
      </w:r>
      <w:r w:rsidRPr="000F23E0">
        <w:t>minimum funding needed for the project to proceed, at times subject to all other parties to the project receiving a commercial return.</w:t>
      </w:r>
    </w:p>
    <w:p w14:paraId="3A0E7E6F" w14:textId="0CCB0682" w:rsidR="00ED3691" w:rsidRPr="000F23E0" w:rsidRDefault="00611CEF" w:rsidP="002815EF">
      <w:r w:rsidRPr="000F23E0">
        <w:t>GTB</w:t>
      </w:r>
      <w:r w:rsidR="00ED3691" w:rsidRPr="000F23E0">
        <w:t xml:space="preserve"> proceeds can only be used for renewable energy activities, in line with the Framework. They cannot be used for any other activities. Some </w:t>
      </w:r>
      <w:r w:rsidRPr="000F23E0">
        <w:t>GTB</w:t>
      </w:r>
      <w:r w:rsidR="00ED3691" w:rsidRPr="000F23E0">
        <w:t xml:space="preserve"> proceeds have been allocated to entities in high</w:t>
      </w:r>
      <w:r w:rsidR="002C4475" w:rsidRPr="000F23E0">
        <w:noBreakHyphen/>
      </w:r>
      <w:r w:rsidR="00ED3691" w:rsidRPr="000F23E0">
        <w:t xml:space="preserve">emitting industries, strictly for the purposes of developing renewable energy projects. ARENA provides clear direction on eligible activities and monitors grant funding per the </w:t>
      </w:r>
      <w:r w:rsidR="00393957" w:rsidRPr="000F23E0">
        <w:t>Advancing Renewables Program</w:t>
      </w:r>
      <w:r w:rsidR="00ED3691" w:rsidRPr="000F23E0">
        <w:t xml:space="preserve"> Guidelines.</w:t>
      </w:r>
    </w:p>
    <w:p w14:paraId="59154516" w14:textId="7429DEB3" w:rsidR="00ED3691" w:rsidRPr="000F23E0" w:rsidRDefault="00ED3691" w:rsidP="007143C1">
      <w:pPr>
        <w:pStyle w:val="Heading4"/>
      </w:pPr>
      <w:r w:rsidRPr="000F23E0">
        <w:t xml:space="preserve">Material </w:t>
      </w:r>
      <w:r w:rsidR="0002119B" w:rsidRPr="000F23E0">
        <w:t>r</w:t>
      </w:r>
      <w:r w:rsidRPr="000F23E0">
        <w:t>isks</w:t>
      </w:r>
    </w:p>
    <w:p w14:paraId="200831E3" w14:textId="7D1ED327" w:rsidR="00ED3691" w:rsidRPr="000F23E0" w:rsidRDefault="00ED3691" w:rsidP="00B40611">
      <w:r w:rsidRPr="000F23E0">
        <w:t xml:space="preserve">No material risks have been identified to deliver the </w:t>
      </w:r>
      <w:r w:rsidR="00801BA3" w:rsidRPr="000F23E0">
        <w:t>ARP</w:t>
      </w:r>
      <w:r w:rsidRPr="000F23E0">
        <w:t>.</w:t>
      </w:r>
    </w:p>
    <w:p w14:paraId="756EA395" w14:textId="05515F15" w:rsidR="00ED3691" w:rsidRPr="000F23E0" w:rsidRDefault="00ED3691" w:rsidP="00B906C7">
      <w:pPr>
        <w:pStyle w:val="Heading3"/>
        <w:keepLines/>
      </w:pPr>
      <w:r w:rsidRPr="000F23E0">
        <w:lastRenderedPageBreak/>
        <w:t xml:space="preserve">Project </w:t>
      </w:r>
      <w:r w:rsidR="0002119B" w:rsidRPr="000F23E0">
        <w:t>i</w:t>
      </w:r>
      <w:r w:rsidRPr="000F23E0">
        <w:t>mpacts</w:t>
      </w:r>
    </w:p>
    <w:p w14:paraId="0C04B39A" w14:textId="4718A239" w:rsidR="002D5CCA" w:rsidRPr="000F23E0" w:rsidRDefault="00611CEF" w:rsidP="00B906C7">
      <w:pPr>
        <w:keepNext/>
        <w:keepLines/>
      </w:pPr>
      <w:r w:rsidRPr="000F23E0">
        <w:t>GTB</w:t>
      </w:r>
      <w:r w:rsidR="00ED3691" w:rsidRPr="000F23E0">
        <w:t xml:space="preserve">s have contributed to </w:t>
      </w:r>
      <w:r w:rsidR="004B6FFD" w:rsidRPr="000F23E0">
        <w:t>31</w:t>
      </w:r>
      <w:r w:rsidR="00ED3691" w:rsidRPr="000F23E0">
        <w:t xml:space="preserve"> development, demonstration, and pre</w:t>
      </w:r>
      <w:r w:rsidR="002C4475" w:rsidRPr="000F23E0">
        <w:noBreakHyphen/>
      </w:r>
      <w:r w:rsidR="00ED3691" w:rsidRPr="000F23E0">
        <w:t xml:space="preserve">commercial deployment projects under the ARP </w:t>
      </w:r>
      <w:r w:rsidR="00BB5037" w:rsidRPr="000F23E0">
        <w:t xml:space="preserve">(Table </w:t>
      </w:r>
      <w:r w:rsidR="00AF2672" w:rsidRPr="000F23E0">
        <w:t>16</w:t>
      </w:r>
      <w:r w:rsidR="00ED3691" w:rsidRPr="000F23E0">
        <w:t xml:space="preserve">). </w:t>
      </w:r>
      <w:r w:rsidR="00F61431" w:rsidRPr="000F23E0">
        <w:t>I</w:t>
      </w:r>
      <w:r w:rsidR="00ED3691" w:rsidRPr="000F23E0">
        <w:t>t is difficult to aggregate the climate and environmental impact of the ARP</w:t>
      </w:r>
      <w:r w:rsidR="00F61431" w:rsidRPr="000F23E0">
        <w:t xml:space="preserve"> given the varied nature of the program</w:t>
      </w:r>
      <w:r w:rsidR="00ED3691" w:rsidRPr="000F23E0">
        <w:t xml:space="preserve">. </w:t>
      </w:r>
    </w:p>
    <w:p w14:paraId="79C9390D" w14:textId="7C436E76" w:rsidR="00ED3691" w:rsidRPr="000F23E0" w:rsidRDefault="00ED3691" w:rsidP="00B906C7">
      <w:pPr>
        <w:keepNext/>
        <w:keepLines/>
      </w:pPr>
      <w:r w:rsidRPr="000F23E0">
        <w:t>Projects under the ARP have varied timeframes given they are at a pre</w:t>
      </w:r>
      <w:r w:rsidR="002C4475" w:rsidRPr="000F23E0">
        <w:noBreakHyphen/>
      </w:r>
      <w:r w:rsidRPr="000F23E0">
        <w:t>commercial stage.</w:t>
      </w:r>
    </w:p>
    <w:p w14:paraId="379EAA53" w14:textId="325C65F6" w:rsidR="00ED3691" w:rsidRPr="000F23E0" w:rsidRDefault="00ED3691" w:rsidP="00551F72">
      <w:pPr>
        <w:pStyle w:val="TableMainHeading"/>
      </w:pPr>
      <w:bookmarkStart w:id="163" w:name="_Ref220658816"/>
      <w:bookmarkStart w:id="164" w:name="_Toc220662876"/>
      <w:bookmarkStart w:id="165" w:name="_Toc224637809"/>
      <w:bookmarkStart w:id="166" w:name="_Toc224642473"/>
      <w:bookmarkStart w:id="167" w:name="_Toc225153449"/>
      <w:bookmarkStart w:id="168" w:name="_Toc225154495"/>
      <w:bookmarkStart w:id="169" w:name="_Toc225155760"/>
      <w:r w:rsidRPr="000F23E0">
        <w:t xml:space="preserve">Table </w:t>
      </w:r>
      <w:r w:rsidR="00AF2672" w:rsidRPr="000F23E0">
        <w:t>16</w:t>
      </w:r>
      <w:r w:rsidR="003A6AF0" w:rsidRPr="000F23E0">
        <w:t>:</w:t>
      </w:r>
      <w:r w:rsidRPr="000F23E0">
        <w:t xml:space="preserve"> Impact </w:t>
      </w:r>
      <w:r w:rsidR="006757DF" w:rsidRPr="000F23E0">
        <w:t>d</w:t>
      </w:r>
      <w:r w:rsidRPr="000F23E0">
        <w:t xml:space="preserve">ata for the </w:t>
      </w:r>
      <w:bookmarkEnd w:id="163"/>
      <w:bookmarkEnd w:id="164"/>
      <w:r w:rsidR="00393957" w:rsidRPr="000F23E0">
        <w:t>Advancing Renewables Program</w:t>
      </w:r>
      <w:bookmarkEnd w:id="165"/>
      <w:bookmarkEnd w:id="166"/>
      <w:bookmarkEnd w:id="167"/>
      <w:bookmarkEnd w:id="168"/>
      <w:bookmarkEnd w:id="169"/>
    </w:p>
    <w:tbl>
      <w:tblPr>
        <w:tblStyle w:val="GridTable4-Accent2"/>
        <w:tblW w:w="5000" w:type="pct"/>
        <w:tblInd w:w="5" w:type="dxa"/>
        <w:tblBorders>
          <w:top w:val="single" w:sz="4" w:space="0" w:color="DFA795"/>
          <w:bottom w:val="single" w:sz="4" w:space="0" w:color="DFA795"/>
          <w:insideH w:val="single" w:sz="4" w:space="0" w:color="DFA795"/>
        </w:tblBorders>
        <w:tblLook w:val="04A0" w:firstRow="1" w:lastRow="0" w:firstColumn="1" w:lastColumn="0" w:noHBand="0" w:noVBand="1"/>
      </w:tblPr>
      <w:tblGrid>
        <w:gridCol w:w="1555"/>
        <w:gridCol w:w="3685"/>
        <w:gridCol w:w="709"/>
        <w:gridCol w:w="1843"/>
        <w:gridCol w:w="1278"/>
      </w:tblGrid>
      <w:tr w:rsidR="008D7AE3" w:rsidRPr="000F23E0" w14:paraId="47E1463D" w14:textId="77777777" w:rsidTr="00B906C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shd w:val="clear" w:color="auto" w:fill="F1D0C6"/>
          </w:tcPr>
          <w:p w14:paraId="5CF8FCB4" w14:textId="77777777" w:rsidR="00ED3691" w:rsidRPr="000F23E0" w:rsidRDefault="00ED3691" w:rsidP="000044C7">
            <w:pPr>
              <w:pStyle w:val="TableColumnHeadingLeft"/>
              <w:keepLines/>
              <w:rPr>
                <w:b/>
                <w:bCs w:val="0"/>
              </w:rPr>
            </w:pPr>
            <w:r w:rsidRPr="000F23E0">
              <w:rPr>
                <w:b/>
                <w:bCs w:val="0"/>
              </w:rPr>
              <w:t>Metric</w:t>
            </w:r>
          </w:p>
        </w:tc>
        <w:tc>
          <w:tcPr>
            <w:tcW w:w="3685" w:type="dxa"/>
            <w:shd w:val="clear" w:color="auto" w:fill="F1D0C6"/>
          </w:tcPr>
          <w:p w14:paraId="57037B54" w14:textId="77777777" w:rsidR="00ED3691" w:rsidRPr="000F23E0" w:rsidRDefault="00ED3691" w:rsidP="00B906C7">
            <w:pPr>
              <w:pStyle w:val="TableColumnHeadingLeft"/>
              <w:cnfStyle w:val="100000000000" w:firstRow="1" w:lastRow="0" w:firstColumn="0" w:lastColumn="0" w:oddVBand="0" w:evenVBand="0" w:oddHBand="0" w:evenHBand="0" w:firstRowFirstColumn="0" w:firstRowLastColumn="0" w:lastRowFirstColumn="0" w:lastRowLastColumn="0"/>
              <w:rPr>
                <w:b/>
              </w:rPr>
            </w:pPr>
            <w:r w:rsidRPr="000F23E0">
              <w:rPr>
                <w:b/>
              </w:rPr>
              <w:t>Project priority area</w:t>
            </w:r>
          </w:p>
        </w:tc>
        <w:tc>
          <w:tcPr>
            <w:tcW w:w="709" w:type="dxa"/>
            <w:shd w:val="clear" w:color="auto" w:fill="F1D0C6"/>
          </w:tcPr>
          <w:p w14:paraId="3B9F1B9C" w14:textId="41C729E5" w:rsidR="00ED3691" w:rsidRPr="000F23E0" w:rsidRDefault="009D512B" w:rsidP="000044C7">
            <w:pPr>
              <w:pStyle w:val="TableColumnHeadingRight"/>
              <w:keepLines/>
              <w:cnfStyle w:val="100000000000" w:firstRow="1" w:lastRow="0" w:firstColumn="0" w:lastColumn="0" w:oddVBand="0" w:evenVBand="0" w:oddHBand="0" w:evenHBand="0" w:firstRowFirstColumn="0" w:firstRowLastColumn="0" w:lastRowFirstColumn="0" w:lastRowLastColumn="0"/>
              <w:rPr>
                <w:b/>
                <w:bCs w:val="0"/>
              </w:rPr>
            </w:pPr>
            <w:r w:rsidRPr="000F23E0">
              <w:rPr>
                <w:b/>
                <w:bCs w:val="0"/>
              </w:rPr>
              <w:t>Value</w:t>
            </w:r>
          </w:p>
        </w:tc>
        <w:tc>
          <w:tcPr>
            <w:tcW w:w="1843" w:type="dxa"/>
            <w:shd w:val="clear" w:color="auto" w:fill="F1D0C6"/>
          </w:tcPr>
          <w:p w14:paraId="61F2FE32" w14:textId="77777777" w:rsidR="00ED3691" w:rsidRPr="000F23E0" w:rsidRDefault="00ED3691" w:rsidP="000044C7">
            <w:pPr>
              <w:pStyle w:val="TableColumnHeadingRight"/>
              <w:keepLines/>
              <w:cnfStyle w:val="100000000000" w:firstRow="1" w:lastRow="0" w:firstColumn="0" w:lastColumn="0" w:oddVBand="0" w:evenVBand="0" w:oddHBand="0" w:evenHBand="0" w:firstRowFirstColumn="0" w:firstRowLastColumn="0" w:lastRowFirstColumn="0" w:lastRowLastColumn="0"/>
              <w:rPr>
                <w:b/>
                <w:bCs w:val="0"/>
              </w:rPr>
            </w:pPr>
            <w:r w:rsidRPr="000F23E0">
              <w:rPr>
                <w:b/>
                <w:bCs w:val="0"/>
              </w:rPr>
              <w:t>Projected/Recorded</w:t>
            </w:r>
          </w:p>
        </w:tc>
        <w:tc>
          <w:tcPr>
            <w:tcW w:w="1278" w:type="dxa"/>
            <w:shd w:val="clear" w:color="auto" w:fill="F1D0C6"/>
          </w:tcPr>
          <w:p w14:paraId="420EABCA" w14:textId="77777777" w:rsidR="00ED3691" w:rsidRPr="000F23E0" w:rsidRDefault="00ED3691" w:rsidP="000044C7">
            <w:pPr>
              <w:pStyle w:val="TableColumnHeadingRight"/>
              <w:keepLines/>
              <w:cnfStyle w:val="100000000000" w:firstRow="1" w:lastRow="0" w:firstColumn="0" w:lastColumn="0" w:oddVBand="0" w:evenVBand="0" w:oddHBand="0" w:evenHBand="0" w:firstRowFirstColumn="0" w:firstRowLastColumn="0" w:lastRowFirstColumn="0" w:lastRowLastColumn="0"/>
              <w:rPr>
                <w:b/>
                <w:bCs w:val="0"/>
              </w:rPr>
            </w:pPr>
            <w:r w:rsidRPr="000F23E0">
              <w:rPr>
                <w:b/>
                <w:bCs w:val="0"/>
              </w:rPr>
              <w:t>Time Period</w:t>
            </w:r>
          </w:p>
        </w:tc>
      </w:tr>
      <w:tr w:rsidR="009957EB" w:rsidRPr="000F23E0" w14:paraId="4000E388" w14:textId="77777777" w:rsidTr="00B906C7">
        <w:tc>
          <w:tcPr>
            <w:cnfStyle w:val="001000000000" w:firstRow="0" w:lastRow="0" w:firstColumn="1" w:lastColumn="0" w:oddVBand="0" w:evenVBand="0" w:oddHBand="0" w:evenHBand="0" w:firstRowFirstColumn="0" w:firstRowLastColumn="0" w:lastRowFirstColumn="0" w:lastRowLastColumn="0"/>
            <w:tcW w:w="1555" w:type="dxa"/>
            <w:vMerge w:val="restart"/>
            <w:shd w:val="clear" w:color="auto" w:fill="FDF0E7"/>
          </w:tcPr>
          <w:p w14:paraId="551E7488" w14:textId="16B8D8F0" w:rsidR="00ED3691" w:rsidRPr="000F23E0" w:rsidRDefault="00250FCB" w:rsidP="000044C7">
            <w:pPr>
              <w:pStyle w:val="TableTextLeft"/>
              <w:keepNext/>
              <w:keepLines/>
            </w:pPr>
            <w:r w:rsidRPr="000F23E0">
              <w:t>Number of</w:t>
            </w:r>
            <w:r w:rsidR="0017415F" w:rsidRPr="000F23E0">
              <w:t xml:space="preserve"> renewable</w:t>
            </w:r>
            <w:r w:rsidR="00B906C7" w:rsidRPr="000F23E0">
              <w:t> </w:t>
            </w:r>
            <w:r w:rsidR="0017415F" w:rsidRPr="000F23E0">
              <w:t>energy</w:t>
            </w:r>
            <w:r w:rsidRPr="000F23E0">
              <w:t xml:space="preserve"> projects funded</w:t>
            </w:r>
          </w:p>
        </w:tc>
        <w:tc>
          <w:tcPr>
            <w:tcW w:w="3685" w:type="dxa"/>
            <w:shd w:val="clear" w:color="auto" w:fill="FEFAF8"/>
          </w:tcPr>
          <w:p w14:paraId="0C695595" w14:textId="337B0E1C" w:rsidR="00ED3691" w:rsidRPr="000F23E0" w:rsidRDefault="003E0464" w:rsidP="000044C7">
            <w:pPr>
              <w:pStyle w:val="TableTextLeft"/>
              <w:keepNext/>
              <w:keepLines/>
              <w:cnfStyle w:val="000000000000" w:firstRow="0" w:lastRow="0" w:firstColumn="0" w:lastColumn="0" w:oddVBand="0" w:evenVBand="0" w:oddHBand="0" w:evenHBand="0" w:firstRowFirstColumn="0" w:firstRowLastColumn="0" w:lastRowFirstColumn="0" w:lastRowLastColumn="0"/>
            </w:pPr>
            <w:r w:rsidRPr="000F23E0">
              <w:t>Commercialising renewable hydrogen</w:t>
            </w:r>
          </w:p>
        </w:tc>
        <w:tc>
          <w:tcPr>
            <w:tcW w:w="709" w:type="dxa"/>
            <w:shd w:val="clear" w:color="auto" w:fill="FEFAF8"/>
          </w:tcPr>
          <w:p w14:paraId="4004F63E" w14:textId="481251BD" w:rsidR="00ED3691" w:rsidRPr="000F23E0" w:rsidRDefault="00756901" w:rsidP="000044C7">
            <w:pPr>
              <w:pStyle w:val="TableTextRight"/>
              <w:keepNext/>
              <w:keepLines/>
              <w:cnfStyle w:val="000000000000" w:firstRow="0" w:lastRow="0" w:firstColumn="0" w:lastColumn="0" w:oddVBand="0" w:evenVBand="0" w:oddHBand="0" w:evenHBand="0" w:firstRowFirstColumn="0" w:firstRowLastColumn="0" w:lastRowFirstColumn="0" w:lastRowLastColumn="0"/>
            </w:pPr>
            <w:r w:rsidRPr="000F23E0">
              <w:t>10</w:t>
            </w:r>
          </w:p>
        </w:tc>
        <w:tc>
          <w:tcPr>
            <w:tcW w:w="1843" w:type="dxa"/>
            <w:shd w:val="clear" w:color="auto" w:fill="FEFAF8"/>
          </w:tcPr>
          <w:p w14:paraId="19677C72" w14:textId="70150795" w:rsidR="00ED3691" w:rsidRPr="000F23E0" w:rsidRDefault="00D40480" w:rsidP="000044C7">
            <w:pPr>
              <w:pStyle w:val="TableTextRight"/>
              <w:keepNext/>
              <w:keepLines/>
              <w:cnfStyle w:val="000000000000" w:firstRow="0" w:lastRow="0" w:firstColumn="0" w:lastColumn="0" w:oddVBand="0" w:evenVBand="0" w:oddHBand="0" w:evenHBand="0" w:firstRowFirstColumn="0" w:firstRowLastColumn="0" w:lastRowFirstColumn="0" w:lastRowLastColumn="0"/>
            </w:pPr>
            <w:r w:rsidRPr="000F23E0">
              <w:t>Reco</w:t>
            </w:r>
            <w:r w:rsidR="0064550F" w:rsidRPr="000F23E0">
              <w:t>r</w:t>
            </w:r>
            <w:r w:rsidRPr="000F23E0">
              <w:t xml:space="preserve">ded </w:t>
            </w:r>
          </w:p>
        </w:tc>
        <w:tc>
          <w:tcPr>
            <w:tcW w:w="1278" w:type="dxa"/>
            <w:vMerge w:val="restart"/>
            <w:shd w:val="clear" w:color="auto" w:fill="FEFAF8"/>
          </w:tcPr>
          <w:p w14:paraId="321DE5AD" w14:textId="4A63778F" w:rsidR="00ED3691" w:rsidRPr="000F23E0" w:rsidRDefault="00A0190C" w:rsidP="000044C7">
            <w:pPr>
              <w:pStyle w:val="TableTextRight"/>
              <w:keepNext/>
              <w:keepLines/>
              <w:cnfStyle w:val="000000000000" w:firstRow="0" w:lastRow="0" w:firstColumn="0" w:lastColumn="0" w:oddVBand="0" w:evenVBand="0" w:oddHBand="0" w:evenHBand="0" w:firstRowFirstColumn="0" w:firstRowLastColumn="0" w:lastRowFirstColumn="0" w:lastRowLastColumn="0"/>
            </w:pPr>
            <w:r w:rsidRPr="000F23E0">
              <w:t>2024</w:t>
            </w:r>
            <w:r w:rsidR="00BB60BE" w:rsidRPr="000F23E0">
              <w:t>–</w:t>
            </w:r>
            <w:r w:rsidRPr="000F23E0">
              <w:t>25</w:t>
            </w:r>
          </w:p>
        </w:tc>
      </w:tr>
      <w:tr w:rsidR="00756901" w:rsidRPr="000F23E0" w14:paraId="34372C16" w14:textId="77777777" w:rsidTr="00B906C7">
        <w:tc>
          <w:tcPr>
            <w:cnfStyle w:val="001000000000" w:firstRow="0" w:lastRow="0" w:firstColumn="1" w:lastColumn="0" w:oddVBand="0" w:evenVBand="0" w:oddHBand="0" w:evenHBand="0" w:firstRowFirstColumn="0" w:firstRowLastColumn="0" w:lastRowFirstColumn="0" w:lastRowLastColumn="0"/>
            <w:tcW w:w="1555" w:type="dxa"/>
            <w:vMerge/>
            <w:shd w:val="clear" w:color="auto" w:fill="FDF0E7"/>
          </w:tcPr>
          <w:p w14:paraId="43DFB0D7" w14:textId="77777777" w:rsidR="007A0D20" w:rsidRPr="000F23E0" w:rsidRDefault="007A0D20" w:rsidP="000044C7">
            <w:pPr>
              <w:pStyle w:val="TableTextLeft"/>
              <w:keepNext/>
              <w:keepLines/>
              <w:rPr>
                <w:b/>
                <w:bCs w:val="0"/>
              </w:rPr>
            </w:pPr>
          </w:p>
        </w:tc>
        <w:tc>
          <w:tcPr>
            <w:tcW w:w="3685" w:type="dxa"/>
            <w:shd w:val="clear" w:color="auto" w:fill="FEFAF8"/>
          </w:tcPr>
          <w:p w14:paraId="77900709" w14:textId="1BD6B435" w:rsidR="007A0D20" w:rsidRPr="000F23E0" w:rsidRDefault="007A0D20" w:rsidP="000044C7">
            <w:pPr>
              <w:pStyle w:val="TableTextLeft"/>
              <w:keepNext/>
              <w:keepLines/>
              <w:cnfStyle w:val="000000000000" w:firstRow="0" w:lastRow="0" w:firstColumn="0" w:lastColumn="0" w:oddVBand="0" w:evenVBand="0" w:oddHBand="0" w:evenHBand="0" w:firstRowFirstColumn="0" w:firstRowLastColumn="0" w:lastRowFirstColumn="0" w:lastRowLastColumn="0"/>
            </w:pPr>
            <w:r w:rsidRPr="000F23E0">
              <w:t>Decarbonising land transport</w:t>
            </w:r>
          </w:p>
        </w:tc>
        <w:tc>
          <w:tcPr>
            <w:tcW w:w="709" w:type="dxa"/>
            <w:shd w:val="clear" w:color="auto" w:fill="FEFAF8"/>
          </w:tcPr>
          <w:p w14:paraId="6B6AE9CA" w14:textId="51E0E7BB" w:rsidR="007A0D20" w:rsidRPr="000F23E0" w:rsidRDefault="00756901" w:rsidP="000044C7">
            <w:pPr>
              <w:pStyle w:val="TableTextRight"/>
              <w:keepNext/>
              <w:keepLines/>
              <w:cnfStyle w:val="000000000000" w:firstRow="0" w:lastRow="0" w:firstColumn="0" w:lastColumn="0" w:oddVBand="0" w:evenVBand="0" w:oddHBand="0" w:evenHBand="0" w:firstRowFirstColumn="0" w:firstRowLastColumn="0" w:lastRowFirstColumn="0" w:lastRowLastColumn="0"/>
            </w:pPr>
            <w:r w:rsidRPr="000F23E0">
              <w:t>6</w:t>
            </w:r>
          </w:p>
        </w:tc>
        <w:tc>
          <w:tcPr>
            <w:tcW w:w="1843" w:type="dxa"/>
            <w:shd w:val="clear" w:color="auto" w:fill="FEFAF8"/>
          </w:tcPr>
          <w:p w14:paraId="7F97DE98" w14:textId="2C88FED5" w:rsidR="007A0D20" w:rsidRPr="000F23E0" w:rsidRDefault="007A0D20" w:rsidP="000044C7">
            <w:pPr>
              <w:pStyle w:val="TableTextRight"/>
              <w:keepNext/>
              <w:keepLines/>
              <w:cnfStyle w:val="000000000000" w:firstRow="0" w:lastRow="0" w:firstColumn="0" w:lastColumn="0" w:oddVBand="0" w:evenVBand="0" w:oddHBand="0" w:evenHBand="0" w:firstRowFirstColumn="0" w:firstRowLastColumn="0" w:lastRowFirstColumn="0" w:lastRowLastColumn="0"/>
            </w:pPr>
            <w:r w:rsidRPr="000F23E0">
              <w:t>Recorded</w:t>
            </w:r>
          </w:p>
        </w:tc>
        <w:tc>
          <w:tcPr>
            <w:tcW w:w="1278" w:type="dxa"/>
            <w:vMerge/>
            <w:shd w:val="clear" w:color="auto" w:fill="FEFAF8"/>
          </w:tcPr>
          <w:p w14:paraId="004362EF" w14:textId="77777777" w:rsidR="007A0D20" w:rsidRPr="000F23E0" w:rsidRDefault="007A0D20" w:rsidP="000044C7">
            <w:pPr>
              <w:pStyle w:val="TableTextRight"/>
              <w:keepNext/>
              <w:keepLines/>
              <w:cnfStyle w:val="000000000000" w:firstRow="0" w:lastRow="0" w:firstColumn="0" w:lastColumn="0" w:oddVBand="0" w:evenVBand="0" w:oddHBand="0" w:evenHBand="0" w:firstRowFirstColumn="0" w:firstRowLastColumn="0" w:lastRowFirstColumn="0" w:lastRowLastColumn="0"/>
            </w:pPr>
          </w:p>
        </w:tc>
      </w:tr>
      <w:tr w:rsidR="008A3F83" w:rsidRPr="000F23E0" w14:paraId="10FBBA02" w14:textId="77777777" w:rsidTr="00B906C7">
        <w:tc>
          <w:tcPr>
            <w:cnfStyle w:val="001000000000" w:firstRow="0" w:lastRow="0" w:firstColumn="1" w:lastColumn="0" w:oddVBand="0" w:evenVBand="0" w:oddHBand="0" w:evenHBand="0" w:firstRowFirstColumn="0" w:firstRowLastColumn="0" w:lastRowFirstColumn="0" w:lastRowLastColumn="0"/>
            <w:tcW w:w="1555" w:type="dxa"/>
            <w:vMerge/>
            <w:shd w:val="clear" w:color="auto" w:fill="FDF0E7"/>
          </w:tcPr>
          <w:p w14:paraId="05CFF3C9" w14:textId="77777777" w:rsidR="00756901" w:rsidRPr="000F23E0" w:rsidRDefault="00756901" w:rsidP="000044C7">
            <w:pPr>
              <w:pStyle w:val="TableTextLeft"/>
              <w:keepNext/>
              <w:keepLines/>
              <w:rPr>
                <w:b/>
                <w:bCs w:val="0"/>
              </w:rPr>
            </w:pPr>
          </w:p>
        </w:tc>
        <w:tc>
          <w:tcPr>
            <w:tcW w:w="3685" w:type="dxa"/>
            <w:shd w:val="clear" w:color="auto" w:fill="FEFAF8"/>
          </w:tcPr>
          <w:p w14:paraId="15C811B5" w14:textId="5E58FA6B" w:rsidR="00756901" w:rsidRPr="000F23E0" w:rsidRDefault="00756901" w:rsidP="000044C7">
            <w:pPr>
              <w:pStyle w:val="TableTextLeft"/>
              <w:keepNext/>
              <w:keepLines/>
              <w:cnfStyle w:val="000000000000" w:firstRow="0" w:lastRow="0" w:firstColumn="0" w:lastColumn="0" w:oddVBand="0" w:evenVBand="0" w:oddHBand="0" w:evenHBand="0" w:firstRowFirstColumn="0" w:firstRowLastColumn="0" w:lastRowFirstColumn="0" w:lastRowLastColumn="0"/>
            </w:pPr>
            <w:r w:rsidRPr="000F23E0">
              <w:t>Optimising the transition to renewable electricity</w:t>
            </w:r>
          </w:p>
        </w:tc>
        <w:tc>
          <w:tcPr>
            <w:tcW w:w="709" w:type="dxa"/>
            <w:shd w:val="clear" w:color="auto" w:fill="FEFAF8"/>
          </w:tcPr>
          <w:p w14:paraId="375BFC42" w14:textId="3A320007" w:rsidR="00756901" w:rsidRPr="000F23E0" w:rsidRDefault="00756901" w:rsidP="000044C7">
            <w:pPr>
              <w:pStyle w:val="TableTextRight"/>
              <w:keepNext/>
              <w:keepLines/>
              <w:cnfStyle w:val="000000000000" w:firstRow="0" w:lastRow="0" w:firstColumn="0" w:lastColumn="0" w:oddVBand="0" w:evenVBand="0" w:oddHBand="0" w:evenHBand="0" w:firstRowFirstColumn="0" w:firstRowLastColumn="0" w:lastRowFirstColumn="0" w:lastRowLastColumn="0"/>
            </w:pPr>
            <w:r w:rsidRPr="000F23E0">
              <w:t>56</w:t>
            </w:r>
          </w:p>
        </w:tc>
        <w:tc>
          <w:tcPr>
            <w:tcW w:w="1843" w:type="dxa"/>
            <w:shd w:val="clear" w:color="auto" w:fill="FEFAF8"/>
          </w:tcPr>
          <w:p w14:paraId="5EE94FF5" w14:textId="22F96DFC" w:rsidR="00756901" w:rsidRPr="000F23E0" w:rsidRDefault="00D40480" w:rsidP="000044C7">
            <w:pPr>
              <w:pStyle w:val="TableTextRight"/>
              <w:keepNext/>
              <w:keepLines/>
              <w:cnfStyle w:val="000000000000" w:firstRow="0" w:lastRow="0" w:firstColumn="0" w:lastColumn="0" w:oddVBand="0" w:evenVBand="0" w:oddHBand="0" w:evenHBand="0" w:firstRowFirstColumn="0" w:firstRowLastColumn="0" w:lastRowFirstColumn="0" w:lastRowLastColumn="0"/>
            </w:pPr>
            <w:r w:rsidRPr="000F23E0">
              <w:t>Reco</w:t>
            </w:r>
            <w:r w:rsidR="0064550F" w:rsidRPr="000F23E0">
              <w:t>r</w:t>
            </w:r>
            <w:r w:rsidRPr="000F23E0">
              <w:t>ded</w:t>
            </w:r>
          </w:p>
        </w:tc>
        <w:tc>
          <w:tcPr>
            <w:tcW w:w="1278" w:type="dxa"/>
            <w:vMerge/>
            <w:shd w:val="clear" w:color="auto" w:fill="FEFAF8"/>
          </w:tcPr>
          <w:p w14:paraId="37AD5DFE" w14:textId="77777777" w:rsidR="00756901" w:rsidRPr="000F23E0" w:rsidRDefault="00756901" w:rsidP="000044C7">
            <w:pPr>
              <w:pStyle w:val="TableTextRight"/>
              <w:keepNext/>
              <w:keepLines/>
              <w:cnfStyle w:val="000000000000" w:firstRow="0" w:lastRow="0" w:firstColumn="0" w:lastColumn="0" w:oddVBand="0" w:evenVBand="0" w:oddHBand="0" w:evenHBand="0" w:firstRowFirstColumn="0" w:firstRowLastColumn="0" w:lastRowFirstColumn="0" w:lastRowLastColumn="0"/>
            </w:pPr>
          </w:p>
        </w:tc>
      </w:tr>
      <w:tr w:rsidR="009957EB" w:rsidRPr="000F23E0" w14:paraId="47EEC166" w14:textId="77777777" w:rsidTr="00B906C7">
        <w:tc>
          <w:tcPr>
            <w:cnfStyle w:val="001000000000" w:firstRow="0" w:lastRow="0" w:firstColumn="1" w:lastColumn="0" w:oddVBand="0" w:evenVBand="0" w:oddHBand="0" w:evenHBand="0" w:firstRowFirstColumn="0" w:firstRowLastColumn="0" w:lastRowFirstColumn="0" w:lastRowLastColumn="0"/>
            <w:tcW w:w="1555" w:type="dxa"/>
            <w:vMerge/>
            <w:shd w:val="clear" w:color="auto" w:fill="FDF0E7"/>
          </w:tcPr>
          <w:p w14:paraId="0EFB1A88" w14:textId="77777777" w:rsidR="00ED3691" w:rsidRPr="000F23E0" w:rsidRDefault="00ED3691" w:rsidP="000044C7">
            <w:pPr>
              <w:pStyle w:val="TableTextLeft"/>
              <w:keepNext/>
              <w:keepLines/>
            </w:pPr>
          </w:p>
        </w:tc>
        <w:tc>
          <w:tcPr>
            <w:tcW w:w="3685" w:type="dxa"/>
            <w:shd w:val="clear" w:color="auto" w:fill="FEFAF8"/>
          </w:tcPr>
          <w:p w14:paraId="5235927F" w14:textId="770CC887" w:rsidR="00ED3691" w:rsidRPr="000F23E0" w:rsidRDefault="001259B9" w:rsidP="000044C7">
            <w:pPr>
              <w:pStyle w:val="TableTextLeft"/>
              <w:keepNext/>
              <w:keepLines/>
              <w:cnfStyle w:val="000000000000" w:firstRow="0" w:lastRow="0" w:firstColumn="0" w:lastColumn="0" w:oddVBand="0" w:evenVBand="0" w:oddHBand="0" w:evenHBand="0" w:firstRowFirstColumn="0" w:firstRowLastColumn="0" w:lastRowFirstColumn="0" w:lastRowLastColumn="0"/>
            </w:pPr>
            <w:r w:rsidRPr="000F23E0">
              <w:t>Other</w:t>
            </w:r>
          </w:p>
        </w:tc>
        <w:tc>
          <w:tcPr>
            <w:tcW w:w="709" w:type="dxa"/>
            <w:shd w:val="clear" w:color="auto" w:fill="FEFAF8"/>
          </w:tcPr>
          <w:p w14:paraId="6C41E9BA" w14:textId="3F0CC220" w:rsidR="00ED3691" w:rsidRPr="000F23E0" w:rsidRDefault="00756901" w:rsidP="000044C7">
            <w:pPr>
              <w:pStyle w:val="TableTextRight"/>
              <w:keepNext/>
              <w:keepLines/>
              <w:cnfStyle w:val="000000000000" w:firstRow="0" w:lastRow="0" w:firstColumn="0" w:lastColumn="0" w:oddVBand="0" w:evenVBand="0" w:oddHBand="0" w:evenHBand="0" w:firstRowFirstColumn="0" w:firstRowLastColumn="0" w:lastRowFirstColumn="0" w:lastRowLastColumn="0"/>
            </w:pPr>
            <w:r w:rsidRPr="000F23E0">
              <w:t>1</w:t>
            </w:r>
            <w:r w:rsidR="00780752" w:rsidRPr="000F23E0">
              <w:t>6</w:t>
            </w:r>
          </w:p>
        </w:tc>
        <w:tc>
          <w:tcPr>
            <w:tcW w:w="1843" w:type="dxa"/>
            <w:shd w:val="clear" w:color="auto" w:fill="FEFAF8"/>
          </w:tcPr>
          <w:p w14:paraId="37B06B5F" w14:textId="77777777" w:rsidR="00ED3691" w:rsidRPr="000F23E0" w:rsidRDefault="00ED3691" w:rsidP="000044C7">
            <w:pPr>
              <w:pStyle w:val="TableTextRight"/>
              <w:keepNext/>
              <w:keepLines/>
              <w:cnfStyle w:val="000000000000" w:firstRow="0" w:lastRow="0" w:firstColumn="0" w:lastColumn="0" w:oddVBand="0" w:evenVBand="0" w:oddHBand="0" w:evenHBand="0" w:firstRowFirstColumn="0" w:firstRowLastColumn="0" w:lastRowFirstColumn="0" w:lastRowLastColumn="0"/>
            </w:pPr>
            <w:r w:rsidRPr="000F23E0">
              <w:t>Recorded</w:t>
            </w:r>
          </w:p>
        </w:tc>
        <w:tc>
          <w:tcPr>
            <w:tcW w:w="1278" w:type="dxa"/>
            <w:vMerge/>
            <w:shd w:val="clear" w:color="auto" w:fill="FEFAF8"/>
          </w:tcPr>
          <w:p w14:paraId="0613FD72" w14:textId="77777777" w:rsidR="00ED3691" w:rsidRPr="000F23E0" w:rsidRDefault="00ED3691" w:rsidP="000044C7">
            <w:pPr>
              <w:pStyle w:val="TableTextRight"/>
              <w:keepNext/>
              <w:keepLines/>
              <w:cnfStyle w:val="000000000000" w:firstRow="0" w:lastRow="0" w:firstColumn="0" w:lastColumn="0" w:oddVBand="0" w:evenVBand="0" w:oddHBand="0" w:evenHBand="0" w:firstRowFirstColumn="0" w:firstRowLastColumn="0" w:lastRowFirstColumn="0" w:lastRowLastColumn="0"/>
            </w:pPr>
          </w:p>
        </w:tc>
      </w:tr>
      <w:tr w:rsidR="00D40480" w:rsidRPr="000F23E0" w14:paraId="670B457D" w14:textId="77777777" w:rsidTr="00B906C7">
        <w:tc>
          <w:tcPr>
            <w:cnfStyle w:val="001000000000" w:firstRow="0" w:lastRow="0" w:firstColumn="1" w:lastColumn="0" w:oddVBand="0" w:evenVBand="0" w:oddHBand="0" w:evenHBand="0" w:firstRowFirstColumn="0" w:firstRowLastColumn="0" w:lastRowFirstColumn="0" w:lastRowLastColumn="0"/>
            <w:tcW w:w="1555" w:type="dxa"/>
            <w:vMerge/>
            <w:shd w:val="clear" w:color="auto" w:fill="FDF0E7"/>
          </w:tcPr>
          <w:p w14:paraId="2799CB84" w14:textId="77777777" w:rsidR="00D40480" w:rsidRPr="000F23E0" w:rsidRDefault="00D40480" w:rsidP="000044C7">
            <w:pPr>
              <w:pStyle w:val="TableTextLeft"/>
              <w:keepNext/>
              <w:keepLines/>
            </w:pPr>
          </w:p>
        </w:tc>
        <w:tc>
          <w:tcPr>
            <w:tcW w:w="3685" w:type="dxa"/>
            <w:shd w:val="clear" w:color="auto" w:fill="FEFAF8"/>
            <w:vAlign w:val="bottom"/>
          </w:tcPr>
          <w:p w14:paraId="52214D4F" w14:textId="234BFBFE" w:rsidR="00D40480" w:rsidRPr="000F23E0" w:rsidRDefault="00D40480" w:rsidP="000044C7">
            <w:pPr>
              <w:pStyle w:val="TableTextLeft"/>
              <w:keepNext/>
              <w:keepLines/>
              <w:cnfStyle w:val="000000000000" w:firstRow="0" w:lastRow="0" w:firstColumn="0" w:lastColumn="0" w:oddVBand="0" w:evenVBand="0" w:oddHBand="0" w:evenHBand="0" w:firstRowFirstColumn="0" w:firstRowLastColumn="0" w:lastRowFirstColumn="0" w:lastRowLastColumn="0"/>
              <w:rPr>
                <w:b/>
                <w:bCs/>
              </w:rPr>
            </w:pPr>
            <w:r w:rsidRPr="000F23E0">
              <w:rPr>
                <w:b/>
                <w:bCs/>
              </w:rPr>
              <w:t>Total</w:t>
            </w:r>
          </w:p>
        </w:tc>
        <w:tc>
          <w:tcPr>
            <w:tcW w:w="709" w:type="dxa"/>
            <w:shd w:val="clear" w:color="auto" w:fill="FEFAF8"/>
          </w:tcPr>
          <w:p w14:paraId="629FBF0A" w14:textId="350F03C2" w:rsidR="00D40480" w:rsidRPr="000F23E0" w:rsidRDefault="00D40480" w:rsidP="000044C7">
            <w:pPr>
              <w:pStyle w:val="TableTextRight"/>
              <w:keepNext/>
              <w:keepLines/>
              <w:cnfStyle w:val="000000000000" w:firstRow="0" w:lastRow="0" w:firstColumn="0" w:lastColumn="0" w:oddVBand="0" w:evenVBand="0" w:oddHBand="0" w:evenHBand="0" w:firstRowFirstColumn="0" w:firstRowLastColumn="0" w:lastRowFirstColumn="0" w:lastRowLastColumn="0"/>
            </w:pPr>
            <w:r w:rsidRPr="000F23E0">
              <w:rPr>
                <w:b/>
                <w:bCs/>
              </w:rPr>
              <w:t>88</w:t>
            </w:r>
          </w:p>
        </w:tc>
        <w:tc>
          <w:tcPr>
            <w:tcW w:w="3121" w:type="dxa"/>
            <w:gridSpan w:val="2"/>
            <w:shd w:val="clear" w:color="auto" w:fill="FEFAF8"/>
          </w:tcPr>
          <w:p w14:paraId="764242D8" w14:textId="77777777" w:rsidR="00D40480" w:rsidRPr="000F23E0" w:rsidRDefault="00D40480" w:rsidP="000044C7">
            <w:pPr>
              <w:pStyle w:val="TableTextRight"/>
              <w:keepNext/>
              <w:keepLines/>
              <w:cnfStyle w:val="000000000000" w:firstRow="0" w:lastRow="0" w:firstColumn="0" w:lastColumn="0" w:oddVBand="0" w:evenVBand="0" w:oddHBand="0" w:evenHBand="0" w:firstRowFirstColumn="0" w:firstRowLastColumn="0" w:lastRowFirstColumn="0" w:lastRowLastColumn="0"/>
            </w:pPr>
          </w:p>
        </w:tc>
      </w:tr>
    </w:tbl>
    <w:p w14:paraId="0C122345" w14:textId="6F70289C" w:rsidR="00ED3691" w:rsidRPr="000F23E0" w:rsidRDefault="00ED3691" w:rsidP="00982944">
      <w:pPr>
        <w:pStyle w:val="Heading4"/>
      </w:pPr>
      <w:r w:rsidRPr="000F23E0">
        <w:t xml:space="preserve">Social </w:t>
      </w:r>
      <w:r w:rsidR="0002119B" w:rsidRPr="000F23E0">
        <w:t>c</w:t>
      </w:r>
      <w:r w:rsidRPr="000F23E0">
        <w:t>o</w:t>
      </w:r>
      <w:r w:rsidR="002C4475" w:rsidRPr="000F23E0">
        <w:noBreakHyphen/>
      </w:r>
      <w:r w:rsidRPr="000F23E0">
        <w:t>benefits</w:t>
      </w:r>
    </w:p>
    <w:p w14:paraId="2EDFD3AD" w14:textId="77777777" w:rsidR="00ED3691" w:rsidRPr="000F23E0" w:rsidRDefault="00ED3691" w:rsidP="00250FCB">
      <w:r w:rsidRPr="000F23E0">
        <w:t xml:space="preserve">The ARP will aid in the development of industry capacity and capability, including new renewable energy jobs and companies. It will generate a positive economic impact in regional areas, through the creation of new jobs and by increasing economic activity. </w:t>
      </w:r>
    </w:p>
    <w:p w14:paraId="506A7ABC" w14:textId="121AEA40" w:rsidR="00475D1A" w:rsidRPr="000F23E0" w:rsidRDefault="00ED3691" w:rsidP="00250FCB">
      <w:r w:rsidRPr="000F23E0">
        <w:t>The program is expected to reduce electricity costs for consumers and reduce air pollution as part of</w:t>
      </w:r>
      <w:r w:rsidR="00BB60BE" w:rsidRPr="000F23E0">
        <w:t> </w:t>
      </w:r>
      <w:r w:rsidRPr="000F23E0">
        <w:t>the transition to renewable energy. It will also engage First Nations stakeholders throughout the delivery, ensuring it is aligned with best practice principles for First Nations engagement.</w:t>
      </w:r>
    </w:p>
    <w:p w14:paraId="4B5A7E5C" w14:textId="71366FC3" w:rsidR="00ED3691" w:rsidRPr="000F23E0" w:rsidRDefault="003F70BE" w:rsidP="00250FCB">
      <w:r w:rsidRPr="000F23E0">
        <w:br w:type="page"/>
      </w:r>
    </w:p>
    <w:p w14:paraId="5E1D52E8" w14:textId="3CD8584D" w:rsidR="003F70BE" w:rsidRPr="000F23E0" w:rsidRDefault="00D3586C" w:rsidP="00557D2D">
      <w:pPr>
        <w:pStyle w:val="Heading1"/>
      </w:pPr>
      <w:bookmarkStart w:id="170" w:name="_Toc225155761"/>
      <w:r w:rsidRPr="000F23E0">
        <w:lastRenderedPageBreak/>
        <w:t xml:space="preserve">Chapter 3: </w:t>
      </w:r>
      <w:r w:rsidR="00D74A6F" w:rsidRPr="000F23E0">
        <w:t xml:space="preserve">Energy </w:t>
      </w:r>
      <w:r w:rsidR="0002119B" w:rsidRPr="000F23E0">
        <w:t>e</w:t>
      </w:r>
      <w:r w:rsidR="003F70BE" w:rsidRPr="000F23E0">
        <w:t>fficiency</w:t>
      </w:r>
      <w:bookmarkEnd w:id="170"/>
      <w:r w:rsidR="003F70BE" w:rsidRPr="000F23E0">
        <w:t xml:space="preserve"> </w:t>
      </w:r>
    </w:p>
    <w:p w14:paraId="5D16AAA0" w14:textId="6F8B515E" w:rsidR="00D74A6F" w:rsidRPr="000F23E0" w:rsidRDefault="00D74A6F" w:rsidP="00C75292">
      <w:r w:rsidRPr="000F23E0">
        <w:t xml:space="preserve">Increasing energy efficiency </w:t>
      </w:r>
      <w:r w:rsidR="00A0418C" w:rsidRPr="000F23E0">
        <w:t>reduces energy bills, lowers emissions and improves energy reliability and security for households, businesses and industry</w:t>
      </w:r>
      <w:r w:rsidRPr="000F23E0">
        <w:t>.</w:t>
      </w:r>
    </w:p>
    <w:p w14:paraId="6894DE6B" w14:textId="6F28BD8F" w:rsidR="00FE5C6B" w:rsidRPr="000F23E0" w:rsidRDefault="00D74A6F" w:rsidP="00C75292">
      <w:hyperlink r:id="rId61" w:history="1">
        <w:r w:rsidRPr="000F23E0">
          <w:rPr>
            <w:rStyle w:val="Hyperlink"/>
          </w:rPr>
          <w:t>Australia</w:t>
        </w:r>
        <w:r w:rsidR="002C4475" w:rsidRPr="000F23E0">
          <w:rPr>
            <w:rStyle w:val="Hyperlink"/>
          </w:rPr>
          <w:t>’</w:t>
        </w:r>
        <w:r w:rsidRPr="000F23E0">
          <w:rPr>
            <w:rStyle w:val="Hyperlink"/>
          </w:rPr>
          <w:t>s National Energy Performance Strategy</w:t>
        </w:r>
      </w:hyperlink>
      <w:r w:rsidRPr="000F23E0">
        <w:t xml:space="preserve"> outlines the </w:t>
      </w:r>
      <w:r w:rsidR="004241F0" w:rsidRPr="000F23E0">
        <w:t xml:space="preserve">Australian </w:t>
      </w:r>
      <w:r w:rsidRPr="000F23E0">
        <w:t>Government</w:t>
      </w:r>
      <w:r w:rsidR="002C4475" w:rsidRPr="000F23E0">
        <w:t>’</w:t>
      </w:r>
      <w:r w:rsidRPr="000F23E0">
        <w:t xml:space="preserve">s coordinated action to improve energy performance across the country to make businesses more competitive, and homes more comfortable and cheaper to run. The Strategy </w:t>
      </w:r>
      <w:r w:rsidR="0088387E" w:rsidRPr="000F23E0">
        <w:t>demonstrates how</w:t>
      </w:r>
      <w:r w:rsidRPr="000F23E0">
        <w:t xml:space="preserve"> energy performance can be integrated into net zero planning across sectors and accelerate the transition to net zero. </w:t>
      </w:r>
    </w:p>
    <w:p w14:paraId="2F640475" w14:textId="708AC39E" w:rsidR="00C743E5" w:rsidRPr="000F23E0" w:rsidRDefault="00D71403" w:rsidP="00C75292">
      <w:r w:rsidRPr="000F23E0">
        <w:t>Lowering emissions by electrification and efficiency is</w:t>
      </w:r>
      <w:r w:rsidR="00C743E5" w:rsidRPr="000F23E0">
        <w:t xml:space="preserve"> priority </w:t>
      </w:r>
      <w:r w:rsidR="00D43D1C" w:rsidRPr="000F23E0">
        <w:t xml:space="preserve">2 </w:t>
      </w:r>
      <w:r w:rsidR="00C743E5" w:rsidRPr="000F23E0">
        <w:t>of Australia</w:t>
      </w:r>
      <w:r w:rsidR="002C4475" w:rsidRPr="000F23E0">
        <w:t>’</w:t>
      </w:r>
      <w:r w:rsidR="00C743E5" w:rsidRPr="000F23E0">
        <w:t>s Net Zero Plan</w:t>
      </w:r>
      <w:r w:rsidRPr="000F23E0">
        <w:t xml:space="preserve">. </w:t>
      </w:r>
      <w:r w:rsidR="007F024C" w:rsidRPr="000F23E0">
        <w:t xml:space="preserve">The plan </w:t>
      </w:r>
      <w:r w:rsidR="004E19EB" w:rsidRPr="000F23E0">
        <w:t xml:space="preserve">highlights </w:t>
      </w:r>
      <w:r w:rsidR="00F706A8" w:rsidRPr="000F23E0">
        <w:t>energy efficiency improvements as key to supporting</w:t>
      </w:r>
      <w:r w:rsidR="00D92A1F" w:rsidRPr="000F23E0">
        <w:t xml:space="preserve"> the energy transition</w:t>
      </w:r>
      <w:r w:rsidR="00723093" w:rsidRPr="000F23E0">
        <w:t>, with improvements in buildings, appliances and equipment helping balance increased electricity demand from accelerated electrification of vehicles and industry.</w:t>
      </w:r>
    </w:p>
    <w:p w14:paraId="1AE96B99" w14:textId="3E28382D" w:rsidR="00D74A6F" w:rsidRPr="000F23E0" w:rsidRDefault="00D74A6F" w:rsidP="00C75292">
      <w:r w:rsidRPr="000F23E0">
        <w:t>The Government is progressing several measures aimed at improving energy performance, including:</w:t>
      </w:r>
    </w:p>
    <w:p w14:paraId="77CF980F" w14:textId="78C7CA8D" w:rsidR="00DC6EFA" w:rsidRPr="000F23E0" w:rsidRDefault="00DC6EFA" w:rsidP="00DC6EFA">
      <w:pPr>
        <w:pStyle w:val="Bullet"/>
      </w:pPr>
      <w:r w:rsidRPr="000F23E0">
        <w:t>Expanding the Australian Government</w:t>
      </w:r>
      <w:r w:rsidR="002C4475" w:rsidRPr="000F23E0">
        <w:t>’</w:t>
      </w:r>
      <w:r w:rsidRPr="000F23E0">
        <w:t>s contribution to $800 million for the $1.1</w:t>
      </w:r>
      <w:r w:rsidR="00BB60BE" w:rsidRPr="000F23E0">
        <w:t> </w:t>
      </w:r>
      <w:r w:rsidRPr="000F23E0">
        <w:t>billion Social Housing Energy Performance Initiative.</w:t>
      </w:r>
    </w:p>
    <w:p w14:paraId="2DD7957D" w14:textId="614D72DE" w:rsidR="00D74A6F" w:rsidRPr="000F23E0" w:rsidRDefault="00D74A6F" w:rsidP="00C75292">
      <w:pPr>
        <w:pStyle w:val="Bullet"/>
      </w:pPr>
      <w:r w:rsidRPr="000F23E0">
        <w:t xml:space="preserve">$1 billion to the CEFC </w:t>
      </w:r>
      <w:r w:rsidR="00F50D3B" w:rsidRPr="000F23E0">
        <w:t>for</w:t>
      </w:r>
      <w:r w:rsidRPr="000F23E0">
        <w:t xml:space="preserve"> the Household Energy Upgrades Fund™, </w:t>
      </w:r>
      <w:r w:rsidR="00E0725F" w:rsidRPr="000F23E0">
        <w:t>which</w:t>
      </w:r>
      <w:r w:rsidR="00CB68D2" w:rsidRPr="000F23E0">
        <w:t xml:space="preserve"> </w:t>
      </w:r>
      <w:r w:rsidR="00B770D1" w:rsidRPr="000F23E0">
        <w:t>provide</w:t>
      </w:r>
      <w:r w:rsidR="00E0725F" w:rsidRPr="000F23E0">
        <w:t>s</w:t>
      </w:r>
      <w:r w:rsidR="00B770D1" w:rsidRPr="000F23E0">
        <w:t xml:space="preserve"> low</w:t>
      </w:r>
      <w:r w:rsidR="002C4475" w:rsidRPr="000F23E0">
        <w:noBreakHyphen/>
      </w:r>
      <w:r w:rsidR="00B770D1" w:rsidRPr="000F23E0">
        <w:t>cost finance for best practice energy performance initiatives</w:t>
      </w:r>
      <w:r w:rsidR="00E0725F" w:rsidRPr="000F23E0">
        <w:t>. The CEFC</w:t>
      </w:r>
      <w:r w:rsidR="00B770D1" w:rsidRPr="000F23E0">
        <w:t xml:space="preserve"> work</w:t>
      </w:r>
      <w:r w:rsidR="00E0725F" w:rsidRPr="000F23E0">
        <w:t>s</w:t>
      </w:r>
      <w:r w:rsidR="00B770D1" w:rsidRPr="000F23E0">
        <w:t xml:space="preserve"> with co</w:t>
      </w:r>
      <w:r w:rsidR="002C4475" w:rsidRPr="000F23E0">
        <w:noBreakHyphen/>
      </w:r>
      <w:r w:rsidR="00B770D1" w:rsidRPr="000F23E0">
        <w:t>financiers to create tailored and discounted green finance products which are easy for households to access.</w:t>
      </w:r>
    </w:p>
    <w:p w14:paraId="076FB1EC" w14:textId="2CBC7806" w:rsidR="000822A7" w:rsidRPr="000F23E0" w:rsidRDefault="000822A7" w:rsidP="29BCB311">
      <w:pPr>
        <w:pStyle w:val="Bullet"/>
        <w:spacing w:before="240" w:after="240"/>
      </w:pPr>
      <w:r w:rsidRPr="000F23E0">
        <w:t xml:space="preserve">Expanding energy performance programs </w:t>
      </w:r>
      <w:r w:rsidR="00015115" w:rsidRPr="000F23E0">
        <w:t xml:space="preserve">like the National Australian Built Environment Rating System (NABERS), the Greenhouse and Energy Minimum Standards (GEMS) </w:t>
      </w:r>
      <w:r w:rsidR="009A689D" w:rsidRPr="000F23E0">
        <w:t>s</w:t>
      </w:r>
      <w:r w:rsidR="00015115" w:rsidRPr="000F23E0">
        <w:t xml:space="preserve">cheme and </w:t>
      </w:r>
      <w:r w:rsidR="002A3452" w:rsidRPr="000F23E0">
        <w:t>Commercial Buildings Disclosure program</w:t>
      </w:r>
      <w:r w:rsidR="001C5EEB" w:rsidRPr="000F23E0">
        <w:t>, to allow consumers to make more informed choice</w:t>
      </w:r>
      <w:r w:rsidR="00757125" w:rsidRPr="000F23E0">
        <w:t>s</w:t>
      </w:r>
      <w:r w:rsidR="001C5EEB" w:rsidRPr="000F23E0">
        <w:t xml:space="preserve"> on</w:t>
      </w:r>
      <w:r w:rsidR="002D33EA" w:rsidRPr="000F23E0">
        <w:t> </w:t>
      </w:r>
      <w:r w:rsidR="001C5EEB" w:rsidRPr="000F23E0">
        <w:t>energy efficiency</w:t>
      </w:r>
      <w:r w:rsidR="009B3B31" w:rsidRPr="000F23E0">
        <w:t>.</w:t>
      </w:r>
    </w:p>
    <w:p w14:paraId="53561B88" w14:textId="571525ED" w:rsidR="00C6000A" w:rsidRPr="000F23E0" w:rsidRDefault="00C6000A" w:rsidP="00C6000A">
      <w:r w:rsidRPr="000F23E0">
        <w:drawing>
          <wp:inline distT="0" distB="0" distL="0" distR="0" wp14:anchorId="615CC858" wp14:editId="2CF80CBB">
            <wp:extent cx="5756734" cy="3562598"/>
            <wp:effectExtent l="0" t="0" r="0" b="0"/>
            <wp:docPr id="1002383563" name="Picture 16" descr="Two tradespeople on a roof repairing an air-condition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383563" name="Picture 16" descr="Two tradespeople on a roof repairing an air-conditioner. "/>
                    <pic:cNvPicPr/>
                  </pic:nvPicPr>
                  <pic:blipFill rotWithShape="1">
                    <a:blip r:embed="rId62" cstate="print">
                      <a:extLst>
                        <a:ext uri="{28A0092B-C50C-407E-A947-70E740481C1C}">
                          <a14:useLocalDpi xmlns:a14="http://schemas.microsoft.com/office/drawing/2010/main" val="0"/>
                        </a:ext>
                      </a:extLst>
                    </a:blip>
                    <a:srcRect/>
                    <a:stretch>
                      <a:fillRect/>
                    </a:stretch>
                  </pic:blipFill>
                  <pic:spPr bwMode="auto">
                    <a:xfrm>
                      <a:off x="0" y="0"/>
                      <a:ext cx="5759450" cy="3564279"/>
                    </a:xfrm>
                    <a:prstGeom prst="rect">
                      <a:avLst/>
                    </a:prstGeom>
                    <a:ln>
                      <a:noFill/>
                    </a:ln>
                    <a:extLst>
                      <a:ext uri="{53640926-AAD7-44D8-BBD7-CCE9431645EC}">
                        <a14:shadowObscured xmlns:a14="http://schemas.microsoft.com/office/drawing/2010/main"/>
                      </a:ext>
                    </a:extLst>
                  </pic:spPr>
                </pic:pic>
              </a:graphicData>
            </a:graphic>
          </wp:inline>
        </w:drawing>
      </w:r>
    </w:p>
    <w:p w14:paraId="3E639945" w14:textId="17C23CC9" w:rsidR="00D74A6F" w:rsidRPr="000F23E0" w:rsidRDefault="00D74A6F" w:rsidP="006475BB">
      <w:pPr>
        <w:pStyle w:val="Heading2"/>
      </w:pPr>
      <w:bookmarkStart w:id="171" w:name="_Toc225155762"/>
      <w:r w:rsidRPr="000F23E0">
        <w:lastRenderedPageBreak/>
        <w:t>Household Energy Upgrades Fund™</w:t>
      </w:r>
      <w:bookmarkEnd w:id="171"/>
    </w:p>
    <w:p w14:paraId="0FDF3544" w14:textId="6D099DFD" w:rsidR="00C968EF" w:rsidRPr="000F23E0" w:rsidRDefault="00C968EF" w:rsidP="00C968EF">
      <w:r w:rsidRPr="000F23E0">
        <w:t>The $1 billion CEFC Household Energy Upgrades Fund™ (HEUF™) is designed to fast</w:t>
      </w:r>
      <w:r w:rsidR="002C4475" w:rsidRPr="000F23E0">
        <w:noBreakHyphen/>
      </w:r>
      <w:r w:rsidRPr="000F23E0">
        <w:t xml:space="preserve">track the retrofit of greener and more sustainable homes </w:t>
      </w:r>
      <w:r w:rsidR="6341B5C4" w:rsidRPr="000F23E0">
        <w:t>Australia wide</w:t>
      </w:r>
      <w:r w:rsidRPr="000F23E0">
        <w:t xml:space="preserve">. By </w:t>
      </w:r>
      <w:r w:rsidR="002C4475" w:rsidRPr="000F23E0">
        <w:t>‘</w:t>
      </w:r>
      <w:r w:rsidRPr="000F23E0">
        <w:t>crowding in</w:t>
      </w:r>
      <w:r w:rsidR="002C4475" w:rsidRPr="000F23E0">
        <w:t>’</w:t>
      </w:r>
      <w:r w:rsidRPr="000F23E0">
        <w:t xml:space="preserve"> additional private capital, alongside HEUF™ capital, the CEFC aims to deliver a catalytic outcome, providing low</w:t>
      </w:r>
      <w:r w:rsidR="002C4475" w:rsidRPr="000F23E0">
        <w:noBreakHyphen/>
      </w:r>
      <w:r w:rsidRPr="000F23E0">
        <w:t>cost financing together with private financial institutions for home upgrades that improve energy performance</w:t>
      </w:r>
      <w:r w:rsidR="002C4475" w:rsidRPr="000F23E0">
        <w:t xml:space="preserve">. </w:t>
      </w:r>
    </w:p>
    <w:p w14:paraId="7B8E2DA8" w14:textId="446693B9" w:rsidR="00BA4937" w:rsidRPr="000F23E0" w:rsidRDefault="00C968EF" w:rsidP="00C968EF">
      <w:r w:rsidRPr="000F23E0">
        <w:t>The HEUF</w:t>
      </w:r>
      <w:r w:rsidR="004D6BFF" w:rsidRPr="000F23E0">
        <w:t>™</w:t>
      </w:r>
      <w:r w:rsidRPr="000F23E0">
        <w:t xml:space="preserve"> is structured so that the CEFC can leverage the consumer reach and lending capability of Australian financiers to offer discounted consumer loans direct to their customers. Accordingly, the CEFC is not offering discounted consumer loans directly to consumers. </w:t>
      </w:r>
    </w:p>
    <w:p w14:paraId="010B2BED" w14:textId="2C439355" w:rsidR="00C968EF" w:rsidRPr="000F23E0" w:rsidRDefault="00C968EF" w:rsidP="00C968EF">
      <w:r w:rsidRPr="000F23E0">
        <w:t>HEUF</w:t>
      </w:r>
      <w:r w:rsidR="00166A99" w:rsidRPr="000F23E0">
        <w:t>™</w:t>
      </w:r>
      <w:r w:rsidR="00373EC3" w:rsidRPr="000F23E0">
        <w:t xml:space="preserve"> </w:t>
      </w:r>
      <w:r w:rsidRPr="000F23E0">
        <w:t>related investment activity is likely to be limited to debt financing, investing on market terms and returns, with any discounts to be passed on to the end customer and towards unlocking barriers to the uptake of clean energy technologies. Other forms of finance may be considered where there is potential to unlock concessional loan finance for consumers</w:t>
      </w:r>
      <w:r w:rsidR="002C4475" w:rsidRPr="000F23E0">
        <w:t xml:space="preserve">. </w:t>
      </w:r>
    </w:p>
    <w:p w14:paraId="24A0DBBF" w14:textId="6151AD6B" w:rsidR="00C968EF" w:rsidRPr="000F23E0" w:rsidRDefault="00C968EF" w:rsidP="00C968EF">
      <w:r w:rsidRPr="000F23E0">
        <w:t>Making Australia</w:t>
      </w:r>
      <w:r w:rsidR="002C4475" w:rsidRPr="000F23E0">
        <w:t>’</w:t>
      </w:r>
      <w:r w:rsidRPr="000F23E0">
        <w:t>s homes more sustainable is a big part of how the country will get to net zero emissions by 2050. With the majority of existing Australian homes built before sustainability measures were included in construction standards, many will benefit from measures to reduce their heating, cooling and other energy needs, protecting households from extreme temperatures and fluctuating energy prices. </w:t>
      </w:r>
    </w:p>
    <w:p w14:paraId="4A1AEE27" w14:textId="0CC401C4" w:rsidR="00C968EF" w:rsidRPr="000F23E0" w:rsidRDefault="00C968EF" w:rsidP="00C968EF">
      <w:r w:rsidRPr="000F23E0">
        <w:t xml:space="preserve">The CEFC has prioritised technologies with the potential to deliver the largest </w:t>
      </w:r>
      <w:r w:rsidR="00844138" w:rsidRPr="000F23E0">
        <w:t xml:space="preserve">household </w:t>
      </w:r>
      <w:r w:rsidRPr="000F23E0">
        <w:t>energy or emissions reduction benefits</w:t>
      </w:r>
      <w:r w:rsidR="002C4475" w:rsidRPr="000F23E0">
        <w:t xml:space="preserve">. </w:t>
      </w:r>
    </w:p>
    <w:p w14:paraId="062F2341" w14:textId="77777777" w:rsidR="00C968EF" w:rsidRPr="000F23E0" w:rsidRDefault="00C968EF" w:rsidP="00C968EF">
      <w:r w:rsidRPr="000F23E0">
        <w:t>A sample of eligible technologies that can be financed through the HEUF™ include: </w:t>
      </w:r>
    </w:p>
    <w:p w14:paraId="59681E92" w14:textId="08834F13" w:rsidR="00C968EF" w:rsidRPr="000F23E0" w:rsidRDefault="00C968EF" w:rsidP="00294D84">
      <w:pPr>
        <w:pStyle w:val="Bullet"/>
      </w:pPr>
      <w:r w:rsidRPr="000F23E0">
        <w:t>Energy generation and storage: solar PV systems and batteries, solar hot water systems </w:t>
      </w:r>
    </w:p>
    <w:p w14:paraId="0A69BC75" w14:textId="422D7418" w:rsidR="00C968EF" w:rsidRPr="000F23E0" w:rsidRDefault="00C968EF" w:rsidP="00294D84">
      <w:pPr>
        <w:pStyle w:val="Bullet"/>
      </w:pPr>
      <w:r w:rsidRPr="000F23E0">
        <w:t>Heating and cooling: double</w:t>
      </w:r>
      <w:r w:rsidR="002C4475" w:rsidRPr="000F23E0">
        <w:noBreakHyphen/>
      </w:r>
      <w:r w:rsidRPr="000F23E0">
        <w:t>glazed windows, insulation, air conditioners, ceiling fans and hot water heat pumps </w:t>
      </w:r>
    </w:p>
    <w:p w14:paraId="6D5623E5" w14:textId="58795EF5" w:rsidR="00D74A6F" w:rsidRPr="000F23E0" w:rsidRDefault="00D74A6F" w:rsidP="00294D84">
      <w:pPr>
        <w:pStyle w:val="Bullet"/>
      </w:pPr>
      <w:r w:rsidRPr="000F23E0">
        <w:t>Miscellaneous: EV chargers, energy monitoring systems, pool pumps and induction cooktops</w:t>
      </w:r>
      <w:r w:rsidR="00282729" w:rsidRPr="000F23E0">
        <w:t>.</w:t>
      </w:r>
    </w:p>
    <w:p w14:paraId="54D9320F" w14:textId="5EE5ACD6" w:rsidR="00303BA4" w:rsidRPr="000F23E0" w:rsidRDefault="00D33011" w:rsidP="00303BA4">
      <w:r w:rsidRPr="000F23E0">
        <w:t>On</w:t>
      </w:r>
      <w:r w:rsidR="00303BA4" w:rsidRPr="000F23E0">
        <w:t xml:space="preserve"> 15 December 2025, the CEFC has announced the following investment commitments:</w:t>
      </w:r>
    </w:p>
    <w:p w14:paraId="2B623B33" w14:textId="77777777" w:rsidR="00303BA4" w:rsidRPr="000F23E0" w:rsidRDefault="00303BA4" w:rsidP="00303BA4">
      <w:pPr>
        <w:pStyle w:val="Bullet"/>
      </w:pPr>
      <w:r w:rsidRPr="000F23E0">
        <w:t>$60 million to support solar PV, home batteries and other energy efficiency upgrades with fintech lender Plenti</w:t>
      </w:r>
    </w:p>
    <w:p w14:paraId="7285CD85" w14:textId="77777777" w:rsidR="00303BA4" w:rsidRPr="000F23E0" w:rsidRDefault="00303BA4" w:rsidP="00303BA4">
      <w:pPr>
        <w:pStyle w:val="Bullet"/>
      </w:pPr>
      <w:r w:rsidRPr="000F23E0">
        <w:t>$160 million to support the installation of energy efficient clean technologies with Westpac</w:t>
      </w:r>
    </w:p>
    <w:p w14:paraId="122A57C9" w14:textId="77777777" w:rsidR="00303BA4" w:rsidRPr="000F23E0" w:rsidRDefault="00303BA4" w:rsidP="00303BA4">
      <w:pPr>
        <w:pStyle w:val="Bullet"/>
      </w:pPr>
      <w:r w:rsidRPr="000F23E0">
        <w:t>up to $75 million to help finance the $150 million ING Green Upgrade Loan program</w:t>
      </w:r>
    </w:p>
    <w:p w14:paraId="7D768638" w14:textId="7581CD84" w:rsidR="00303BA4" w:rsidRPr="000F23E0" w:rsidRDefault="00303BA4" w:rsidP="00303BA4">
      <w:pPr>
        <w:pStyle w:val="Bullet"/>
      </w:pPr>
      <w:r w:rsidRPr="000F23E0">
        <w:t>$50 million to Bank Australia to support energy performance upgrades of existing homes</w:t>
      </w:r>
    </w:p>
    <w:p w14:paraId="47080822" w14:textId="77777777" w:rsidR="00303BA4" w:rsidRPr="000F23E0" w:rsidRDefault="00303BA4" w:rsidP="00303BA4">
      <w:pPr>
        <w:pStyle w:val="Bullet"/>
      </w:pPr>
      <w:r w:rsidRPr="000F23E0">
        <w:t>$20 million to the CommBank Home Energy Upgrades service</w:t>
      </w:r>
    </w:p>
    <w:p w14:paraId="38F14C81" w14:textId="222B276B" w:rsidR="008D5DA4" w:rsidRPr="000F23E0" w:rsidRDefault="00303BA4" w:rsidP="008D5DA4">
      <w:pPr>
        <w:pStyle w:val="Bullet"/>
      </w:pPr>
      <w:r w:rsidRPr="000F23E0">
        <w:t>$20 million to Starling Energy Group, which operates via its retail brand Plico (together with a further $15 million from the CEFC</w:t>
      </w:r>
      <w:r w:rsidR="002C4475" w:rsidRPr="000F23E0">
        <w:t>’</w:t>
      </w:r>
      <w:r w:rsidRPr="000F23E0">
        <w:t>s General Portfolio) to support end</w:t>
      </w:r>
      <w:r w:rsidR="002C4475" w:rsidRPr="000F23E0">
        <w:noBreakHyphen/>
      </w:r>
      <w:r w:rsidRPr="000F23E0">
        <w:t>to</w:t>
      </w:r>
      <w:r w:rsidR="002C4475" w:rsidRPr="000F23E0">
        <w:noBreakHyphen/>
      </w:r>
      <w:r w:rsidRPr="000F23E0">
        <w:t>end solar, battery and VPP</w:t>
      </w:r>
      <w:r w:rsidR="00B778E8" w:rsidRPr="000F23E0">
        <w:t> </w:t>
      </w:r>
      <w:r w:rsidRPr="000F23E0">
        <w:t>services</w:t>
      </w:r>
    </w:p>
    <w:p w14:paraId="4DCEEB2F" w14:textId="3119A476" w:rsidR="008D5DA4" w:rsidRPr="000F23E0" w:rsidRDefault="008D5DA4" w:rsidP="008D5DA4">
      <w:pPr>
        <w:pStyle w:val="Bullet"/>
      </w:pPr>
      <w:r w:rsidRPr="000F23E0">
        <w:t>Up to $40 million to Brighte to support a wide range of energy upgrades</w:t>
      </w:r>
      <w:r w:rsidR="002C4475" w:rsidRPr="000F23E0">
        <w:t xml:space="preserve"> – </w:t>
      </w:r>
      <w:r w:rsidRPr="000F23E0">
        <w:t>including solar and battery systems, energy</w:t>
      </w:r>
      <w:r w:rsidR="002C4475" w:rsidRPr="000F23E0">
        <w:noBreakHyphen/>
      </w:r>
      <w:r w:rsidRPr="000F23E0">
        <w:t>efficient heating and cooling, insulation, and EV chargers</w:t>
      </w:r>
      <w:r w:rsidR="00282729" w:rsidRPr="000F23E0">
        <w:t>.</w:t>
      </w:r>
    </w:p>
    <w:p w14:paraId="1CABE6D4" w14:textId="192563D4" w:rsidR="00D74A6F" w:rsidRPr="000F23E0" w:rsidRDefault="00D74A6F" w:rsidP="00011A85">
      <w:pPr>
        <w:pStyle w:val="Heading3"/>
        <w:keepLines/>
      </w:pPr>
      <w:r w:rsidRPr="000F23E0">
        <w:lastRenderedPageBreak/>
        <w:t xml:space="preserve">Green Treasury Bond </w:t>
      </w:r>
      <w:r w:rsidR="0002119B" w:rsidRPr="000F23E0">
        <w:t>a</w:t>
      </w:r>
      <w:r w:rsidRPr="000F23E0">
        <w:t>llocation</w:t>
      </w:r>
    </w:p>
    <w:p w14:paraId="222ED747" w14:textId="7A1CC2E8" w:rsidR="00EB54E3" w:rsidRPr="000F23E0" w:rsidRDefault="00D74A6F" w:rsidP="0046129F">
      <w:r w:rsidRPr="000F23E0">
        <w:t xml:space="preserve">The </w:t>
      </w:r>
      <w:r w:rsidR="00611CEF" w:rsidRPr="000F23E0">
        <w:t>GTB</w:t>
      </w:r>
      <w:r w:rsidRPr="000F23E0">
        <w:t xml:space="preserve"> contributed $</w:t>
      </w:r>
      <w:r w:rsidR="008520CE" w:rsidRPr="000F23E0">
        <w:t>87.4</w:t>
      </w:r>
      <w:r w:rsidRPr="000F23E0">
        <w:t xml:space="preserve"> million in 202</w:t>
      </w:r>
      <w:r w:rsidR="00943E1A" w:rsidRPr="000F23E0">
        <w:t>4</w:t>
      </w:r>
      <w:r w:rsidRPr="000F23E0">
        <w:t>–2</w:t>
      </w:r>
      <w:r w:rsidR="00943E1A" w:rsidRPr="000F23E0">
        <w:t>5</w:t>
      </w:r>
      <w:r w:rsidRPr="000F23E0">
        <w:t xml:space="preserve"> to the HEUF™ </w:t>
      </w:r>
      <w:r w:rsidR="001C3BBC" w:rsidRPr="000F23E0">
        <w:t>(</w:t>
      </w:r>
      <w:r w:rsidR="007D3B28" w:rsidRPr="000F23E0">
        <w:t>Table 17</w:t>
      </w:r>
      <w:r w:rsidRPr="000F23E0">
        <w:t>).</w:t>
      </w:r>
    </w:p>
    <w:p w14:paraId="6BF18B41" w14:textId="736FC6E9" w:rsidR="00D74A6F" w:rsidRPr="000F23E0" w:rsidRDefault="00D74A6F" w:rsidP="0046129F">
      <w:r w:rsidRPr="000F23E0">
        <w:t xml:space="preserve">The total </w:t>
      </w:r>
      <w:r w:rsidR="009D6E5D" w:rsidRPr="000F23E0">
        <w:t>Australian</w:t>
      </w:r>
      <w:r w:rsidRPr="000F23E0">
        <w:t xml:space="preserve"> Government contribution refers to the total HEUF™ investment capital</w:t>
      </w:r>
      <w:r w:rsidR="009F164A" w:rsidRPr="000F23E0">
        <w:t xml:space="preserve"> from the </w:t>
      </w:r>
      <w:r w:rsidR="00F9641B" w:rsidRPr="000F23E0">
        <w:t>Australian Government</w:t>
      </w:r>
      <w:r w:rsidRPr="000F23E0">
        <w:t>. To maintain commercial confidentiality allocation reporting reflects all CEFC HEUF™ projects over the reporting period on an aggregated basis.</w:t>
      </w:r>
    </w:p>
    <w:p w14:paraId="2C782A76" w14:textId="7C370BCE" w:rsidR="00D74A6F" w:rsidRPr="000F23E0" w:rsidRDefault="00D74A6F" w:rsidP="00551F72">
      <w:pPr>
        <w:pStyle w:val="TableMainHeading"/>
      </w:pPr>
      <w:bookmarkStart w:id="172" w:name="_Toc220662877"/>
      <w:bookmarkStart w:id="173" w:name="_Toc224637812"/>
      <w:bookmarkStart w:id="174" w:name="_Toc224642476"/>
      <w:bookmarkStart w:id="175" w:name="_Toc225153452"/>
      <w:bookmarkStart w:id="176" w:name="_Toc225154498"/>
      <w:bookmarkStart w:id="177" w:name="_Toc225155763"/>
      <w:r w:rsidRPr="000F23E0">
        <w:t xml:space="preserve">Table </w:t>
      </w:r>
      <w:r w:rsidR="007D3B28" w:rsidRPr="000F23E0">
        <w:t>17</w:t>
      </w:r>
      <w:r w:rsidR="00627058" w:rsidRPr="000F23E0">
        <w:t>:</w:t>
      </w:r>
      <w:r w:rsidRPr="000F23E0">
        <w:t xml:space="preserve"> Allocation Data for the Household Energy Upgrades Fund™ ($ million)</w:t>
      </w:r>
      <w:bookmarkEnd w:id="172"/>
      <w:bookmarkEnd w:id="173"/>
      <w:bookmarkEnd w:id="174"/>
      <w:bookmarkEnd w:id="175"/>
      <w:bookmarkEnd w:id="176"/>
      <w:bookmarkEnd w:id="177"/>
    </w:p>
    <w:tbl>
      <w:tblPr>
        <w:tblStyle w:val="GridTable4-Accent2"/>
        <w:tblW w:w="5000" w:type="pct"/>
        <w:tblInd w:w="5" w:type="dxa"/>
        <w:tblBorders>
          <w:top w:val="single" w:sz="4" w:space="0" w:color="DFA795"/>
          <w:bottom w:val="single" w:sz="4" w:space="0" w:color="DFA795"/>
          <w:insideH w:val="single" w:sz="4" w:space="0" w:color="DFA795"/>
        </w:tblBorders>
        <w:tblLayout w:type="fixed"/>
        <w:tblLook w:val="04A0" w:firstRow="1" w:lastRow="0" w:firstColumn="1" w:lastColumn="0" w:noHBand="0" w:noVBand="1"/>
      </w:tblPr>
      <w:tblGrid>
        <w:gridCol w:w="3114"/>
        <w:gridCol w:w="1134"/>
        <w:gridCol w:w="992"/>
        <w:gridCol w:w="2126"/>
        <w:gridCol w:w="1704"/>
      </w:tblGrid>
      <w:tr w:rsidR="008D2964" w:rsidRPr="000F23E0" w14:paraId="7FCA4505" w14:textId="77777777" w:rsidTr="00B778E8">
        <w:trPr>
          <w:cnfStyle w:val="100000000000" w:firstRow="1" w:lastRow="0" w:firstColumn="0" w:lastColumn="0" w:oddVBand="0" w:evenVBand="0" w:oddHBand="0" w:evenHBand="0" w:firstRowFirstColumn="0" w:firstRowLastColumn="0" w:lastRowFirstColumn="0" w:lastRowLastColumn="0"/>
          <w:trHeight w:val="319"/>
        </w:trPr>
        <w:tc>
          <w:tcPr>
            <w:cnfStyle w:val="001000000000" w:firstRow="0" w:lastRow="0" w:firstColumn="1" w:lastColumn="0" w:oddVBand="0" w:evenVBand="0" w:oddHBand="0" w:evenHBand="0" w:firstRowFirstColumn="0" w:firstRowLastColumn="0" w:lastRowFirstColumn="0" w:lastRowLastColumn="0"/>
            <w:tcW w:w="3114" w:type="dxa"/>
            <w:shd w:val="clear" w:color="auto" w:fill="F1D0C6"/>
          </w:tcPr>
          <w:p w14:paraId="1901AF6F" w14:textId="01DE0796" w:rsidR="008D2964" w:rsidRPr="000F23E0" w:rsidRDefault="00E96041" w:rsidP="0046129F">
            <w:pPr>
              <w:pStyle w:val="TableColumnHeadingLeft"/>
              <w:rPr>
                <w:b/>
                <w:bCs w:val="0"/>
              </w:rPr>
            </w:pPr>
            <w:r w:rsidRPr="000F23E0">
              <w:rPr>
                <w:b/>
                <w:bCs w:val="0"/>
              </w:rPr>
              <w:t>Eligible Green Expenditure</w:t>
            </w:r>
          </w:p>
        </w:tc>
        <w:tc>
          <w:tcPr>
            <w:tcW w:w="1134" w:type="dxa"/>
            <w:shd w:val="clear" w:color="auto" w:fill="F1D0C6"/>
          </w:tcPr>
          <w:p w14:paraId="7985535C" w14:textId="47B55D00" w:rsidR="008D2964" w:rsidRPr="000F23E0" w:rsidRDefault="008D2964" w:rsidP="0046129F">
            <w:pPr>
              <w:pStyle w:val="TableColumnHeadingRight"/>
              <w:cnfStyle w:val="100000000000" w:firstRow="1" w:lastRow="0" w:firstColumn="0" w:lastColumn="0" w:oddVBand="0" w:evenVBand="0" w:oddHBand="0" w:evenHBand="0" w:firstRowFirstColumn="0" w:firstRowLastColumn="0" w:lastRowFirstColumn="0" w:lastRowLastColumn="0"/>
              <w:rPr>
                <w:b/>
                <w:bCs w:val="0"/>
              </w:rPr>
            </w:pPr>
            <w:r w:rsidRPr="000F23E0">
              <w:rPr>
                <w:b/>
                <w:bCs w:val="0"/>
              </w:rPr>
              <w:t>2024</w:t>
            </w:r>
            <w:r w:rsidR="001055D5" w:rsidRPr="000F23E0">
              <w:rPr>
                <w:b/>
                <w:bCs w:val="0"/>
              </w:rPr>
              <w:t>–</w:t>
            </w:r>
            <w:r w:rsidRPr="000F23E0">
              <w:rPr>
                <w:b/>
                <w:bCs w:val="0"/>
              </w:rPr>
              <w:t xml:space="preserve">25 Expenditure </w:t>
            </w:r>
          </w:p>
        </w:tc>
        <w:tc>
          <w:tcPr>
            <w:tcW w:w="992" w:type="dxa"/>
            <w:shd w:val="clear" w:color="auto" w:fill="F1D0C6"/>
          </w:tcPr>
          <w:p w14:paraId="5E57A052" w14:textId="24B666F3" w:rsidR="008D2964" w:rsidRPr="000F23E0" w:rsidRDefault="008D2964" w:rsidP="0046129F">
            <w:pPr>
              <w:pStyle w:val="TableColumnHeadingRight"/>
              <w:cnfStyle w:val="100000000000" w:firstRow="1" w:lastRow="0" w:firstColumn="0" w:lastColumn="0" w:oddVBand="0" w:evenVBand="0" w:oddHBand="0" w:evenHBand="0" w:firstRowFirstColumn="0" w:firstRowLastColumn="0" w:lastRowFirstColumn="0" w:lastRowLastColumn="0"/>
              <w:rPr>
                <w:b/>
                <w:bCs w:val="0"/>
              </w:rPr>
            </w:pPr>
            <w:r w:rsidRPr="000F23E0">
              <w:rPr>
                <w:b/>
                <w:bCs w:val="0"/>
              </w:rPr>
              <w:t>2024</w:t>
            </w:r>
            <w:r w:rsidR="001055D5" w:rsidRPr="000F23E0">
              <w:rPr>
                <w:b/>
                <w:bCs w:val="0"/>
              </w:rPr>
              <w:t>–</w:t>
            </w:r>
            <w:r w:rsidRPr="000F23E0">
              <w:rPr>
                <w:b/>
                <w:bCs w:val="0"/>
              </w:rPr>
              <w:t xml:space="preserve">25 Allocation </w:t>
            </w:r>
          </w:p>
        </w:tc>
        <w:tc>
          <w:tcPr>
            <w:tcW w:w="2126" w:type="dxa"/>
            <w:shd w:val="clear" w:color="auto" w:fill="F1D0C6"/>
          </w:tcPr>
          <w:p w14:paraId="44D0C5C9" w14:textId="2CF2F18E" w:rsidR="008D2964" w:rsidRPr="000F23E0" w:rsidRDefault="008D2964" w:rsidP="0046129F">
            <w:pPr>
              <w:pStyle w:val="TableColumnHeadingRight"/>
              <w:cnfStyle w:val="100000000000" w:firstRow="1" w:lastRow="0" w:firstColumn="0" w:lastColumn="0" w:oddVBand="0" w:evenVBand="0" w:oddHBand="0" w:evenHBand="0" w:firstRowFirstColumn="0" w:firstRowLastColumn="0" w:lastRowFirstColumn="0" w:lastRowLastColumn="0"/>
              <w:rPr>
                <w:b/>
                <w:bCs w:val="0"/>
              </w:rPr>
            </w:pPr>
            <w:r w:rsidRPr="000F23E0">
              <w:rPr>
                <w:b/>
                <w:bCs w:val="0"/>
              </w:rPr>
              <w:t xml:space="preserve">Total Australian Government Contribution </w:t>
            </w:r>
          </w:p>
        </w:tc>
        <w:tc>
          <w:tcPr>
            <w:tcW w:w="1704" w:type="dxa"/>
            <w:shd w:val="clear" w:color="auto" w:fill="F1D0C6"/>
          </w:tcPr>
          <w:p w14:paraId="18408F68" w14:textId="0008E8A9" w:rsidR="008D2964" w:rsidRPr="000F23E0" w:rsidRDefault="008D2964" w:rsidP="0046129F">
            <w:pPr>
              <w:pStyle w:val="TableColumnHeadingRight"/>
              <w:cnfStyle w:val="100000000000" w:firstRow="1" w:lastRow="0" w:firstColumn="0" w:lastColumn="0" w:oddVBand="0" w:evenVBand="0" w:oddHBand="0" w:evenHBand="0" w:firstRowFirstColumn="0" w:firstRowLastColumn="0" w:lastRowFirstColumn="0" w:lastRowLastColumn="0"/>
              <w:rPr>
                <w:b/>
                <w:bCs w:val="0"/>
              </w:rPr>
            </w:pPr>
            <w:r w:rsidRPr="000F23E0">
              <w:rPr>
                <w:b/>
                <w:bCs w:val="0"/>
              </w:rPr>
              <w:t xml:space="preserve">Total Cost of Project </w:t>
            </w:r>
          </w:p>
        </w:tc>
      </w:tr>
      <w:tr w:rsidR="00B778E8" w:rsidRPr="000F23E0" w14:paraId="696623A8" w14:textId="77777777" w:rsidTr="00B83DAE">
        <w:trPr>
          <w:trHeight w:val="258"/>
        </w:trPr>
        <w:tc>
          <w:tcPr>
            <w:cnfStyle w:val="001000000000" w:firstRow="0" w:lastRow="0" w:firstColumn="1" w:lastColumn="0" w:oddVBand="0" w:evenVBand="0" w:oddHBand="0" w:evenHBand="0" w:firstRowFirstColumn="0" w:firstRowLastColumn="0" w:lastRowFirstColumn="0" w:lastRowLastColumn="0"/>
            <w:tcW w:w="3114" w:type="dxa"/>
            <w:shd w:val="clear" w:color="auto" w:fill="FDF0E7"/>
          </w:tcPr>
          <w:p w14:paraId="7D8E2BEE" w14:textId="36538C66" w:rsidR="007D7A0E" w:rsidRPr="000F23E0" w:rsidRDefault="007D7A0E" w:rsidP="0046129F">
            <w:pPr>
              <w:pStyle w:val="TableTextLeft"/>
            </w:pPr>
            <w:r w:rsidRPr="000F23E0">
              <w:rPr>
                <w:rFonts w:eastAsiaTheme="majorEastAsia"/>
              </w:rPr>
              <w:t>Household Energy Upgrades Fund™</w:t>
            </w:r>
            <w:r w:rsidR="00E8671C" w:rsidRPr="000F23E0">
              <w:rPr>
                <w:rFonts w:eastAsiaTheme="majorEastAsia"/>
              </w:rPr>
              <w:t xml:space="preserve"> </w:t>
            </w:r>
            <w:r w:rsidRPr="000F23E0">
              <w:rPr>
                <w:rStyle w:val="EndnoteReference"/>
                <w:rFonts w:asciiTheme="majorHAnsi" w:eastAsiaTheme="majorEastAsia" w:hAnsiTheme="majorHAnsi" w:cstheme="majorBidi"/>
                <w:bCs w:val="0"/>
                <w:sz w:val="20"/>
              </w:rPr>
              <w:endnoteReference w:id="44"/>
            </w:r>
          </w:p>
        </w:tc>
        <w:tc>
          <w:tcPr>
            <w:tcW w:w="1134" w:type="dxa"/>
            <w:shd w:val="clear" w:color="auto" w:fill="FEFAF8"/>
          </w:tcPr>
          <w:p w14:paraId="5A0D7427" w14:textId="313A7BE0" w:rsidR="007D7A0E" w:rsidRPr="000F23E0" w:rsidRDefault="007D7A0E" w:rsidP="0046129F">
            <w:pPr>
              <w:pStyle w:val="TableTextRight"/>
              <w:cnfStyle w:val="000000000000" w:firstRow="0" w:lastRow="0" w:firstColumn="0" w:lastColumn="0" w:oddVBand="0" w:evenVBand="0" w:oddHBand="0" w:evenHBand="0" w:firstRowFirstColumn="0" w:firstRowLastColumn="0" w:lastRowFirstColumn="0" w:lastRowLastColumn="0"/>
            </w:pPr>
            <w:r w:rsidRPr="000F23E0">
              <w:t>161.5</w:t>
            </w:r>
          </w:p>
        </w:tc>
        <w:tc>
          <w:tcPr>
            <w:tcW w:w="992" w:type="dxa"/>
            <w:shd w:val="clear" w:color="auto" w:fill="FEFAF8"/>
          </w:tcPr>
          <w:p w14:paraId="5221CE89" w14:textId="03E68BA7" w:rsidR="007D7A0E" w:rsidRPr="000F23E0" w:rsidRDefault="008520CE" w:rsidP="0046129F">
            <w:pPr>
              <w:pStyle w:val="TableTextRight"/>
              <w:cnfStyle w:val="000000000000" w:firstRow="0" w:lastRow="0" w:firstColumn="0" w:lastColumn="0" w:oddVBand="0" w:evenVBand="0" w:oddHBand="0" w:evenHBand="0" w:firstRowFirstColumn="0" w:firstRowLastColumn="0" w:lastRowFirstColumn="0" w:lastRowLastColumn="0"/>
            </w:pPr>
            <w:r w:rsidRPr="000F23E0">
              <w:t>87.4</w:t>
            </w:r>
          </w:p>
        </w:tc>
        <w:tc>
          <w:tcPr>
            <w:tcW w:w="2126" w:type="dxa"/>
            <w:shd w:val="clear" w:color="auto" w:fill="FEFAF8"/>
          </w:tcPr>
          <w:p w14:paraId="3E3B2383" w14:textId="77777777" w:rsidR="007D7A0E" w:rsidRPr="000F23E0" w:rsidRDefault="007D7A0E" w:rsidP="0046129F">
            <w:pPr>
              <w:pStyle w:val="TableTextRight"/>
              <w:cnfStyle w:val="000000000000" w:firstRow="0" w:lastRow="0" w:firstColumn="0" w:lastColumn="0" w:oddVBand="0" w:evenVBand="0" w:oddHBand="0" w:evenHBand="0" w:firstRowFirstColumn="0" w:firstRowLastColumn="0" w:lastRowFirstColumn="0" w:lastRowLastColumn="0"/>
            </w:pPr>
            <w:r w:rsidRPr="000F23E0">
              <w:t>1,000.0</w:t>
            </w:r>
          </w:p>
        </w:tc>
        <w:tc>
          <w:tcPr>
            <w:tcW w:w="1704" w:type="dxa"/>
            <w:shd w:val="clear" w:color="auto" w:fill="FEFAF8"/>
          </w:tcPr>
          <w:p w14:paraId="7DCE2B75" w14:textId="77777777" w:rsidR="007D7A0E" w:rsidRPr="000F23E0" w:rsidRDefault="007D7A0E" w:rsidP="0046129F">
            <w:pPr>
              <w:pStyle w:val="TableTextRight"/>
              <w:cnfStyle w:val="000000000000" w:firstRow="0" w:lastRow="0" w:firstColumn="0" w:lastColumn="0" w:oddVBand="0" w:evenVBand="0" w:oddHBand="0" w:evenHBand="0" w:firstRowFirstColumn="0" w:firstRowLastColumn="0" w:lastRowFirstColumn="0" w:lastRowLastColumn="0"/>
            </w:pPr>
            <w:r w:rsidRPr="000F23E0">
              <w:t>N/A</w:t>
            </w:r>
          </w:p>
        </w:tc>
      </w:tr>
    </w:tbl>
    <w:p w14:paraId="492EA919" w14:textId="0B727A9A" w:rsidR="00D74A6F" w:rsidRPr="000F23E0" w:rsidRDefault="00D74A6F" w:rsidP="00B778E8">
      <w:pPr>
        <w:pStyle w:val="Heading4"/>
        <w:keepNext/>
        <w:keepLines/>
      </w:pPr>
      <w:r w:rsidRPr="000F23E0">
        <w:t>Co</w:t>
      </w:r>
      <w:r w:rsidR="002C4475" w:rsidRPr="000F23E0">
        <w:noBreakHyphen/>
      </w:r>
      <w:r w:rsidRPr="000F23E0">
        <w:t xml:space="preserve">financing </w:t>
      </w:r>
      <w:r w:rsidR="0002119B" w:rsidRPr="000F23E0">
        <w:t>a</w:t>
      </w:r>
      <w:r w:rsidRPr="000F23E0">
        <w:t>rrangements</w:t>
      </w:r>
    </w:p>
    <w:p w14:paraId="64A47CBE" w14:textId="4D1E7B77" w:rsidR="00331EDD" w:rsidRPr="000F23E0" w:rsidRDefault="00331EDD" w:rsidP="00B778E8">
      <w:pPr>
        <w:keepNext/>
        <w:keepLines/>
      </w:pPr>
      <w:r w:rsidRPr="000F23E0">
        <w:t xml:space="preserve">Through the HEUF™, the CEFC is working with </w:t>
      </w:r>
      <w:r w:rsidR="003E5A51" w:rsidRPr="000F23E0">
        <w:t>co</w:t>
      </w:r>
      <w:r w:rsidR="002C4475" w:rsidRPr="000F23E0">
        <w:noBreakHyphen/>
      </w:r>
      <w:r w:rsidR="003E5A51" w:rsidRPr="000F23E0">
        <w:t>financiers</w:t>
      </w:r>
      <w:r w:rsidRPr="000F23E0">
        <w:t xml:space="preserve"> to develop a range of flexible finance options that aim to support consumers and help them make informed choices with </w:t>
      </w:r>
      <w:r w:rsidR="003E5A51" w:rsidRPr="000F23E0">
        <w:t>long</w:t>
      </w:r>
      <w:r w:rsidR="00BD5096" w:rsidRPr="000F23E0">
        <w:t xml:space="preserve"> </w:t>
      </w:r>
      <w:r w:rsidR="003E5A51" w:rsidRPr="000F23E0">
        <w:t>term</w:t>
      </w:r>
      <w:r w:rsidRPr="000F23E0">
        <w:t xml:space="preserve"> benefits. These may include: </w:t>
      </w:r>
    </w:p>
    <w:p w14:paraId="15527BB6" w14:textId="77777777" w:rsidR="00331EDD" w:rsidRPr="000F23E0" w:rsidRDefault="00331EDD" w:rsidP="00B778E8">
      <w:pPr>
        <w:pStyle w:val="Bullet"/>
        <w:keepNext/>
        <w:keepLines/>
      </w:pPr>
      <w:r w:rsidRPr="000F23E0">
        <w:t>Green home loans: To back renovation and retrofits using clean energy technologies to significantly improve energy performance levels determined through credible home energy assessments </w:t>
      </w:r>
    </w:p>
    <w:p w14:paraId="1860C42B" w14:textId="77777777" w:rsidR="00331EDD" w:rsidRPr="000F23E0" w:rsidRDefault="00331EDD" w:rsidP="00B778E8">
      <w:pPr>
        <w:pStyle w:val="Bullet"/>
        <w:keepNext/>
        <w:keepLines/>
      </w:pPr>
      <w:r w:rsidRPr="000F23E0">
        <w:t>Green personal loans: Used for home energy improvements and clean energy technologies </w:t>
      </w:r>
    </w:p>
    <w:p w14:paraId="5352714C" w14:textId="77777777" w:rsidR="00331EDD" w:rsidRPr="000F23E0" w:rsidRDefault="00331EDD" w:rsidP="00B778E8">
      <w:pPr>
        <w:pStyle w:val="Bullet"/>
        <w:keepNext/>
        <w:keepLines/>
      </w:pPr>
      <w:r w:rsidRPr="000F23E0">
        <w:t>Innovative concessional financial offerings: Products with a focus on unlocking energy savings for borrowers including rental and strata property customers through access to energy efficiency and clean energy technologies. </w:t>
      </w:r>
    </w:p>
    <w:p w14:paraId="130D60A7" w14:textId="1B9C407B" w:rsidR="00D74A6F" w:rsidRPr="000F23E0" w:rsidRDefault="00D74A6F" w:rsidP="00B778E8">
      <w:pPr>
        <w:keepNext/>
        <w:keepLines/>
      </w:pPr>
      <w:r w:rsidRPr="000F23E0">
        <w:t>As part of the Government</w:t>
      </w:r>
      <w:r w:rsidR="002C4475" w:rsidRPr="000F23E0">
        <w:t>’</w:t>
      </w:r>
      <w:r w:rsidRPr="000F23E0">
        <w:t>s Investment Mandate issued to the CEFC, the CEFC must aim to leverage at least an amount equal to the HEUF™ Amount (</w:t>
      </w:r>
      <w:r w:rsidR="00223DC0" w:rsidRPr="000F23E0">
        <w:t xml:space="preserve">that is </w:t>
      </w:r>
      <w:r w:rsidR="00331EDD" w:rsidRPr="000F23E0">
        <w:t>$1 billion</w:t>
      </w:r>
      <w:r w:rsidRPr="000F23E0">
        <w:t>) from the private sector across the portfolio of investments made under this fund.</w:t>
      </w:r>
      <w:r w:rsidR="00331EDD" w:rsidRPr="000F23E0">
        <w:t> </w:t>
      </w:r>
    </w:p>
    <w:p w14:paraId="0341A4F0" w14:textId="4B7A6EC0" w:rsidR="00D74A6F" w:rsidRPr="000F23E0" w:rsidRDefault="00D74A6F" w:rsidP="00982944">
      <w:pPr>
        <w:pStyle w:val="Heading4"/>
      </w:pPr>
      <w:r w:rsidRPr="000F23E0">
        <w:t xml:space="preserve">Material </w:t>
      </w:r>
      <w:r w:rsidR="0002119B" w:rsidRPr="000F23E0">
        <w:t>r</w:t>
      </w:r>
      <w:r w:rsidRPr="000F23E0">
        <w:t>isks</w:t>
      </w:r>
    </w:p>
    <w:p w14:paraId="08613C7E" w14:textId="4E899CA1" w:rsidR="00D74A6F" w:rsidRPr="000F23E0" w:rsidRDefault="00D74A6F" w:rsidP="00372C8C">
      <w:r w:rsidRPr="000F23E0">
        <w:t>Projects are subject to inherent risks and uncertainties, which can include external inputs such as those related to the regulatory environment and market conditions</w:t>
      </w:r>
      <w:r w:rsidR="00584BF9" w:rsidRPr="000F23E0">
        <w:t>,</w:t>
      </w:r>
      <w:r w:rsidRPr="000F23E0">
        <w:t xml:space="preserve"> including the level of market interest rates, consumer finance regulation, inflationary pressures on both equipment costs and consumer budgets, and the rate of adoption of new technologies. Each of these may impact the timing of deployment.</w:t>
      </w:r>
    </w:p>
    <w:p w14:paraId="155A752F" w14:textId="223744B9" w:rsidR="00D74A6F" w:rsidRPr="000F23E0" w:rsidRDefault="00D74A6F" w:rsidP="00C6000A">
      <w:pPr>
        <w:pStyle w:val="Heading3"/>
        <w:keepLines/>
      </w:pPr>
      <w:r w:rsidRPr="000F23E0">
        <w:lastRenderedPageBreak/>
        <w:t xml:space="preserve">Project </w:t>
      </w:r>
      <w:r w:rsidR="0002119B" w:rsidRPr="000F23E0">
        <w:t>i</w:t>
      </w:r>
      <w:r w:rsidRPr="000F23E0">
        <w:t>mpacts</w:t>
      </w:r>
    </w:p>
    <w:p w14:paraId="3AF34B5D" w14:textId="77392B41" w:rsidR="00D74A6F" w:rsidRPr="000F23E0" w:rsidRDefault="00D63D9F" w:rsidP="00C6000A">
      <w:pPr>
        <w:keepNext/>
        <w:keepLines/>
      </w:pPr>
      <w:r w:rsidRPr="000F23E0">
        <w:t>Across the eligible period, the HEUF</w:t>
      </w:r>
      <w:r w:rsidR="00AC4836" w:rsidRPr="000F23E0">
        <w:t>™</w:t>
      </w:r>
      <w:r w:rsidRPr="000F23E0">
        <w:t xml:space="preserve"> financed</w:t>
      </w:r>
      <w:r w:rsidRPr="000F23E0" w:rsidDel="00D63D9F">
        <w:t xml:space="preserve"> </w:t>
      </w:r>
      <w:r w:rsidR="00421C81" w:rsidRPr="000F23E0">
        <w:t xml:space="preserve">1,508 </w:t>
      </w:r>
      <w:r w:rsidR="00364A26" w:rsidRPr="000F23E0">
        <w:t xml:space="preserve">loans for household energy upgrades and </w:t>
      </w:r>
      <w:r w:rsidR="005B39ED" w:rsidRPr="000F23E0">
        <w:t>3,843</w:t>
      </w:r>
      <w:r w:rsidR="008657A5" w:rsidRPr="000F23E0">
        <w:t> </w:t>
      </w:r>
      <w:r w:rsidR="005B39ED" w:rsidRPr="000F23E0">
        <w:t>energy efficient technologies.</w:t>
      </w:r>
      <w:r w:rsidR="003F2FFD" w:rsidRPr="000F23E0">
        <w:t xml:space="preserve"> Th</w:t>
      </w:r>
      <w:r w:rsidR="00372AF2" w:rsidRPr="000F23E0">
        <w:t>e number of loans and technologies financed is expected to grow as the program continues.</w:t>
      </w:r>
    </w:p>
    <w:p w14:paraId="229F0302" w14:textId="2B714A76" w:rsidR="00D74A6F" w:rsidRPr="000F23E0" w:rsidRDefault="00D74A6F" w:rsidP="00551F72">
      <w:pPr>
        <w:pStyle w:val="TableMainHeading"/>
      </w:pPr>
      <w:bookmarkStart w:id="178" w:name="_Toc220662878"/>
      <w:bookmarkStart w:id="179" w:name="_Toc224637813"/>
      <w:bookmarkStart w:id="180" w:name="_Toc224642477"/>
      <w:bookmarkStart w:id="181" w:name="_Toc225153453"/>
      <w:bookmarkStart w:id="182" w:name="_Toc225154499"/>
      <w:bookmarkStart w:id="183" w:name="_Toc225155764"/>
      <w:r w:rsidRPr="000F23E0">
        <w:t xml:space="preserve">Table </w:t>
      </w:r>
      <w:r w:rsidR="007D3B28" w:rsidRPr="000F23E0">
        <w:t>18</w:t>
      </w:r>
      <w:r w:rsidR="00627058" w:rsidRPr="000F23E0">
        <w:t>:</w:t>
      </w:r>
      <w:r w:rsidRPr="000F23E0">
        <w:t xml:space="preserve"> Impact </w:t>
      </w:r>
      <w:r w:rsidR="0002119B" w:rsidRPr="000F23E0">
        <w:t>d</w:t>
      </w:r>
      <w:r w:rsidRPr="000F23E0">
        <w:t>ata for the Household Energy Upgrades Fund™</w:t>
      </w:r>
      <w:bookmarkEnd w:id="178"/>
      <w:bookmarkEnd w:id="179"/>
      <w:bookmarkEnd w:id="180"/>
      <w:bookmarkEnd w:id="181"/>
      <w:bookmarkEnd w:id="182"/>
      <w:bookmarkEnd w:id="183"/>
    </w:p>
    <w:tbl>
      <w:tblPr>
        <w:tblStyle w:val="GridTable4-Accent2"/>
        <w:tblW w:w="5000" w:type="pct"/>
        <w:tblInd w:w="5" w:type="dxa"/>
        <w:tblBorders>
          <w:top w:val="single" w:sz="4" w:space="0" w:color="DFA795"/>
          <w:bottom w:val="single" w:sz="4" w:space="0" w:color="DFA795"/>
          <w:insideH w:val="single" w:sz="4" w:space="0" w:color="DFA795"/>
        </w:tblBorders>
        <w:tblLook w:val="04A0" w:firstRow="1" w:lastRow="0" w:firstColumn="1" w:lastColumn="0" w:noHBand="0" w:noVBand="1"/>
      </w:tblPr>
      <w:tblGrid>
        <w:gridCol w:w="3397"/>
        <w:gridCol w:w="1418"/>
        <w:gridCol w:w="2410"/>
        <w:gridCol w:w="1845"/>
      </w:tblGrid>
      <w:tr w:rsidR="008F5A50" w:rsidRPr="000F23E0" w14:paraId="3068944A" w14:textId="77777777" w:rsidTr="00B778E8">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397" w:type="dxa"/>
            <w:shd w:val="clear" w:color="auto" w:fill="F1D0C6"/>
          </w:tcPr>
          <w:p w14:paraId="49431D7F" w14:textId="77777777" w:rsidR="008F5A50" w:rsidRPr="000F23E0" w:rsidRDefault="008F5A50" w:rsidP="00C6000A">
            <w:pPr>
              <w:pStyle w:val="TableColumnHeadingLeft"/>
              <w:keepLines/>
              <w:rPr>
                <w:b/>
                <w:bCs w:val="0"/>
              </w:rPr>
            </w:pPr>
            <w:r w:rsidRPr="000F23E0">
              <w:rPr>
                <w:b/>
                <w:bCs w:val="0"/>
              </w:rPr>
              <w:t>Metric</w:t>
            </w:r>
          </w:p>
        </w:tc>
        <w:tc>
          <w:tcPr>
            <w:tcW w:w="1418" w:type="dxa"/>
            <w:shd w:val="clear" w:color="auto" w:fill="F1D0C6"/>
          </w:tcPr>
          <w:p w14:paraId="6689E784" w14:textId="090B4B7D" w:rsidR="008F5A50" w:rsidRPr="000F23E0" w:rsidRDefault="008F5A50" w:rsidP="00C6000A">
            <w:pPr>
              <w:pStyle w:val="TableColumnHeadingRight"/>
              <w:keepLines/>
              <w:cnfStyle w:val="100000000000" w:firstRow="1" w:lastRow="0" w:firstColumn="0" w:lastColumn="0" w:oddVBand="0" w:evenVBand="0" w:oddHBand="0" w:evenHBand="0" w:firstRowFirstColumn="0" w:firstRowLastColumn="0" w:lastRowFirstColumn="0" w:lastRowLastColumn="0"/>
              <w:rPr>
                <w:b/>
                <w:bCs w:val="0"/>
              </w:rPr>
            </w:pPr>
            <w:r w:rsidRPr="000F23E0">
              <w:rPr>
                <w:b/>
                <w:bCs w:val="0"/>
              </w:rPr>
              <w:t>Value</w:t>
            </w:r>
          </w:p>
        </w:tc>
        <w:tc>
          <w:tcPr>
            <w:tcW w:w="2410" w:type="dxa"/>
            <w:shd w:val="clear" w:color="auto" w:fill="F1D0C6"/>
          </w:tcPr>
          <w:p w14:paraId="5383A0A6" w14:textId="77777777" w:rsidR="008F5A50" w:rsidRPr="000F23E0" w:rsidRDefault="008F5A50" w:rsidP="00C6000A">
            <w:pPr>
              <w:pStyle w:val="TableColumnHeadingRight"/>
              <w:keepLines/>
              <w:cnfStyle w:val="100000000000" w:firstRow="1" w:lastRow="0" w:firstColumn="0" w:lastColumn="0" w:oddVBand="0" w:evenVBand="0" w:oddHBand="0" w:evenHBand="0" w:firstRowFirstColumn="0" w:firstRowLastColumn="0" w:lastRowFirstColumn="0" w:lastRowLastColumn="0"/>
              <w:rPr>
                <w:b/>
                <w:bCs w:val="0"/>
              </w:rPr>
            </w:pPr>
            <w:r w:rsidRPr="000F23E0">
              <w:rPr>
                <w:b/>
                <w:bCs w:val="0"/>
              </w:rPr>
              <w:t>Recorded/ Projected</w:t>
            </w:r>
          </w:p>
        </w:tc>
        <w:tc>
          <w:tcPr>
            <w:tcW w:w="1845" w:type="dxa"/>
            <w:shd w:val="clear" w:color="auto" w:fill="F1D0C6"/>
          </w:tcPr>
          <w:p w14:paraId="7BB6D725" w14:textId="77777777" w:rsidR="008F5A50" w:rsidRPr="000F23E0" w:rsidRDefault="008F5A50" w:rsidP="00C6000A">
            <w:pPr>
              <w:pStyle w:val="TableColumnHeadingRight"/>
              <w:keepLines/>
              <w:cnfStyle w:val="100000000000" w:firstRow="1" w:lastRow="0" w:firstColumn="0" w:lastColumn="0" w:oddVBand="0" w:evenVBand="0" w:oddHBand="0" w:evenHBand="0" w:firstRowFirstColumn="0" w:firstRowLastColumn="0" w:lastRowFirstColumn="0" w:lastRowLastColumn="0"/>
              <w:rPr>
                <w:b/>
                <w:bCs w:val="0"/>
              </w:rPr>
            </w:pPr>
            <w:r w:rsidRPr="000F23E0">
              <w:rPr>
                <w:b/>
                <w:bCs w:val="0"/>
              </w:rPr>
              <w:t>Time Period</w:t>
            </w:r>
          </w:p>
        </w:tc>
      </w:tr>
      <w:tr w:rsidR="008F5A50" w:rsidRPr="000F23E0" w14:paraId="431AFE54" w14:textId="77777777" w:rsidTr="00B778E8">
        <w:trPr>
          <w:trHeight w:val="213"/>
        </w:trPr>
        <w:tc>
          <w:tcPr>
            <w:cnfStyle w:val="001000000000" w:firstRow="0" w:lastRow="0" w:firstColumn="1" w:lastColumn="0" w:oddVBand="0" w:evenVBand="0" w:oddHBand="0" w:evenHBand="0" w:firstRowFirstColumn="0" w:firstRowLastColumn="0" w:lastRowFirstColumn="0" w:lastRowLastColumn="0"/>
            <w:tcW w:w="3397" w:type="dxa"/>
            <w:shd w:val="clear" w:color="auto" w:fill="FDF0E7"/>
          </w:tcPr>
          <w:p w14:paraId="370D9973" w14:textId="27693494" w:rsidR="008F5A50" w:rsidRPr="000F23E0" w:rsidRDefault="008F5A50" w:rsidP="00C6000A">
            <w:pPr>
              <w:pStyle w:val="TableTextLeft"/>
              <w:keepNext/>
              <w:keepLines/>
            </w:pPr>
            <w:r w:rsidRPr="000F23E0">
              <w:t xml:space="preserve">Number of concessional loans financed </w:t>
            </w:r>
          </w:p>
        </w:tc>
        <w:tc>
          <w:tcPr>
            <w:tcW w:w="1418" w:type="dxa"/>
            <w:shd w:val="clear" w:color="auto" w:fill="FEFAF8"/>
          </w:tcPr>
          <w:p w14:paraId="54EC76ED" w14:textId="154DFB7A" w:rsidR="008F5A50" w:rsidRPr="000F23E0" w:rsidRDefault="008F5A50" w:rsidP="00C6000A">
            <w:pPr>
              <w:pStyle w:val="TableTextRight"/>
              <w:keepNext/>
              <w:keepLines/>
              <w:cnfStyle w:val="000000000000" w:firstRow="0" w:lastRow="0" w:firstColumn="0" w:lastColumn="0" w:oddVBand="0" w:evenVBand="0" w:oddHBand="0" w:evenHBand="0" w:firstRowFirstColumn="0" w:firstRowLastColumn="0" w:lastRowFirstColumn="0" w:lastRowLastColumn="0"/>
            </w:pPr>
            <w:r w:rsidRPr="000F23E0">
              <w:t>1,508</w:t>
            </w:r>
          </w:p>
        </w:tc>
        <w:tc>
          <w:tcPr>
            <w:tcW w:w="2410" w:type="dxa"/>
            <w:shd w:val="clear" w:color="auto" w:fill="FEFAF8"/>
          </w:tcPr>
          <w:p w14:paraId="0E9B4169" w14:textId="77777777" w:rsidR="008F5A50" w:rsidRPr="000F23E0" w:rsidRDefault="008F5A50" w:rsidP="00C6000A">
            <w:pPr>
              <w:pStyle w:val="TableTextRight"/>
              <w:keepNext/>
              <w:keepLines/>
              <w:cnfStyle w:val="000000000000" w:firstRow="0" w:lastRow="0" w:firstColumn="0" w:lastColumn="0" w:oddVBand="0" w:evenVBand="0" w:oddHBand="0" w:evenHBand="0" w:firstRowFirstColumn="0" w:firstRowLastColumn="0" w:lastRowFirstColumn="0" w:lastRowLastColumn="0"/>
            </w:pPr>
            <w:r w:rsidRPr="000F23E0">
              <w:t>Recorded</w:t>
            </w:r>
          </w:p>
        </w:tc>
        <w:tc>
          <w:tcPr>
            <w:tcW w:w="1845" w:type="dxa"/>
            <w:shd w:val="clear" w:color="auto" w:fill="FEFAF8"/>
          </w:tcPr>
          <w:p w14:paraId="75290E6A" w14:textId="20152756" w:rsidR="008F5A50" w:rsidRPr="000F23E0" w:rsidRDefault="008F5A50" w:rsidP="00C6000A">
            <w:pPr>
              <w:pStyle w:val="TableTextRight"/>
              <w:keepNext/>
              <w:keepLines/>
              <w:cnfStyle w:val="000000000000" w:firstRow="0" w:lastRow="0" w:firstColumn="0" w:lastColumn="0" w:oddVBand="0" w:evenVBand="0" w:oddHBand="0" w:evenHBand="0" w:firstRowFirstColumn="0" w:firstRowLastColumn="0" w:lastRowFirstColumn="0" w:lastRowLastColumn="0"/>
            </w:pPr>
            <w:r w:rsidRPr="000F23E0">
              <w:t>2024–25</w:t>
            </w:r>
          </w:p>
        </w:tc>
      </w:tr>
      <w:tr w:rsidR="008F5A50" w:rsidRPr="000F23E0" w14:paraId="0890A3D3" w14:textId="77777777" w:rsidTr="00B778E8">
        <w:trPr>
          <w:trHeight w:val="291"/>
        </w:trPr>
        <w:tc>
          <w:tcPr>
            <w:cnfStyle w:val="001000000000" w:firstRow="0" w:lastRow="0" w:firstColumn="1" w:lastColumn="0" w:oddVBand="0" w:evenVBand="0" w:oddHBand="0" w:evenHBand="0" w:firstRowFirstColumn="0" w:firstRowLastColumn="0" w:lastRowFirstColumn="0" w:lastRowLastColumn="0"/>
            <w:tcW w:w="3397" w:type="dxa"/>
            <w:shd w:val="clear" w:color="auto" w:fill="FDF0E7"/>
          </w:tcPr>
          <w:p w14:paraId="7D9BC63C" w14:textId="77777777" w:rsidR="008F5A50" w:rsidRPr="000F23E0" w:rsidRDefault="008F5A50" w:rsidP="00C6000A">
            <w:pPr>
              <w:pStyle w:val="TableTextLeft"/>
              <w:keepNext/>
              <w:keepLines/>
            </w:pPr>
            <w:r w:rsidRPr="000F23E0">
              <w:t>Energy efficient technologies financed</w:t>
            </w:r>
          </w:p>
        </w:tc>
        <w:tc>
          <w:tcPr>
            <w:tcW w:w="1418" w:type="dxa"/>
            <w:shd w:val="clear" w:color="auto" w:fill="FEFAF8"/>
          </w:tcPr>
          <w:p w14:paraId="11EC9A4C" w14:textId="6692CC81" w:rsidR="008F5A50" w:rsidRPr="000F23E0" w:rsidRDefault="008F5A50" w:rsidP="00C6000A">
            <w:pPr>
              <w:pStyle w:val="TableTextRight"/>
              <w:keepNext/>
              <w:keepLines/>
              <w:cnfStyle w:val="000000000000" w:firstRow="0" w:lastRow="0" w:firstColumn="0" w:lastColumn="0" w:oddVBand="0" w:evenVBand="0" w:oddHBand="0" w:evenHBand="0" w:firstRowFirstColumn="0" w:firstRowLastColumn="0" w:lastRowFirstColumn="0" w:lastRowLastColumn="0"/>
            </w:pPr>
            <w:r w:rsidRPr="000F23E0">
              <w:t>3,843</w:t>
            </w:r>
          </w:p>
        </w:tc>
        <w:tc>
          <w:tcPr>
            <w:tcW w:w="2410" w:type="dxa"/>
            <w:shd w:val="clear" w:color="auto" w:fill="FEFAF8"/>
          </w:tcPr>
          <w:p w14:paraId="3CE80E1B" w14:textId="77777777" w:rsidR="008F5A50" w:rsidRPr="000F23E0" w:rsidRDefault="008F5A50" w:rsidP="00C6000A">
            <w:pPr>
              <w:pStyle w:val="TableTextRight"/>
              <w:keepNext/>
              <w:keepLines/>
              <w:cnfStyle w:val="000000000000" w:firstRow="0" w:lastRow="0" w:firstColumn="0" w:lastColumn="0" w:oddVBand="0" w:evenVBand="0" w:oddHBand="0" w:evenHBand="0" w:firstRowFirstColumn="0" w:firstRowLastColumn="0" w:lastRowFirstColumn="0" w:lastRowLastColumn="0"/>
            </w:pPr>
            <w:r w:rsidRPr="000F23E0">
              <w:t>Recorded</w:t>
            </w:r>
          </w:p>
        </w:tc>
        <w:tc>
          <w:tcPr>
            <w:tcW w:w="1845" w:type="dxa"/>
            <w:shd w:val="clear" w:color="auto" w:fill="FEFAF8"/>
          </w:tcPr>
          <w:p w14:paraId="2D71FA00" w14:textId="5FF70E99" w:rsidR="008F5A50" w:rsidRPr="000F23E0" w:rsidRDefault="008F5A50" w:rsidP="00C6000A">
            <w:pPr>
              <w:pStyle w:val="TableTextRight"/>
              <w:keepNext/>
              <w:keepLines/>
              <w:cnfStyle w:val="000000000000" w:firstRow="0" w:lastRow="0" w:firstColumn="0" w:lastColumn="0" w:oddVBand="0" w:evenVBand="0" w:oddHBand="0" w:evenHBand="0" w:firstRowFirstColumn="0" w:firstRowLastColumn="0" w:lastRowFirstColumn="0" w:lastRowLastColumn="0"/>
            </w:pPr>
            <w:r w:rsidRPr="000F23E0">
              <w:t>2024–25</w:t>
            </w:r>
          </w:p>
        </w:tc>
      </w:tr>
      <w:tr w:rsidR="008F5A50" w:rsidRPr="000F23E0" w14:paraId="6F980DE4" w14:textId="77777777" w:rsidTr="00B778E8">
        <w:trPr>
          <w:trHeight w:val="77"/>
        </w:trPr>
        <w:tc>
          <w:tcPr>
            <w:cnfStyle w:val="001000000000" w:firstRow="0" w:lastRow="0" w:firstColumn="1" w:lastColumn="0" w:oddVBand="0" w:evenVBand="0" w:oddHBand="0" w:evenHBand="0" w:firstRowFirstColumn="0" w:firstRowLastColumn="0" w:lastRowFirstColumn="0" w:lastRowLastColumn="0"/>
            <w:tcW w:w="3397" w:type="dxa"/>
            <w:shd w:val="clear" w:color="auto" w:fill="FDF0E7"/>
          </w:tcPr>
          <w:p w14:paraId="43532955" w14:textId="7A06971F" w:rsidR="008F5A50" w:rsidRPr="000F23E0" w:rsidRDefault="008F5A50" w:rsidP="00C6000A">
            <w:pPr>
              <w:pStyle w:val="TableTextLeft"/>
              <w:keepNext/>
              <w:keepLines/>
            </w:pPr>
            <w:r w:rsidRPr="000F23E0">
              <w:t>Emissions avoided (kt CO</w:t>
            </w:r>
            <w:r w:rsidRPr="000F23E0">
              <w:rPr>
                <w:vertAlign w:val="subscript"/>
              </w:rPr>
              <w:t>2</w:t>
            </w:r>
            <w:r w:rsidRPr="000F23E0">
              <w:t>-e p.a.) </w:t>
            </w:r>
          </w:p>
        </w:tc>
        <w:tc>
          <w:tcPr>
            <w:tcW w:w="1418" w:type="dxa"/>
            <w:shd w:val="clear" w:color="auto" w:fill="FEFAF8"/>
          </w:tcPr>
          <w:p w14:paraId="15C1509E" w14:textId="6C857BE7" w:rsidR="008F5A50" w:rsidRPr="000F23E0" w:rsidDel="002D3FE9" w:rsidRDefault="008F5A50" w:rsidP="00C6000A">
            <w:pPr>
              <w:pStyle w:val="TableTextRight"/>
              <w:keepNext/>
              <w:keepLines/>
              <w:cnfStyle w:val="000000000000" w:firstRow="0" w:lastRow="0" w:firstColumn="0" w:lastColumn="0" w:oddVBand="0" w:evenVBand="0" w:oddHBand="0" w:evenHBand="0" w:firstRowFirstColumn="0" w:firstRowLastColumn="0" w:lastRowFirstColumn="0" w:lastRowLastColumn="0"/>
            </w:pPr>
            <w:r w:rsidRPr="000F23E0">
              <w:t>50</w:t>
            </w:r>
          </w:p>
        </w:tc>
        <w:tc>
          <w:tcPr>
            <w:tcW w:w="2410" w:type="dxa"/>
            <w:shd w:val="clear" w:color="auto" w:fill="FEFAF8"/>
          </w:tcPr>
          <w:p w14:paraId="343E76F2" w14:textId="173FC426" w:rsidR="008F5A50" w:rsidRPr="000F23E0" w:rsidRDefault="008F5A50" w:rsidP="00C6000A">
            <w:pPr>
              <w:pStyle w:val="TableTextRight"/>
              <w:keepNext/>
              <w:keepLines/>
              <w:cnfStyle w:val="000000000000" w:firstRow="0" w:lastRow="0" w:firstColumn="0" w:lastColumn="0" w:oddVBand="0" w:evenVBand="0" w:oddHBand="0" w:evenHBand="0" w:firstRowFirstColumn="0" w:firstRowLastColumn="0" w:lastRowFirstColumn="0" w:lastRowLastColumn="0"/>
            </w:pPr>
            <w:r w:rsidRPr="000F23E0">
              <w:t>Projected</w:t>
            </w:r>
          </w:p>
        </w:tc>
        <w:tc>
          <w:tcPr>
            <w:tcW w:w="1845" w:type="dxa"/>
            <w:shd w:val="clear" w:color="auto" w:fill="FEFAF8"/>
          </w:tcPr>
          <w:p w14:paraId="5B65E892" w14:textId="2C4E8936" w:rsidR="008F5A50" w:rsidRPr="000F23E0" w:rsidRDefault="008F5A50" w:rsidP="00C6000A">
            <w:pPr>
              <w:pStyle w:val="TableTextRight"/>
              <w:keepNext/>
              <w:keepLines/>
              <w:cnfStyle w:val="000000000000" w:firstRow="0" w:lastRow="0" w:firstColumn="0" w:lastColumn="0" w:oddVBand="0" w:evenVBand="0" w:oddHBand="0" w:evenHBand="0" w:firstRowFirstColumn="0" w:firstRowLastColumn="0" w:lastRowFirstColumn="0" w:lastRowLastColumn="0"/>
            </w:pPr>
            <w:r w:rsidRPr="000F23E0">
              <w:t>10</w:t>
            </w:r>
            <w:r w:rsidR="00BB60BE" w:rsidRPr="000F23E0">
              <w:t>–</w:t>
            </w:r>
            <w:r w:rsidRPr="000F23E0">
              <w:t>20 years</w:t>
            </w:r>
          </w:p>
        </w:tc>
      </w:tr>
    </w:tbl>
    <w:p w14:paraId="2FE9969E" w14:textId="596AA1FD" w:rsidR="00D74A6F" w:rsidRPr="000F23E0" w:rsidRDefault="00D74A6F" w:rsidP="00C6000A">
      <w:pPr>
        <w:pStyle w:val="Heading4"/>
        <w:keepNext/>
        <w:keepLines/>
      </w:pPr>
      <w:r w:rsidRPr="000F23E0">
        <w:t xml:space="preserve">Social </w:t>
      </w:r>
      <w:r w:rsidR="0002119B" w:rsidRPr="000F23E0">
        <w:t>c</w:t>
      </w:r>
      <w:r w:rsidRPr="000F23E0">
        <w:t>o</w:t>
      </w:r>
      <w:r w:rsidR="002C4475" w:rsidRPr="000F23E0">
        <w:noBreakHyphen/>
      </w:r>
      <w:r w:rsidRPr="000F23E0">
        <w:t>benefits</w:t>
      </w:r>
    </w:p>
    <w:p w14:paraId="2F43F162" w14:textId="3C6E24B5" w:rsidR="00D74A6F" w:rsidRPr="000F23E0" w:rsidRDefault="00D74A6F" w:rsidP="002D33EA">
      <w:pPr>
        <w:keepNext/>
        <w:keepLines/>
      </w:pPr>
      <w:r w:rsidRPr="000F23E0">
        <w:t xml:space="preserve">Over the life of the program, the </w:t>
      </w:r>
      <w:r w:rsidR="00AC4836" w:rsidRPr="000F23E0">
        <w:t>H</w:t>
      </w:r>
      <w:r w:rsidR="0071706A" w:rsidRPr="000F23E0">
        <w:t>E</w:t>
      </w:r>
      <w:r w:rsidR="00AC4836" w:rsidRPr="000F23E0">
        <w:t>UF</w:t>
      </w:r>
      <w:r w:rsidRPr="000F23E0">
        <w:t xml:space="preserve">™ is expected </w:t>
      </w:r>
      <w:r w:rsidR="000C1F15" w:rsidRPr="000F23E0">
        <w:t xml:space="preserve">to </w:t>
      </w:r>
      <w:r w:rsidRPr="000F23E0">
        <w:t xml:space="preserve">help more than 110,000 households lower their energy bills, ensuring homes are warmer in winter and cooler in summer. </w:t>
      </w:r>
    </w:p>
    <w:p w14:paraId="29E0F80F" w14:textId="29647FC3" w:rsidR="0066067A" w:rsidRPr="000F23E0" w:rsidRDefault="00C32B4C" w:rsidP="00BA0320">
      <w:r w:rsidRPr="000F23E0">
        <w:t xml:space="preserve">The Energy Efficiency Council found increasing household ratings </w:t>
      </w:r>
      <w:r w:rsidR="0054731E" w:rsidRPr="000F23E0">
        <w:t xml:space="preserve">of energy efficiency </w:t>
      </w:r>
      <w:r w:rsidRPr="000F23E0">
        <w:t>from 1</w:t>
      </w:r>
      <w:r w:rsidR="002D33EA" w:rsidRPr="000F23E0">
        <w:t> </w:t>
      </w:r>
      <w:r w:rsidRPr="000F23E0">
        <w:t>to 3</w:t>
      </w:r>
      <w:r w:rsidR="002D33EA" w:rsidRPr="000F23E0">
        <w:t> </w:t>
      </w:r>
      <w:r w:rsidRPr="000F23E0">
        <w:t>stars can reduce energy bills by around 30</w:t>
      </w:r>
      <w:r w:rsidR="002D33EA" w:rsidRPr="000F23E0">
        <w:t> </w:t>
      </w:r>
      <w:r w:rsidRPr="000F23E0">
        <w:t>per</w:t>
      </w:r>
      <w:r w:rsidR="002D33EA" w:rsidRPr="000F23E0">
        <w:t> </w:t>
      </w:r>
      <w:r w:rsidRPr="000F23E0">
        <w:t>cent and increasing from 3 to 5 stars can reduce bills by around 18</w:t>
      </w:r>
      <w:r w:rsidR="008657A5" w:rsidRPr="000F23E0">
        <w:t> </w:t>
      </w:r>
      <w:r w:rsidRPr="000F23E0">
        <w:t>per</w:t>
      </w:r>
      <w:r w:rsidR="008657A5" w:rsidRPr="000F23E0">
        <w:t> </w:t>
      </w:r>
      <w:r w:rsidRPr="000F23E0">
        <w:t>cent.</w:t>
      </w:r>
    </w:p>
    <w:p w14:paraId="0F862ABE" w14:textId="77777777" w:rsidR="0066067A" w:rsidRPr="000F23E0" w:rsidRDefault="0066067A" w:rsidP="00BA0320">
      <w:r w:rsidRPr="000F23E0">
        <w:br w:type="page"/>
      </w:r>
    </w:p>
    <w:p w14:paraId="65BAC599" w14:textId="0C5C53FA" w:rsidR="00D74A6F" w:rsidRPr="000F23E0" w:rsidRDefault="00D74A6F" w:rsidP="002D33EA">
      <w:pPr>
        <w:pStyle w:val="Heading2"/>
        <w:keepLines/>
      </w:pPr>
      <w:bookmarkStart w:id="184" w:name="_Toc225155765"/>
      <w:r w:rsidRPr="000F23E0">
        <w:lastRenderedPageBreak/>
        <w:t>S</w:t>
      </w:r>
      <w:r w:rsidR="00040208" w:rsidRPr="000F23E0">
        <w:t xml:space="preserve">ocial </w:t>
      </w:r>
      <w:r w:rsidRPr="000F23E0">
        <w:t>H</w:t>
      </w:r>
      <w:r w:rsidR="00040208" w:rsidRPr="000F23E0">
        <w:t xml:space="preserve">ousing </w:t>
      </w:r>
      <w:r w:rsidRPr="000F23E0">
        <w:t>E</w:t>
      </w:r>
      <w:r w:rsidR="00040208" w:rsidRPr="000F23E0">
        <w:t xml:space="preserve">nergy </w:t>
      </w:r>
      <w:r w:rsidRPr="000F23E0">
        <w:t>P</w:t>
      </w:r>
      <w:r w:rsidR="00040208" w:rsidRPr="000F23E0">
        <w:t xml:space="preserve">erformance </w:t>
      </w:r>
      <w:r w:rsidRPr="000F23E0">
        <w:t>I</w:t>
      </w:r>
      <w:r w:rsidR="00040208" w:rsidRPr="000F23E0">
        <w:t>nitiative</w:t>
      </w:r>
      <w:bookmarkEnd w:id="184"/>
    </w:p>
    <w:p w14:paraId="42FD6CAC" w14:textId="18F9648C" w:rsidR="00894868" w:rsidRPr="000F23E0" w:rsidRDefault="00894868" w:rsidP="002D33EA">
      <w:pPr>
        <w:keepNext/>
        <w:keepLines/>
      </w:pPr>
      <w:r w:rsidRPr="000F23E0">
        <w:t>The expanded Social Housing Energy Performance Initiative (SHEPI) is providing $1.1</w:t>
      </w:r>
      <w:r w:rsidR="008657A5" w:rsidRPr="000F23E0">
        <w:t> </w:t>
      </w:r>
      <w:r w:rsidRPr="000F23E0">
        <w:t>billion (including $800</w:t>
      </w:r>
      <w:r w:rsidR="002D33EA" w:rsidRPr="000F23E0">
        <w:t> </w:t>
      </w:r>
      <w:r w:rsidRPr="000F23E0">
        <w:t>million from the Commonwealth) to support energy performance upgrades to social housing.</w:t>
      </w:r>
    </w:p>
    <w:p w14:paraId="0F3EE146" w14:textId="5BD1B332" w:rsidR="00894868" w:rsidRPr="000F23E0" w:rsidRDefault="00894868" w:rsidP="00C6000A">
      <w:r w:rsidRPr="000F23E0">
        <w:t>The SHEPI aims to reduce energy costs and consumption and improve thermal comfort for social housing tenants. It is expected to reach more than 100,000 social housing properties. Upgrades under the SHEPI will benefit tenants through sustained savings on their energy bills, and improvements to their comfort and health.</w:t>
      </w:r>
    </w:p>
    <w:p w14:paraId="7A54E549" w14:textId="15779104" w:rsidR="00894868" w:rsidRPr="000F23E0" w:rsidRDefault="00894868" w:rsidP="00C6000A">
      <w:r w:rsidRPr="000F23E0">
        <w:t>The SHEPI is partly co</w:t>
      </w:r>
      <w:r w:rsidR="002C4475" w:rsidRPr="000F23E0">
        <w:noBreakHyphen/>
      </w:r>
      <w:r w:rsidRPr="000F23E0">
        <w:t>funded and designed in partnership with states and territories. It is flexible, supporting bespoke arrangements with state and territory governments to provide energy performance upgrades that respond to the needs of social housing stock in each jurisdiction.</w:t>
      </w:r>
    </w:p>
    <w:p w14:paraId="25ED1DD4" w14:textId="166CC7DC" w:rsidR="00894868" w:rsidRPr="000F23E0" w:rsidRDefault="00894868" w:rsidP="00C6000A">
      <w:r w:rsidRPr="000F23E0">
        <w:t>The SHEPI is delivering a range of upgrades including solar systems, batteries, energy efficient electric appliances and insulation. Housing and energy portfolios in each jurisdiction are leading the delivery of</w:t>
      </w:r>
      <w:r w:rsidR="00B778E8" w:rsidRPr="000F23E0">
        <w:t> </w:t>
      </w:r>
      <w:r w:rsidRPr="000F23E0">
        <w:t>upgrades.</w:t>
      </w:r>
    </w:p>
    <w:p w14:paraId="37B27C51" w14:textId="339FC414" w:rsidR="00040208" w:rsidRPr="000F23E0" w:rsidRDefault="00040208" w:rsidP="00C6000A">
      <w:pPr>
        <w:pStyle w:val="Heading3"/>
        <w:keepLines/>
      </w:pPr>
      <w:r w:rsidRPr="000F23E0">
        <w:t xml:space="preserve">Green Treasury Bond </w:t>
      </w:r>
      <w:r w:rsidR="0002119B" w:rsidRPr="000F23E0">
        <w:t>a</w:t>
      </w:r>
      <w:r w:rsidRPr="000F23E0">
        <w:t>llocation</w:t>
      </w:r>
    </w:p>
    <w:p w14:paraId="4C31FBDB" w14:textId="7513F828" w:rsidR="001C6385" w:rsidRPr="000F23E0" w:rsidRDefault="00611CEF" w:rsidP="00C6000A">
      <w:pPr>
        <w:keepNext/>
        <w:keepLines/>
      </w:pPr>
      <w:r w:rsidRPr="000F23E0">
        <w:t>GTB</w:t>
      </w:r>
      <w:r w:rsidR="001C6385" w:rsidRPr="000F23E0">
        <w:t>s contributed $</w:t>
      </w:r>
      <w:r w:rsidR="00EE69BA" w:rsidRPr="000F23E0">
        <w:t>33.9</w:t>
      </w:r>
      <w:r w:rsidR="001C6385" w:rsidRPr="000F23E0">
        <w:t xml:space="preserve"> million in 2024</w:t>
      </w:r>
      <w:r w:rsidR="001055D5" w:rsidRPr="000F23E0">
        <w:t>–</w:t>
      </w:r>
      <w:r w:rsidR="001C6385" w:rsidRPr="000F23E0">
        <w:t xml:space="preserve">25 towards </w:t>
      </w:r>
      <w:r w:rsidR="00EC2712" w:rsidRPr="000F23E0">
        <w:t>SHEPI</w:t>
      </w:r>
      <w:r w:rsidR="00844A1A" w:rsidRPr="000F23E0">
        <w:t xml:space="preserve"> (</w:t>
      </w:r>
      <w:r w:rsidR="00137826" w:rsidRPr="000F23E0">
        <w:t>Tabl</w:t>
      </w:r>
      <w:r w:rsidR="00321D35" w:rsidRPr="000F23E0">
        <w:t>e 19</w:t>
      </w:r>
      <w:r w:rsidR="00844A1A" w:rsidRPr="000F23E0">
        <w:t>)</w:t>
      </w:r>
      <w:r w:rsidR="006E0C43" w:rsidRPr="000F23E0">
        <w:t>.</w:t>
      </w:r>
    </w:p>
    <w:p w14:paraId="3A54383F" w14:textId="54B738D9" w:rsidR="00103E75" w:rsidRPr="000F23E0" w:rsidRDefault="00103E75" w:rsidP="00C6000A">
      <w:pPr>
        <w:keepNext/>
        <w:keepLines/>
      </w:pPr>
      <w:r w:rsidRPr="000F23E0">
        <w:t xml:space="preserve">The total Australian Government contribution represents the total projected funding of SHEPI at 30 June 2025. Funding in future financial years is anticipated to be financed through GTBs. </w:t>
      </w:r>
    </w:p>
    <w:p w14:paraId="3CBA4DEC" w14:textId="32CDE535" w:rsidR="00E6414B" w:rsidRPr="000F23E0" w:rsidRDefault="006D726C" w:rsidP="00C6000A">
      <w:pPr>
        <w:keepNext/>
        <w:keepLines/>
      </w:pPr>
      <w:r w:rsidRPr="000F23E0">
        <w:t xml:space="preserve">SHEPI (Project 2a) </w:t>
      </w:r>
      <w:r w:rsidR="00F726F6" w:rsidRPr="000F23E0">
        <w:t xml:space="preserve">is the original </w:t>
      </w:r>
      <w:r w:rsidR="00B93D36" w:rsidRPr="000F23E0">
        <w:t>initiative</w:t>
      </w:r>
      <w:r w:rsidR="00954163" w:rsidRPr="000F23E0">
        <w:t xml:space="preserve">. SHEPI (Project 2b) is the expansion </w:t>
      </w:r>
      <w:r w:rsidR="003621C5" w:rsidRPr="000F23E0">
        <w:t>announced in November</w:t>
      </w:r>
      <w:r w:rsidR="00042AA7" w:rsidRPr="000F23E0">
        <w:t> </w:t>
      </w:r>
      <w:r w:rsidR="003621C5" w:rsidRPr="000F23E0">
        <w:t>2024.</w:t>
      </w:r>
    </w:p>
    <w:p w14:paraId="22364E44" w14:textId="32A2D567" w:rsidR="002778EE" w:rsidRPr="000F23E0" w:rsidRDefault="00321D35" w:rsidP="00551F72">
      <w:pPr>
        <w:pStyle w:val="TableMainHeading"/>
      </w:pPr>
      <w:bookmarkStart w:id="185" w:name="_Toc220662879"/>
      <w:bookmarkStart w:id="186" w:name="_Toc224637815"/>
      <w:bookmarkStart w:id="187" w:name="_Toc224642479"/>
      <w:bookmarkStart w:id="188" w:name="_Toc225153455"/>
      <w:bookmarkStart w:id="189" w:name="_Toc225154501"/>
      <w:bookmarkStart w:id="190" w:name="_Toc225155766"/>
      <w:r w:rsidRPr="000F23E0">
        <w:t>Tabl</w:t>
      </w:r>
      <w:r w:rsidR="00F83B8B" w:rsidRPr="000F23E0">
        <w:t>e 19</w:t>
      </w:r>
      <w:r w:rsidR="00627058" w:rsidRPr="000F23E0">
        <w:t>:</w:t>
      </w:r>
      <w:r w:rsidR="00F83B8B" w:rsidRPr="000F23E0">
        <w:t xml:space="preserve"> </w:t>
      </w:r>
      <w:r w:rsidR="002778EE" w:rsidRPr="000F23E0">
        <w:t xml:space="preserve">Allocation Data for the Social Housing Energy </w:t>
      </w:r>
      <w:r w:rsidR="00DC3793" w:rsidRPr="000F23E0">
        <w:t xml:space="preserve">Performance </w:t>
      </w:r>
      <w:r w:rsidR="002778EE" w:rsidRPr="000F23E0">
        <w:t>Initiative (SHEPI)</w:t>
      </w:r>
      <w:r w:rsidR="00181DF1" w:rsidRPr="000F23E0">
        <w:t xml:space="preserve"> ($ million)</w:t>
      </w:r>
      <w:bookmarkEnd w:id="185"/>
      <w:bookmarkEnd w:id="186"/>
      <w:bookmarkEnd w:id="187"/>
      <w:bookmarkEnd w:id="188"/>
      <w:bookmarkEnd w:id="189"/>
      <w:bookmarkEnd w:id="190"/>
    </w:p>
    <w:tbl>
      <w:tblPr>
        <w:tblStyle w:val="GridTable4-Accent2"/>
        <w:tblW w:w="5000" w:type="pct"/>
        <w:tblInd w:w="5" w:type="dxa"/>
        <w:tblBorders>
          <w:top w:val="single" w:sz="4" w:space="0" w:color="DFA795"/>
          <w:bottom w:val="single" w:sz="4" w:space="0" w:color="DFA795"/>
          <w:insideH w:val="single" w:sz="4" w:space="0" w:color="DFA795"/>
        </w:tblBorders>
        <w:tblLayout w:type="fixed"/>
        <w:tblLook w:val="04A0" w:firstRow="1" w:lastRow="0" w:firstColumn="1" w:lastColumn="0" w:noHBand="0" w:noVBand="1"/>
      </w:tblPr>
      <w:tblGrid>
        <w:gridCol w:w="1814"/>
        <w:gridCol w:w="1578"/>
        <w:gridCol w:w="1418"/>
        <w:gridCol w:w="2693"/>
        <w:gridCol w:w="1567"/>
      </w:tblGrid>
      <w:tr w:rsidR="008E48A5" w:rsidRPr="000F23E0" w14:paraId="2CC73A37" w14:textId="77777777" w:rsidTr="00B778E8">
        <w:trPr>
          <w:cnfStyle w:val="100000000000" w:firstRow="1" w:lastRow="0" w:firstColumn="0" w:lastColumn="0" w:oddVBand="0" w:evenVBand="0" w:oddHBand="0" w:evenHBand="0" w:firstRowFirstColumn="0" w:firstRowLastColumn="0" w:lastRowFirstColumn="0" w:lastRowLastColumn="0"/>
          <w:trHeight w:val="363"/>
        </w:trPr>
        <w:tc>
          <w:tcPr>
            <w:cnfStyle w:val="001000000000" w:firstRow="0" w:lastRow="0" w:firstColumn="1" w:lastColumn="0" w:oddVBand="0" w:evenVBand="0" w:oddHBand="0" w:evenHBand="0" w:firstRowFirstColumn="0" w:firstRowLastColumn="0" w:lastRowFirstColumn="0" w:lastRowLastColumn="0"/>
            <w:tcW w:w="1814" w:type="dxa"/>
            <w:shd w:val="clear" w:color="auto" w:fill="F1D0C6"/>
          </w:tcPr>
          <w:p w14:paraId="2F4EADA0" w14:textId="35156B28" w:rsidR="008E48A5" w:rsidRPr="000F23E0" w:rsidRDefault="00BF6A73" w:rsidP="00182226">
            <w:pPr>
              <w:pStyle w:val="TableColumnHeadingLeft"/>
              <w:rPr>
                <w:b/>
                <w:bCs w:val="0"/>
              </w:rPr>
            </w:pPr>
            <w:r w:rsidRPr="000F23E0">
              <w:rPr>
                <w:b/>
                <w:bCs w:val="0"/>
              </w:rPr>
              <w:t>Eligible Green Expenditure</w:t>
            </w:r>
          </w:p>
        </w:tc>
        <w:tc>
          <w:tcPr>
            <w:tcW w:w="1578" w:type="dxa"/>
            <w:shd w:val="clear" w:color="auto" w:fill="F1D0C6"/>
          </w:tcPr>
          <w:p w14:paraId="337F77B7" w14:textId="26854FE8" w:rsidR="008E48A5" w:rsidRPr="000F23E0" w:rsidRDefault="008E48A5" w:rsidP="00182226">
            <w:pPr>
              <w:pStyle w:val="TableColumnHeadingRight"/>
              <w:cnfStyle w:val="100000000000" w:firstRow="1" w:lastRow="0" w:firstColumn="0" w:lastColumn="0" w:oddVBand="0" w:evenVBand="0" w:oddHBand="0" w:evenHBand="0" w:firstRowFirstColumn="0" w:firstRowLastColumn="0" w:lastRowFirstColumn="0" w:lastRowLastColumn="0"/>
              <w:rPr>
                <w:b/>
              </w:rPr>
            </w:pPr>
            <w:r w:rsidRPr="000F23E0">
              <w:rPr>
                <w:b/>
              </w:rPr>
              <w:t>2024</w:t>
            </w:r>
            <w:r w:rsidR="001055D5" w:rsidRPr="000F23E0">
              <w:rPr>
                <w:b/>
              </w:rPr>
              <w:t>–</w:t>
            </w:r>
            <w:r w:rsidRPr="000F23E0">
              <w:rPr>
                <w:b/>
              </w:rPr>
              <w:t xml:space="preserve">25 Expenditure </w:t>
            </w:r>
          </w:p>
        </w:tc>
        <w:tc>
          <w:tcPr>
            <w:tcW w:w="1418" w:type="dxa"/>
            <w:shd w:val="clear" w:color="auto" w:fill="F1D0C6"/>
          </w:tcPr>
          <w:p w14:paraId="7353BDE7" w14:textId="479A0172" w:rsidR="008E48A5" w:rsidRPr="000F23E0" w:rsidRDefault="008E48A5" w:rsidP="00182226">
            <w:pPr>
              <w:pStyle w:val="TableColumnHeadingRight"/>
              <w:cnfStyle w:val="100000000000" w:firstRow="1" w:lastRow="0" w:firstColumn="0" w:lastColumn="0" w:oddVBand="0" w:evenVBand="0" w:oddHBand="0" w:evenHBand="0" w:firstRowFirstColumn="0" w:firstRowLastColumn="0" w:lastRowFirstColumn="0" w:lastRowLastColumn="0"/>
              <w:rPr>
                <w:b/>
              </w:rPr>
            </w:pPr>
            <w:r w:rsidRPr="000F23E0">
              <w:rPr>
                <w:b/>
              </w:rPr>
              <w:t>2024</w:t>
            </w:r>
            <w:r w:rsidR="001055D5" w:rsidRPr="000F23E0">
              <w:rPr>
                <w:b/>
              </w:rPr>
              <w:t>–</w:t>
            </w:r>
            <w:r w:rsidRPr="000F23E0">
              <w:rPr>
                <w:b/>
              </w:rPr>
              <w:t xml:space="preserve">25 Allocation </w:t>
            </w:r>
          </w:p>
        </w:tc>
        <w:tc>
          <w:tcPr>
            <w:tcW w:w="2693" w:type="dxa"/>
            <w:shd w:val="clear" w:color="auto" w:fill="F1D0C6"/>
          </w:tcPr>
          <w:p w14:paraId="3AF361F5" w14:textId="4DD8C5F6" w:rsidR="008E48A5" w:rsidRPr="000F23E0" w:rsidRDefault="008E48A5" w:rsidP="00182226">
            <w:pPr>
              <w:pStyle w:val="TableColumnHeadingRight"/>
              <w:cnfStyle w:val="100000000000" w:firstRow="1" w:lastRow="0" w:firstColumn="0" w:lastColumn="0" w:oddVBand="0" w:evenVBand="0" w:oddHBand="0" w:evenHBand="0" w:firstRowFirstColumn="0" w:firstRowLastColumn="0" w:lastRowFirstColumn="0" w:lastRowLastColumn="0"/>
              <w:rPr>
                <w:b/>
              </w:rPr>
            </w:pPr>
            <w:r w:rsidRPr="000F23E0">
              <w:rPr>
                <w:b/>
              </w:rPr>
              <w:t>Total Australian Government Contribution</w:t>
            </w:r>
            <w:r w:rsidR="00BD5D74" w:rsidRPr="000F23E0">
              <w:rPr>
                <w:b/>
                <w:vertAlign w:val="superscript"/>
              </w:rPr>
              <w:t>(a)</w:t>
            </w:r>
          </w:p>
        </w:tc>
        <w:tc>
          <w:tcPr>
            <w:tcW w:w="1567" w:type="dxa"/>
            <w:shd w:val="clear" w:color="auto" w:fill="F1D0C6"/>
          </w:tcPr>
          <w:p w14:paraId="2601C3F4" w14:textId="5B606438" w:rsidR="008E48A5" w:rsidRPr="000F23E0" w:rsidRDefault="008E48A5" w:rsidP="00182226">
            <w:pPr>
              <w:pStyle w:val="TableColumnHeadingRight"/>
              <w:cnfStyle w:val="100000000000" w:firstRow="1" w:lastRow="0" w:firstColumn="0" w:lastColumn="0" w:oddVBand="0" w:evenVBand="0" w:oddHBand="0" w:evenHBand="0" w:firstRowFirstColumn="0" w:firstRowLastColumn="0" w:lastRowFirstColumn="0" w:lastRowLastColumn="0"/>
              <w:rPr>
                <w:b/>
              </w:rPr>
            </w:pPr>
            <w:r w:rsidRPr="000F23E0">
              <w:rPr>
                <w:b/>
              </w:rPr>
              <w:t xml:space="preserve">Total Cost of Project </w:t>
            </w:r>
          </w:p>
        </w:tc>
      </w:tr>
      <w:tr w:rsidR="00527A3C" w:rsidRPr="000F23E0" w14:paraId="511844B1" w14:textId="77777777" w:rsidTr="00B778E8">
        <w:trPr>
          <w:trHeight w:val="277"/>
        </w:trPr>
        <w:tc>
          <w:tcPr>
            <w:cnfStyle w:val="001000000000" w:firstRow="0" w:lastRow="0" w:firstColumn="1" w:lastColumn="0" w:oddVBand="0" w:evenVBand="0" w:oddHBand="0" w:evenHBand="0" w:firstRowFirstColumn="0" w:firstRowLastColumn="0" w:lastRowFirstColumn="0" w:lastRowLastColumn="0"/>
            <w:tcW w:w="1814" w:type="dxa"/>
            <w:shd w:val="clear" w:color="auto" w:fill="FDF0E7"/>
          </w:tcPr>
          <w:p w14:paraId="56868E46" w14:textId="1ED008A1" w:rsidR="00527A3C" w:rsidRPr="000F23E0" w:rsidRDefault="00527A3C" w:rsidP="00182226">
            <w:pPr>
              <w:pStyle w:val="TableTextLeft"/>
            </w:pPr>
            <w:r w:rsidRPr="000F23E0">
              <w:rPr>
                <w:rFonts w:eastAsiaTheme="majorEastAsia"/>
              </w:rPr>
              <w:t>SHEPI: Project 2a</w:t>
            </w:r>
          </w:p>
        </w:tc>
        <w:tc>
          <w:tcPr>
            <w:tcW w:w="1578" w:type="dxa"/>
            <w:shd w:val="clear" w:color="auto" w:fill="FEFAF8"/>
          </w:tcPr>
          <w:p w14:paraId="36DE58A7" w14:textId="2F54DB6D" w:rsidR="00527A3C" w:rsidRPr="000F23E0" w:rsidRDefault="00527A3C" w:rsidP="00182226">
            <w:pPr>
              <w:pStyle w:val="TableTextRight"/>
              <w:cnfStyle w:val="000000000000" w:firstRow="0" w:lastRow="0" w:firstColumn="0" w:lastColumn="0" w:oddVBand="0" w:evenVBand="0" w:oddHBand="0" w:evenHBand="0" w:firstRowFirstColumn="0" w:firstRowLastColumn="0" w:lastRowFirstColumn="0" w:lastRowLastColumn="0"/>
            </w:pPr>
            <w:r w:rsidRPr="000F23E0">
              <w:t>62.6</w:t>
            </w:r>
          </w:p>
        </w:tc>
        <w:tc>
          <w:tcPr>
            <w:tcW w:w="1418" w:type="dxa"/>
            <w:shd w:val="clear" w:color="auto" w:fill="FEFAF8"/>
          </w:tcPr>
          <w:p w14:paraId="6A519F27" w14:textId="7BF38F6F" w:rsidR="00527A3C" w:rsidRPr="000F23E0" w:rsidRDefault="00EE69BA" w:rsidP="00182226">
            <w:pPr>
              <w:pStyle w:val="TableTextRight"/>
              <w:cnfStyle w:val="000000000000" w:firstRow="0" w:lastRow="0" w:firstColumn="0" w:lastColumn="0" w:oddVBand="0" w:evenVBand="0" w:oddHBand="0" w:evenHBand="0" w:firstRowFirstColumn="0" w:firstRowLastColumn="0" w:lastRowFirstColumn="0" w:lastRowLastColumn="0"/>
            </w:pPr>
            <w:r w:rsidRPr="000F23E0">
              <w:t>33.9</w:t>
            </w:r>
          </w:p>
        </w:tc>
        <w:tc>
          <w:tcPr>
            <w:tcW w:w="2693" w:type="dxa"/>
            <w:shd w:val="clear" w:color="auto" w:fill="FEFAF8"/>
          </w:tcPr>
          <w:p w14:paraId="242AA864" w14:textId="06989C61" w:rsidR="00527A3C" w:rsidRPr="000F23E0" w:rsidRDefault="00527A3C" w:rsidP="00182226">
            <w:pPr>
              <w:pStyle w:val="TableTextRight"/>
              <w:cnfStyle w:val="000000000000" w:firstRow="0" w:lastRow="0" w:firstColumn="0" w:lastColumn="0" w:oddVBand="0" w:evenVBand="0" w:oddHBand="0" w:evenHBand="0" w:firstRowFirstColumn="0" w:firstRowLastColumn="0" w:lastRowFirstColumn="0" w:lastRowLastColumn="0"/>
            </w:pPr>
            <w:r w:rsidRPr="000F23E0">
              <w:t>290.7</w:t>
            </w:r>
          </w:p>
        </w:tc>
        <w:tc>
          <w:tcPr>
            <w:tcW w:w="1567" w:type="dxa"/>
            <w:shd w:val="clear" w:color="auto" w:fill="FEFAF8"/>
          </w:tcPr>
          <w:p w14:paraId="138ADBA0" w14:textId="77777777" w:rsidR="00527A3C" w:rsidRPr="000F23E0" w:rsidRDefault="00527A3C" w:rsidP="00182226">
            <w:pPr>
              <w:pStyle w:val="TableTextRight"/>
              <w:cnfStyle w:val="000000000000" w:firstRow="0" w:lastRow="0" w:firstColumn="0" w:lastColumn="0" w:oddVBand="0" w:evenVBand="0" w:oddHBand="0" w:evenHBand="0" w:firstRowFirstColumn="0" w:firstRowLastColumn="0" w:lastRowFirstColumn="0" w:lastRowLastColumn="0"/>
            </w:pPr>
            <w:r w:rsidRPr="000F23E0">
              <w:t>N/A</w:t>
            </w:r>
          </w:p>
        </w:tc>
      </w:tr>
      <w:tr w:rsidR="00527A3C" w:rsidRPr="000F23E0" w14:paraId="5C71149A" w14:textId="77777777" w:rsidTr="00B778E8">
        <w:trPr>
          <w:trHeight w:val="277"/>
        </w:trPr>
        <w:tc>
          <w:tcPr>
            <w:cnfStyle w:val="001000000000" w:firstRow="0" w:lastRow="0" w:firstColumn="1" w:lastColumn="0" w:oddVBand="0" w:evenVBand="0" w:oddHBand="0" w:evenHBand="0" w:firstRowFirstColumn="0" w:firstRowLastColumn="0" w:lastRowFirstColumn="0" w:lastRowLastColumn="0"/>
            <w:tcW w:w="1814" w:type="dxa"/>
            <w:shd w:val="clear" w:color="auto" w:fill="FDF0E7"/>
          </w:tcPr>
          <w:p w14:paraId="3EB00F44" w14:textId="0A4F31FE" w:rsidR="00527A3C" w:rsidRPr="000F23E0" w:rsidRDefault="00527A3C" w:rsidP="00182226">
            <w:pPr>
              <w:pStyle w:val="TableTextLeft"/>
              <w:rPr>
                <w:rFonts w:eastAsiaTheme="majorEastAsia"/>
              </w:rPr>
            </w:pPr>
            <w:r w:rsidRPr="000F23E0">
              <w:rPr>
                <w:rFonts w:eastAsiaTheme="majorEastAsia"/>
              </w:rPr>
              <w:t>SHEPI: Project 2b</w:t>
            </w:r>
          </w:p>
        </w:tc>
        <w:tc>
          <w:tcPr>
            <w:tcW w:w="1578" w:type="dxa"/>
            <w:shd w:val="clear" w:color="auto" w:fill="FEFAF8"/>
          </w:tcPr>
          <w:p w14:paraId="29CBFAE6" w14:textId="6572A303" w:rsidR="00527A3C" w:rsidRPr="000F23E0" w:rsidRDefault="00527A3C" w:rsidP="00182226">
            <w:pPr>
              <w:pStyle w:val="TableTextRight"/>
              <w:cnfStyle w:val="000000000000" w:firstRow="0" w:lastRow="0" w:firstColumn="0" w:lastColumn="0" w:oddVBand="0" w:evenVBand="0" w:oddHBand="0" w:evenHBand="0" w:firstRowFirstColumn="0" w:firstRowLastColumn="0" w:lastRowFirstColumn="0" w:lastRowLastColumn="0"/>
            </w:pPr>
            <w:r w:rsidRPr="000F23E0">
              <w:t>-</w:t>
            </w:r>
          </w:p>
        </w:tc>
        <w:tc>
          <w:tcPr>
            <w:tcW w:w="1418" w:type="dxa"/>
            <w:shd w:val="clear" w:color="auto" w:fill="FEFAF8"/>
          </w:tcPr>
          <w:p w14:paraId="4B12A411" w14:textId="363FBAFA" w:rsidR="00527A3C" w:rsidRPr="000F23E0" w:rsidRDefault="00EE69BA" w:rsidP="00182226">
            <w:pPr>
              <w:pStyle w:val="TableTextRight"/>
              <w:cnfStyle w:val="000000000000" w:firstRow="0" w:lastRow="0" w:firstColumn="0" w:lastColumn="0" w:oddVBand="0" w:evenVBand="0" w:oddHBand="0" w:evenHBand="0" w:firstRowFirstColumn="0" w:firstRowLastColumn="0" w:lastRowFirstColumn="0" w:lastRowLastColumn="0"/>
            </w:pPr>
            <w:r w:rsidRPr="000F23E0">
              <w:t>-</w:t>
            </w:r>
          </w:p>
        </w:tc>
        <w:tc>
          <w:tcPr>
            <w:tcW w:w="2693" w:type="dxa"/>
            <w:shd w:val="clear" w:color="auto" w:fill="FEFAF8"/>
          </w:tcPr>
          <w:p w14:paraId="42A42B29" w14:textId="71325887" w:rsidR="00527A3C" w:rsidRPr="000F23E0" w:rsidRDefault="00527A3C" w:rsidP="00182226">
            <w:pPr>
              <w:pStyle w:val="TableTextRight"/>
              <w:cnfStyle w:val="000000000000" w:firstRow="0" w:lastRow="0" w:firstColumn="0" w:lastColumn="0" w:oddVBand="0" w:evenVBand="0" w:oddHBand="0" w:evenHBand="0" w:firstRowFirstColumn="0" w:firstRowLastColumn="0" w:lastRowFirstColumn="0" w:lastRowLastColumn="0"/>
            </w:pPr>
            <w:r w:rsidRPr="000F23E0">
              <w:t>489.4</w:t>
            </w:r>
          </w:p>
        </w:tc>
        <w:tc>
          <w:tcPr>
            <w:tcW w:w="1567" w:type="dxa"/>
            <w:shd w:val="clear" w:color="auto" w:fill="FEFAF8"/>
          </w:tcPr>
          <w:p w14:paraId="2F1890A0" w14:textId="0D8CA142" w:rsidR="00527A3C" w:rsidRPr="000F23E0" w:rsidRDefault="00527A3C" w:rsidP="00182226">
            <w:pPr>
              <w:pStyle w:val="TableTextRight"/>
              <w:cnfStyle w:val="000000000000" w:firstRow="0" w:lastRow="0" w:firstColumn="0" w:lastColumn="0" w:oddVBand="0" w:evenVBand="0" w:oddHBand="0" w:evenHBand="0" w:firstRowFirstColumn="0" w:firstRowLastColumn="0" w:lastRowFirstColumn="0" w:lastRowLastColumn="0"/>
            </w:pPr>
            <w:r w:rsidRPr="000F23E0">
              <w:t>N/A</w:t>
            </w:r>
          </w:p>
        </w:tc>
      </w:tr>
      <w:tr w:rsidR="00527A3C" w:rsidRPr="000F23E0" w14:paraId="131D6179" w14:textId="77777777" w:rsidTr="00B778E8">
        <w:trPr>
          <w:trHeight w:val="277"/>
        </w:trPr>
        <w:tc>
          <w:tcPr>
            <w:cnfStyle w:val="001000000000" w:firstRow="0" w:lastRow="0" w:firstColumn="1" w:lastColumn="0" w:oddVBand="0" w:evenVBand="0" w:oddHBand="0" w:evenHBand="0" w:firstRowFirstColumn="0" w:firstRowLastColumn="0" w:lastRowFirstColumn="0" w:lastRowLastColumn="0"/>
            <w:tcW w:w="1814" w:type="dxa"/>
            <w:shd w:val="clear" w:color="auto" w:fill="FDF0E7"/>
          </w:tcPr>
          <w:p w14:paraId="2B1023A7" w14:textId="77777777" w:rsidR="00527A3C" w:rsidRPr="000F23E0" w:rsidRDefault="00527A3C" w:rsidP="00182226">
            <w:pPr>
              <w:pStyle w:val="TableTextLeft"/>
              <w:rPr>
                <w:b/>
                <w:bCs w:val="0"/>
              </w:rPr>
            </w:pPr>
            <w:r w:rsidRPr="000F23E0">
              <w:rPr>
                <w:b/>
                <w:bCs w:val="0"/>
              </w:rPr>
              <w:t>Total</w:t>
            </w:r>
          </w:p>
        </w:tc>
        <w:tc>
          <w:tcPr>
            <w:tcW w:w="1578" w:type="dxa"/>
            <w:shd w:val="clear" w:color="auto" w:fill="FEFAF8"/>
          </w:tcPr>
          <w:p w14:paraId="7A48CB98" w14:textId="79E48FB0" w:rsidR="00527A3C" w:rsidRPr="000F23E0" w:rsidRDefault="00527A3C" w:rsidP="00182226">
            <w:pPr>
              <w:pStyle w:val="TableTextRight"/>
              <w:cnfStyle w:val="000000000000" w:firstRow="0" w:lastRow="0" w:firstColumn="0" w:lastColumn="0" w:oddVBand="0" w:evenVBand="0" w:oddHBand="0" w:evenHBand="0" w:firstRowFirstColumn="0" w:firstRowLastColumn="0" w:lastRowFirstColumn="0" w:lastRowLastColumn="0"/>
              <w:rPr>
                <w:b/>
                <w:bCs/>
              </w:rPr>
            </w:pPr>
            <w:r w:rsidRPr="000F23E0">
              <w:rPr>
                <w:b/>
                <w:bCs/>
              </w:rPr>
              <w:t>62.6</w:t>
            </w:r>
          </w:p>
        </w:tc>
        <w:tc>
          <w:tcPr>
            <w:tcW w:w="1418" w:type="dxa"/>
            <w:shd w:val="clear" w:color="auto" w:fill="FEFAF8"/>
          </w:tcPr>
          <w:p w14:paraId="1F6217A7" w14:textId="224C2DCD" w:rsidR="00527A3C" w:rsidRPr="000F23E0" w:rsidRDefault="00EE69BA" w:rsidP="00182226">
            <w:pPr>
              <w:pStyle w:val="TableTextRight"/>
              <w:cnfStyle w:val="000000000000" w:firstRow="0" w:lastRow="0" w:firstColumn="0" w:lastColumn="0" w:oddVBand="0" w:evenVBand="0" w:oddHBand="0" w:evenHBand="0" w:firstRowFirstColumn="0" w:firstRowLastColumn="0" w:lastRowFirstColumn="0" w:lastRowLastColumn="0"/>
              <w:rPr>
                <w:b/>
                <w:bCs/>
              </w:rPr>
            </w:pPr>
            <w:r w:rsidRPr="000F23E0">
              <w:rPr>
                <w:b/>
                <w:bCs/>
              </w:rPr>
              <w:t>33.9</w:t>
            </w:r>
          </w:p>
        </w:tc>
        <w:tc>
          <w:tcPr>
            <w:tcW w:w="2693" w:type="dxa"/>
            <w:shd w:val="clear" w:color="auto" w:fill="FEFAF8"/>
          </w:tcPr>
          <w:p w14:paraId="6A1E9081" w14:textId="6349A8BA" w:rsidR="00527A3C" w:rsidRPr="000F23E0" w:rsidRDefault="00527A3C" w:rsidP="00182226">
            <w:pPr>
              <w:pStyle w:val="TableTextRight"/>
              <w:cnfStyle w:val="000000000000" w:firstRow="0" w:lastRow="0" w:firstColumn="0" w:lastColumn="0" w:oddVBand="0" w:evenVBand="0" w:oddHBand="0" w:evenHBand="0" w:firstRowFirstColumn="0" w:firstRowLastColumn="0" w:lastRowFirstColumn="0" w:lastRowLastColumn="0"/>
              <w:rPr>
                <w:b/>
                <w:bCs/>
              </w:rPr>
            </w:pPr>
            <w:r w:rsidRPr="000F23E0">
              <w:rPr>
                <w:b/>
                <w:bCs/>
              </w:rPr>
              <w:t>780.1</w:t>
            </w:r>
          </w:p>
        </w:tc>
        <w:tc>
          <w:tcPr>
            <w:tcW w:w="1567" w:type="dxa"/>
            <w:shd w:val="clear" w:color="auto" w:fill="FEFAF8"/>
          </w:tcPr>
          <w:p w14:paraId="319A9A47" w14:textId="5C8A569F" w:rsidR="00527A3C" w:rsidRPr="000F23E0" w:rsidRDefault="00527A3C" w:rsidP="00182226">
            <w:pPr>
              <w:pStyle w:val="TableTextRight"/>
              <w:cnfStyle w:val="000000000000" w:firstRow="0" w:lastRow="0" w:firstColumn="0" w:lastColumn="0" w:oddVBand="0" w:evenVBand="0" w:oddHBand="0" w:evenHBand="0" w:firstRowFirstColumn="0" w:firstRowLastColumn="0" w:lastRowFirstColumn="0" w:lastRowLastColumn="0"/>
              <w:rPr>
                <w:b/>
                <w:bCs/>
              </w:rPr>
            </w:pPr>
            <w:r w:rsidRPr="000F23E0">
              <w:rPr>
                <w:b/>
                <w:bCs/>
              </w:rPr>
              <w:t>N/A</w:t>
            </w:r>
          </w:p>
        </w:tc>
      </w:tr>
    </w:tbl>
    <w:p w14:paraId="710F6ACA" w14:textId="1A241F34" w:rsidR="00A82D53" w:rsidRPr="000F23E0" w:rsidRDefault="00A82D53" w:rsidP="00E8671C">
      <w:pPr>
        <w:pStyle w:val="ChartandTableFootnoteAlpha"/>
        <w:numPr>
          <w:ilvl w:val="0"/>
          <w:numId w:val="49"/>
        </w:numPr>
        <w:rPr>
          <w:rFonts w:asciiTheme="minorHAnsi" w:hAnsiTheme="minorHAnsi"/>
        </w:rPr>
      </w:pPr>
      <w:r w:rsidRPr="000F23E0">
        <w:t>Excludes funding for program administration</w:t>
      </w:r>
      <w:r w:rsidR="00521634" w:rsidRPr="000F23E0">
        <w:t>.</w:t>
      </w:r>
    </w:p>
    <w:p w14:paraId="148BEF8E" w14:textId="38B96B71" w:rsidR="00040208" w:rsidRPr="000F23E0" w:rsidRDefault="00040208" w:rsidP="002D33EA">
      <w:pPr>
        <w:pStyle w:val="Heading4"/>
        <w:keepNext/>
        <w:keepLines/>
      </w:pPr>
      <w:r w:rsidRPr="000F23E0">
        <w:lastRenderedPageBreak/>
        <w:t>Co</w:t>
      </w:r>
      <w:r w:rsidR="002C4475" w:rsidRPr="000F23E0">
        <w:noBreakHyphen/>
      </w:r>
      <w:r w:rsidRPr="000F23E0">
        <w:t xml:space="preserve">financing </w:t>
      </w:r>
      <w:r w:rsidR="005608F0" w:rsidRPr="000F23E0">
        <w:t>a</w:t>
      </w:r>
      <w:r w:rsidRPr="000F23E0">
        <w:t>rrangements</w:t>
      </w:r>
    </w:p>
    <w:p w14:paraId="26F915D7" w14:textId="24C5D62C" w:rsidR="00982944" w:rsidRPr="000F23E0" w:rsidRDefault="006E6D33" w:rsidP="002D33EA">
      <w:pPr>
        <w:keepNext/>
        <w:keepLines/>
      </w:pPr>
      <w:r w:rsidRPr="000F23E0">
        <w:t>The SHEPI is supported by over $290 million in co</w:t>
      </w:r>
      <w:r w:rsidR="002C4475" w:rsidRPr="000F23E0">
        <w:noBreakHyphen/>
      </w:r>
      <w:r w:rsidRPr="000F23E0">
        <w:t>funding from state and territory government</w:t>
      </w:r>
      <w:r w:rsidR="000F1FF0" w:rsidRPr="000F23E0">
        <w:t>s</w:t>
      </w:r>
      <w:r w:rsidRPr="000F23E0">
        <w:t>. </w:t>
      </w:r>
    </w:p>
    <w:p w14:paraId="1BDDC43F" w14:textId="2D8D6633" w:rsidR="00040208" w:rsidRPr="000F23E0" w:rsidRDefault="00040208" w:rsidP="002D33EA">
      <w:pPr>
        <w:pStyle w:val="Heading4"/>
        <w:keepNext/>
        <w:keepLines/>
      </w:pPr>
      <w:r w:rsidRPr="000F23E0">
        <w:t xml:space="preserve">Material </w:t>
      </w:r>
      <w:r w:rsidR="005608F0" w:rsidRPr="000F23E0">
        <w:t>r</w:t>
      </w:r>
      <w:r w:rsidRPr="000F23E0">
        <w:t>isks</w:t>
      </w:r>
    </w:p>
    <w:p w14:paraId="4499DDE4" w14:textId="663821B3" w:rsidR="00517FAD" w:rsidRPr="000F23E0" w:rsidRDefault="00517FAD" w:rsidP="002D33EA">
      <w:pPr>
        <w:keepNext/>
        <w:keepLines/>
      </w:pPr>
      <w:r w:rsidRPr="000F23E0">
        <w:t>Capital works in residential settings are subject to inherent risks, including work health and safety issues, supply chain pressures, and potential delays in project delivery. Active risk management is a</w:t>
      </w:r>
      <w:r w:rsidR="002D33EA" w:rsidRPr="000F23E0">
        <w:t> </w:t>
      </w:r>
      <w:r w:rsidRPr="000F23E0">
        <w:t xml:space="preserve">key design principle of the program, with an emphasis on careful planning and incorporating safety in implementation. </w:t>
      </w:r>
      <w:r w:rsidR="000F66AB" w:rsidRPr="000F23E0">
        <w:t>The</w:t>
      </w:r>
      <w:r w:rsidRPr="000F23E0">
        <w:t xml:space="preserve"> model leverages established state and territory arrangements including risk management processes. Funding agreements require the development of risk management plans and regular risk reporting, alongside ongoing engagement with state and territory delivery partners to support effective risk monitoring. </w:t>
      </w:r>
    </w:p>
    <w:p w14:paraId="3A3E54ED" w14:textId="510A98F5" w:rsidR="00040208" w:rsidRPr="000F23E0" w:rsidRDefault="00040208" w:rsidP="003C7781">
      <w:pPr>
        <w:pStyle w:val="Heading3"/>
      </w:pPr>
      <w:r w:rsidRPr="000F23E0">
        <w:t xml:space="preserve">Project </w:t>
      </w:r>
      <w:r w:rsidR="00EF5794" w:rsidRPr="000F23E0">
        <w:t>i</w:t>
      </w:r>
      <w:r w:rsidRPr="000F23E0">
        <w:t>mpacts</w:t>
      </w:r>
    </w:p>
    <w:p w14:paraId="2E815591" w14:textId="34CA1AD8" w:rsidR="003C7781" w:rsidRPr="000F23E0" w:rsidRDefault="003C7781" w:rsidP="00551F72">
      <w:pPr>
        <w:pStyle w:val="TableMainHeading"/>
      </w:pPr>
      <w:bookmarkStart w:id="191" w:name="_Toc220662880"/>
      <w:bookmarkStart w:id="192" w:name="_Toc224637816"/>
      <w:bookmarkStart w:id="193" w:name="_Toc224642480"/>
      <w:bookmarkStart w:id="194" w:name="_Toc225153456"/>
      <w:bookmarkStart w:id="195" w:name="_Toc225154502"/>
      <w:bookmarkStart w:id="196" w:name="_Toc225155767"/>
      <w:r w:rsidRPr="000F23E0">
        <w:t xml:space="preserve">Table </w:t>
      </w:r>
      <w:r w:rsidR="005B5697" w:rsidRPr="000F23E0">
        <w:t>20</w:t>
      </w:r>
      <w:r w:rsidR="00627058" w:rsidRPr="000F23E0">
        <w:t>:</w:t>
      </w:r>
      <w:r w:rsidRPr="000F23E0">
        <w:t xml:space="preserve"> Impact </w:t>
      </w:r>
      <w:r w:rsidR="005608F0" w:rsidRPr="000F23E0">
        <w:t>d</w:t>
      </w:r>
      <w:r w:rsidRPr="000F23E0">
        <w:t>ata for the Social Housing</w:t>
      </w:r>
      <w:r w:rsidR="008F5A50" w:rsidRPr="000F23E0">
        <w:t xml:space="preserve"> </w:t>
      </w:r>
      <w:r w:rsidRPr="000F23E0">
        <w:t>Energy Performance Initiative</w:t>
      </w:r>
      <w:bookmarkEnd w:id="191"/>
      <w:bookmarkEnd w:id="192"/>
      <w:bookmarkEnd w:id="193"/>
      <w:bookmarkEnd w:id="194"/>
      <w:bookmarkEnd w:id="195"/>
      <w:bookmarkEnd w:id="196"/>
    </w:p>
    <w:tbl>
      <w:tblPr>
        <w:tblStyle w:val="GridTable4-Accent2"/>
        <w:tblW w:w="9089" w:type="dxa"/>
        <w:tblInd w:w="5" w:type="dxa"/>
        <w:tblBorders>
          <w:top w:val="single" w:sz="4" w:space="0" w:color="DFA795"/>
          <w:bottom w:val="single" w:sz="4" w:space="0" w:color="DFA795"/>
          <w:insideH w:val="single" w:sz="4" w:space="0" w:color="DFA795"/>
        </w:tblBorders>
        <w:tblLook w:val="04A0" w:firstRow="1" w:lastRow="0" w:firstColumn="1" w:lastColumn="0" w:noHBand="0" w:noVBand="1"/>
      </w:tblPr>
      <w:tblGrid>
        <w:gridCol w:w="2944"/>
        <w:gridCol w:w="1863"/>
        <w:gridCol w:w="1987"/>
        <w:gridCol w:w="2295"/>
      </w:tblGrid>
      <w:tr w:rsidR="004C32DE" w:rsidRPr="000F23E0" w14:paraId="14B35CE1" w14:textId="77777777" w:rsidTr="00042AA7">
        <w:trPr>
          <w:cnfStyle w:val="100000000000" w:firstRow="1" w:lastRow="0" w:firstColumn="0" w:lastColumn="0" w:oddVBand="0" w:evenVBand="0" w:oddHBand="0" w:evenHBand="0" w:firstRowFirstColumn="0" w:firstRowLastColumn="0" w:lastRowFirstColumn="0" w:lastRowLastColumn="0"/>
          <w:trHeight w:val="327"/>
        </w:trPr>
        <w:tc>
          <w:tcPr>
            <w:cnfStyle w:val="001000000000" w:firstRow="0" w:lastRow="0" w:firstColumn="1" w:lastColumn="0" w:oddVBand="0" w:evenVBand="0" w:oddHBand="0" w:evenHBand="0" w:firstRowFirstColumn="0" w:firstRowLastColumn="0" w:lastRowFirstColumn="0" w:lastRowLastColumn="0"/>
            <w:tcW w:w="2944" w:type="dxa"/>
            <w:shd w:val="clear" w:color="auto" w:fill="F1D0C6"/>
          </w:tcPr>
          <w:p w14:paraId="044CED68" w14:textId="77777777" w:rsidR="004C32DE" w:rsidRPr="000F23E0" w:rsidRDefault="004C32DE" w:rsidP="00182226">
            <w:pPr>
              <w:pStyle w:val="TableColumnHeadingLeft"/>
              <w:rPr>
                <w:b/>
                <w:bCs w:val="0"/>
              </w:rPr>
            </w:pPr>
            <w:r w:rsidRPr="000F23E0">
              <w:rPr>
                <w:b/>
                <w:bCs w:val="0"/>
              </w:rPr>
              <w:t>Metric</w:t>
            </w:r>
          </w:p>
        </w:tc>
        <w:tc>
          <w:tcPr>
            <w:tcW w:w="1863" w:type="dxa"/>
            <w:shd w:val="clear" w:color="auto" w:fill="F1D0C6"/>
          </w:tcPr>
          <w:p w14:paraId="23256B96" w14:textId="305317F6" w:rsidR="004C32DE" w:rsidRPr="000F23E0" w:rsidRDefault="004C32DE" w:rsidP="00182226">
            <w:pPr>
              <w:pStyle w:val="TableColumnHeadingRight"/>
              <w:cnfStyle w:val="100000000000" w:firstRow="1" w:lastRow="0" w:firstColumn="0" w:lastColumn="0" w:oddVBand="0" w:evenVBand="0" w:oddHBand="0" w:evenHBand="0" w:firstRowFirstColumn="0" w:firstRowLastColumn="0" w:lastRowFirstColumn="0" w:lastRowLastColumn="0"/>
              <w:rPr>
                <w:b/>
                <w:bCs w:val="0"/>
              </w:rPr>
            </w:pPr>
            <w:r w:rsidRPr="000F23E0">
              <w:rPr>
                <w:b/>
                <w:bCs w:val="0"/>
              </w:rPr>
              <w:t>Value</w:t>
            </w:r>
          </w:p>
        </w:tc>
        <w:tc>
          <w:tcPr>
            <w:tcW w:w="1987" w:type="dxa"/>
            <w:shd w:val="clear" w:color="auto" w:fill="F1D0C6"/>
          </w:tcPr>
          <w:p w14:paraId="6D9D144F" w14:textId="77777777" w:rsidR="004C32DE" w:rsidRPr="000F23E0" w:rsidRDefault="004C32DE" w:rsidP="00182226">
            <w:pPr>
              <w:pStyle w:val="TableColumnHeadingRight"/>
              <w:cnfStyle w:val="100000000000" w:firstRow="1" w:lastRow="0" w:firstColumn="0" w:lastColumn="0" w:oddVBand="0" w:evenVBand="0" w:oddHBand="0" w:evenHBand="0" w:firstRowFirstColumn="0" w:firstRowLastColumn="0" w:lastRowFirstColumn="0" w:lastRowLastColumn="0"/>
              <w:rPr>
                <w:b/>
                <w:bCs w:val="0"/>
              </w:rPr>
            </w:pPr>
            <w:r w:rsidRPr="000F23E0">
              <w:rPr>
                <w:b/>
                <w:bCs w:val="0"/>
              </w:rPr>
              <w:t>Recorded/ Projected</w:t>
            </w:r>
          </w:p>
        </w:tc>
        <w:tc>
          <w:tcPr>
            <w:tcW w:w="2295" w:type="dxa"/>
            <w:shd w:val="clear" w:color="auto" w:fill="F1D0C6"/>
          </w:tcPr>
          <w:p w14:paraId="3E210B18" w14:textId="79AF4833" w:rsidR="004C32DE" w:rsidRPr="000F23E0" w:rsidRDefault="004C32DE" w:rsidP="00182226">
            <w:pPr>
              <w:pStyle w:val="TableColumnHeadingRight"/>
              <w:cnfStyle w:val="100000000000" w:firstRow="1" w:lastRow="0" w:firstColumn="0" w:lastColumn="0" w:oddVBand="0" w:evenVBand="0" w:oddHBand="0" w:evenHBand="0" w:firstRowFirstColumn="0" w:firstRowLastColumn="0" w:lastRowFirstColumn="0" w:lastRowLastColumn="0"/>
              <w:rPr>
                <w:b/>
                <w:bCs w:val="0"/>
              </w:rPr>
            </w:pPr>
            <w:r w:rsidRPr="000F23E0">
              <w:rPr>
                <w:b/>
                <w:bCs w:val="0"/>
              </w:rPr>
              <w:t>Time Period</w:t>
            </w:r>
          </w:p>
        </w:tc>
      </w:tr>
      <w:tr w:rsidR="004C32DE" w:rsidRPr="000F23E0" w14:paraId="3E8924BB" w14:textId="77777777" w:rsidTr="00B778E8">
        <w:trPr>
          <w:trHeight w:val="254"/>
        </w:trPr>
        <w:tc>
          <w:tcPr>
            <w:cnfStyle w:val="001000000000" w:firstRow="0" w:lastRow="0" w:firstColumn="1" w:lastColumn="0" w:oddVBand="0" w:evenVBand="0" w:oddHBand="0" w:evenHBand="0" w:firstRowFirstColumn="0" w:firstRowLastColumn="0" w:lastRowFirstColumn="0" w:lastRowLastColumn="0"/>
            <w:tcW w:w="2944" w:type="dxa"/>
            <w:vMerge w:val="restart"/>
            <w:shd w:val="clear" w:color="auto" w:fill="FDF0E7"/>
          </w:tcPr>
          <w:p w14:paraId="3FFEF051" w14:textId="0D77FB4F" w:rsidR="004C32DE" w:rsidRPr="000F23E0" w:rsidRDefault="004C32DE" w:rsidP="00182226">
            <w:pPr>
              <w:pStyle w:val="TableTextLeft"/>
            </w:pPr>
            <w:r w:rsidRPr="000F23E0">
              <w:t>Number of dwellings with energy performance upgrades</w:t>
            </w:r>
          </w:p>
        </w:tc>
        <w:tc>
          <w:tcPr>
            <w:tcW w:w="1863" w:type="dxa"/>
            <w:shd w:val="clear" w:color="auto" w:fill="FEFAF8"/>
          </w:tcPr>
          <w:p w14:paraId="2CFCB36E" w14:textId="504BF021" w:rsidR="004C32DE" w:rsidRPr="000F23E0" w:rsidRDefault="004C32DE" w:rsidP="00182226">
            <w:pPr>
              <w:pStyle w:val="TableTextRight"/>
              <w:cnfStyle w:val="000000000000" w:firstRow="0" w:lastRow="0" w:firstColumn="0" w:lastColumn="0" w:oddVBand="0" w:evenVBand="0" w:oddHBand="0" w:evenHBand="0" w:firstRowFirstColumn="0" w:firstRowLastColumn="0" w:lastRowFirstColumn="0" w:lastRowLastColumn="0"/>
            </w:pPr>
            <w:r w:rsidRPr="000F23E0">
              <w:t xml:space="preserve">Over </w:t>
            </w:r>
            <w:r w:rsidR="00B9691A" w:rsidRPr="000F23E0">
              <w:t>20</w:t>
            </w:r>
            <w:r w:rsidRPr="000F23E0">
              <w:t>,</w:t>
            </w:r>
            <w:r w:rsidR="00B9691A" w:rsidRPr="000F23E0">
              <w:t>0</w:t>
            </w:r>
            <w:r w:rsidRPr="000F23E0">
              <w:t>00</w:t>
            </w:r>
          </w:p>
        </w:tc>
        <w:tc>
          <w:tcPr>
            <w:tcW w:w="1987" w:type="dxa"/>
            <w:shd w:val="clear" w:color="auto" w:fill="FEFAF8"/>
          </w:tcPr>
          <w:p w14:paraId="757C5B99" w14:textId="7EA6FB74" w:rsidR="004C32DE" w:rsidRPr="000F23E0" w:rsidRDefault="004C32DE" w:rsidP="00182226">
            <w:pPr>
              <w:pStyle w:val="TableTextRight"/>
              <w:cnfStyle w:val="000000000000" w:firstRow="0" w:lastRow="0" w:firstColumn="0" w:lastColumn="0" w:oddVBand="0" w:evenVBand="0" w:oddHBand="0" w:evenHBand="0" w:firstRowFirstColumn="0" w:firstRowLastColumn="0" w:lastRowFirstColumn="0" w:lastRowLastColumn="0"/>
            </w:pPr>
            <w:r w:rsidRPr="000F23E0">
              <w:t>Recorded</w:t>
            </w:r>
          </w:p>
        </w:tc>
        <w:tc>
          <w:tcPr>
            <w:tcW w:w="2295" w:type="dxa"/>
            <w:shd w:val="clear" w:color="auto" w:fill="FEFAF8"/>
          </w:tcPr>
          <w:p w14:paraId="3ED2F837" w14:textId="5B2C6715" w:rsidR="004C32DE" w:rsidRPr="000F23E0" w:rsidRDefault="004C32DE" w:rsidP="00182226">
            <w:pPr>
              <w:pStyle w:val="TableTextRight"/>
              <w:cnfStyle w:val="000000000000" w:firstRow="0" w:lastRow="0" w:firstColumn="0" w:lastColumn="0" w:oddVBand="0" w:evenVBand="0" w:oddHBand="0" w:evenHBand="0" w:firstRowFirstColumn="0" w:firstRowLastColumn="0" w:lastRowFirstColumn="0" w:lastRowLastColumn="0"/>
            </w:pPr>
            <w:r w:rsidRPr="000F23E0">
              <w:t>FY2023–24 and FY2024–25</w:t>
            </w:r>
          </w:p>
        </w:tc>
      </w:tr>
      <w:tr w:rsidR="004C32DE" w:rsidRPr="000F23E0" w14:paraId="69D60754" w14:textId="77777777" w:rsidTr="00B778E8">
        <w:trPr>
          <w:trHeight w:val="253"/>
        </w:trPr>
        <w:tc>
          <w:tcPr>
            <w:cnfStyle w:val="001000000000" w:firstRow="0" w:lastRow="0" w:firstColumn="1" w:lastColumn="0" w:oddVBand="0" w:evenVBand="0" w:oddHBand="0" w:evenHBand="0" w:firstRowFirstColumn="0" w:firstRowLastColumn="0" w:lastRowFirstColumn="0" w:lastRowLastColumn="0"/>
            <w:tcW w:w="2944" w:type="dxa"/>
            <w:vMerge/>
            <w:shd w:val="clear" w:color="auto" w:fill="FDF0E7"/>
          </w:tcPr>
          <w:p w14:paraId="1BBE421A" w14:textId="77777777" w:rsidR="004C32DE" w:rsidRPr="000F23E0" w:rsidRDefault="004C32DE" w:rsidP="00AF2745">
            <w:pPr>
              <w:pStyle w:val="TableTextLeft"/>
              <w:spacing w:before="120" w:after="120"/>
              <w:rPr>
                <w:sz w:val="20"/>
              </w:rPr>
            </w:pPr>
          </w:p>
        </w:tc>
        <w:tc>
          <w:tcPr>
            <w:tcW w:w="1863" w:type="dxa"/>
            <w:shd w:val="clear" w:color="auto" w:fill="FEFAF8"/>
          </w:tcPr>
          <w:p w14:paraId="668F71A1" w14:textId="7DC17C5F" w:rsidR="004C32DE" w:rsidRPr="000F23E0" w:rsidRDefault="004C32DE" w:rsidP="00182226">
            <w:pPr>
              <w:pStyle w:val="TableTextRight"/>
              <w:cnfStyle w:val="000000000000" w:firstRow="0" w:lastRow="0" w:firstColumn="0" w:lastColumn="0" w:oddVBand="0" w:evenVBand="0" w:oddHBand="0" w:evenHBand="0" w:firstRowFirstColumn="0" w:firstRowLastColumn="0" w:lastRowFirstColumn="0" w:lastRowLastColumn="0"/>
            </w:pPr>
            <w:r w:rsidRPr="000F23E0">
              <w:t>Over 100,000</w:t>
            </w:r>
            <w:r w:rsidR="00BE0F0F" w:rsidRPr="000F23E0">
              <w:rPr>
                <w:vertAlign w:val="superscript"/>
              </w:rPr>
              <w:t>(a)</w:t>
            </w:r>
          </w:p>
        </w:tc>
        <w:tc>
          <w:tcPr>
            <w:tcW w:w="1987" w:type="dxa"/>
            <w:shd w:val="clear" w:color="auto" w:fill="FEFAF8"/>
          </w:tcPr>
          <w:p w14:paraId="28070E86" w14:textId="6BCB9E9F" w:rsidR="004C32DE" w:rsidRPr="000F23E0" w:rsidRDefault="004C32DE" w:rsidP="00182226">
            <w:pPr>
              <w:pStyle w:val="TableTextRight"/>
              <w:cnfStyle w:val="000000000000" w:firstRow="0" w:lastRow="0" w:firstColumn="0" w:lastColumn="0" w:oddVBand="0" w:evenVBand="0" w:oddHBand="0" w:evenHBand="0" w:firstRowFirstColumn="0" w:firstRowLastColumn="0" w:lastRowFirstColumn="0" w:lastRowLastColumn="0"/>
            </w:pPr>
            <w:r w:rsidRPr="000F23E0">
              <w:t>Projected</w:t>
            </w:r>
          </w:p>
        </w:tc>
        <w:tc>
          <w:tcPr>
            <w:tcW w:w="2295" w:type="dxa"/>
            <w:shd w:val="clear" w:color="auto" w:fill="FEFAF8"/>
          </w:tcPr>
          <w:p w14:paraId="31C4E6C6" w14:textId="060F5683" w:rsidR="004C32DE" w:rsidRPr="000F23E0" w:rsidRDefault="004C32DE" w:rsidP="00182226">
            <w:pPr>
              <w:pStyle w:val="TableTextRight"/>
              <w:cnfStyle w:val="000000000000" w:firstRow="0" w:lastRow="0" w:firstColumn="0" w:lastColumn="0" w:oddVBand="0" w:evenVBand="0" w:oddHBand="0" w:evenHBand="0" w:firstRowFirstColumn="0" w:firstRowLastColumn="0" w:lastRowFirstColumn="0" w:lastRowLastColumn="0"/>
            </w:pPr>
            <w:r w:rsidRPr="000F23E0">
              <w:t>FY2023–24 to FY2028–29 </w:t>
            </w:r>
          </w:p>
        </w:tc>
      </w:tr>
    </w:tbl>
    <w:p w14:paraId="2E5C41CC" w14:textId="387BC13C" w:rsidR="00BE0F0F" w:rsidRPr="000F23E0" w:rsidRDefault="00BE0F0F" w:rsidP="000F40D2">
      <w:pPr>
        <w:pStyle w:val="ChartandTableFootnoteAlpha"/>
        <w:numPr>
          <w:ilvl w:val="0"/>
          <w:numId w:val="57"/>
        </w:numPr>
      </w:pPr>
      <w:r w:rsidRPr="000F23E0">
        <w:t>The projected number of dwellings with energy performance upgrades includes the over 20,000 recorded number of dwellings with energy performance upgrades.</w:t>
      </w:r>
    </w:p>
    <w:p w14:paraId="65D609FB" w14:textId="1E4A95A9" w:rsidR="003E0458" w:rsidRPr="000F23E0" w:rsidRDefault="003E0458" w:rsidP="00982944">
      <w:pPr>
        <w:pStyle w:val="Heading4"/>
      </w:pPr>
      <w:r w:rsidRPr="000F23E0">
        <w:t xml:space="preserve">Social </w:t>
      </w:r>
      <w:r w:rsidR="005608F0" w:rsidRPr="000F23E0">
        <w:t>c</w:t>
      </w:r>
      <w:r w:rsidRPr="000F23E0">
        <w:t>o</w:t>
      </w:r>
      <w:r w:rsidR="002C4475" w:rsidRPr="000F23E0">
        <w:noBreakHyphen/>
      </w:r>
      <w:r w:rsidRPr="000F23E0">
        <w:t>benefits</w:t>
      </w:r>
    </w:p>
    <w:p w14:paraId="09B66DA0" w14:textId="1942DDA7" w:rsidR="00F11FA6" w:rsidRPr="000F23E0" w:rsidRDefault="00391040" w:rsidP="00391040">
      <w:r w:rsidRPr="000F23E0">
        <w:t xml:space="preserve">SHEPI </w:t>
      </w:r>
      <w:r w:rsidR="005957F3" w:rsidRPr="000F23E0">
        <w:t xml:space="preserve">is </w:t>
      </w:r>
      <w:r w:rsidR="00436209" w:rsidRPr="000F23E0">
        <w:t>expected to</w:t>
      </w:r>
      <w:r w:rsidR="005957F3" w:rsidRPr="000F23E0">
        <w:t xml:space="preserve"> fun</w:t>
      </w:r>
      <w:r w:rsidR="007927BA" w:rsidRPr="000F23E0">
        <w:t>d</w:t>
      </w:r>
      <w:r w:rsidR="005957F3" w:rsidRPr="000F23E0">
        <w:t xml:space="preserve"> upgrades to </w:t>
      </w:r>
      <w:r w:rsidR="002D7CB3" w:rsidRPr="000F23E0">
        <w:t xml:space="preserve">more than </w:t>
      </w:r>
      <w:r w:rsidR="00436209" w:rsidRPr="000F23E0">
        <w:t>10</w:t>
      </w:r>
      <w:r w:rsidR="005957F3" w:rsidRPr="000F23E0">
        <w:t xml:space="preserve">0,000 </w:t>
      </w:r>
      <w:r w:rsidR="003E3A58" w:rsidRPr="000F23E0">
        <w:t xml:space="preserve">social </w:t>
      </w:r>
      <w:r w:rsidR="002D7CB3" w:rsidRPr="000F23E0">
        <w:t>housing properties</w:t>
      </w:r>
      <w:r w:rsidR="005957F3" w:rsidRPr="000F23E0">
        <w:t>.</w:t>
      </w:r>
      <w:r w:rsidR="003E3A58" w:rsidRPr="000F23E0">
        <w:t xml:space="preserve"> </w:t>
      </w:r>
      <w:r w:rsidR="00E972E4" w:rsidRPr="000F23E0">
        <w:t xml:space="preserve">State and territory governments have identified the </w:t>
      </w:r>
      <w:r w:rsidR="002D7CB3" w:rsidRPr="000F23E0">
        <w:t>upgrade types</w:t>
      </w:r>
      <w:r w:rsidR="00E972E4" w:rsidRPr="000F23E0">
        <w:t xml:space="preserve"> </w:t>
      </w:r>
      <w:r w:rsidR="00947545" w:rsidRPr="000F23E0">
        <w:t>that</w:t>
      </w:r>
      <w:r w:rsidR="00E972E4" w:rsidRPr="000F23E0">
        <w:t xml:space="preserve"> suit the needs of residents </w:t>
      </w:r>
      <w:r w:rsidR="00421103" w:rsidRPr="000F23E0">
        <w:t>living</w:t>
      </w:r>
      <w:r w:rsidR="005F29AD" w:rsidRPr="000F23E0">
        <w:t xml:space="preserve"> in </w:t>
      </w:r>
      <w:r w:rsidR="00E972E4" w:rsidRPr="000F23E0">
        <w:t>different climates across Australia.</w:t>
      </w:r>
      <w:r w:rsidR="00507B87" w:rsidRPr="000F23E0">
        <w:t xml:space="preserve"> The energy upgrades will help improve residents</w:t>
      </w:r>
      <w:r w:rsidR="002C4475" w:rsidRPr="000F23E0">
        <w:t>’</w:t>
      </w:r>
      <w:r w:rsidR="00507B87" w:rsidRPr="000F23E0">
        <w:t xml:space="preserve"> comfort and health by keeping homes warmer in winter and cooler in summer.</w:t>
      </w:r>
    </w:p>
    <w:p w14:paraId="1E581627" w14:textId="4A0D9AD9" w:rsidR="000A0A26" w:rsidRPr="000F23E0" w:rsidRDefault="000A0A26" w:rsidP="00551F72">
      <w:pPr>
        <w:pStyle w:val="ChartMainHeading"/>
      </w:pPr>
      <w:bookmarkStart w:id="197" w:name="_Toc220610587"/>
      <w:bookmarkStart w:id="198" w:name="_Toc220597357"/>
      <w:bookmarkStart w:id="199" w:name="_Toc224637817"/>
      <w:bookmarkStart w:id="200" w:name="_Toc224642481"/>
      <w:bookmarkStart w:id="201" w:name="_Toc225153457"/>
      <w:bookmarkStart w:id="202" w:name="_Toc225154503"/>
      <w:bookmarkStart w:id="203" w:name="_Toc225155768"/>
      <w:r w:rsidRPr="000F23E0">
        <w:lastRenderedPageBreak/>
        <w:t xml:space="preserve">Figure </w:t>
      </w:r>
      <w:r w:rsidR="00AB41A7" w:rsidRPr="000F23E0">
        <w:t>7</w:t>
      </w:r>
      <w:r w:rsidR="00627058" w:rsidRPr="000F23E0">
        <w:t>:</w:t>
      </w:r>
      <w:r w:rsidRPr="000F23E0">
        <w:t xml:space="preserve"> Number of SHEPI </w:t>
      </w:r>
      <w:r w:rsidR="0010052C" w:rsidRPr="000F23E0">
        <w:t xml:space="preserve">2a </w:t>
      </w:r>
      <w:r w:rsidRPr="000F23E0">
        <w:t>upgrades around Australia</w:t>
      </w:r>
      <w:bookmarkEnd w:id="197"/>
      <w:bookmarkEnd w:id="198"/>
      <w:bookmarkEnd w:id="199"/>
      <w:bookmarkEnd w:id="200"/>
      <w:bookmarkEnd w:id="201"/>
      <w:bookmarkEnd w:id="202"/>
      <w:bookmarkEnd w:id="203"/>
      <w:r w:rsidR="0010052C" w:rsidRPr="000F23E0">
        <w:t xml:space="preserve"> </w:t>
      </w:r>
    </w:p>
    <w:p w14:paraId="12B036B9" w14:textId="6DD2D7FF" w:rsidR="00042AA7" w:rsidRPr="000F23E0" w:rsidRDefault="00042AA7" w:rsidP="00042AA7">
      <w:pPr>
        <w:pStyle w:val="ChartGraphic"/>
      </w:pPr>
      <w:r w:rsidRPr="000F23E0">
        <w:drawing>
          <wp:inline distT="0" distB="0" distL="0" distR="0" wp14:anchorId="4CB540D4" wp14:editId="71B54E36">
            <wp:extent cx="5688419" cy="5132749"/>
            <wp:effectExtent l="0" t="0" r="7620" b="0"/>
            <wp:docPr id="176981690" name="Picture 12" descr="Figure 7 is a map of Australia showing the approximate number of SHEPI 2a home upgrades by state and territory. The largest numbers are shown in Queensland, with around 32,000 homes, and New South Wales, with around 24,000 homes. Victoria has approximately 11,000 homes, Western Australia around 4,350 homes, and South Australia around 4,000 homes. Smaller numbers are shown in the Australian Capital Territory, with up to 5,000 homes, Tasmania with around 1,600 homes, and the Northern Territory with approximately 625 ho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81690" name="Picture 12" descr="Figure 7 is a map of Australia showing the approximate number of SHEPI 2a home upgrades by state and territory. The largest numbers are shown in Queensland, with around 32,000 homes, and New South Wales, with around 24,000 homes. Victoria has approximately 11,000 homes, Western Australia around 4,350 homes, and South Australia around 4,000 homes. Smaller numbers are shown in the Australian Capital Territory, with up to 5,000 homes, Tasmania with around 1,600 homes, and the Northern Territory with approximately 625 homes."/>
                    <pic:cNvPicPr/>
                  </pic:nvPicPr>
                  <pic:blipFill rotWithShape="1">
                    <a:blip r:embed="rId63" cstate="print">
                      <a:extLst>
                        <a:ext uri="{28A0092B-C50C-407E-A947-70E740481C1C}">
                          <a14:useLocalDpi xmlns:a14="http://schemas.microsoft.com/office/drawing/2010/main" val="0"/>
                        </a:ext>
                      </a:extLst>
                    </a:blip>
                    <a:srcRect/>
                    <a:stretch>
                      <a:fillRect/>
                    </a:stretch>
                  </pic:blipFill>
                  <pic:spPr bwMode="auto">
                    <a:xfrm>
                      <a:off x="0" y="0"/>
                      <a:ext cx="5699667" cy="5142898"/>
                    </a:xfrm>
                    <a:prstGeom prst="rect">
                      <a:avLst/>
                    </a:prstGeom>
                    <a:ln>
                      <a:noFill/>
                    </a:ln>
                    <a:extLst>
                      <a:ext uri="{53640926-AAD7-44D8-BBD7-CCE9431645EC}">
                        <a14:shadowObscured xmlns:a14="http://schemas.microsoft.com/office/drawing/2010/main"/>
                      </a:ext>
                    </a:extLst>
                  </pic:spPr>
                </pic:pic>
              </a:graphicData>
            </a:graphic>
          </wp:inline>
        </w:drawing>
      </w:r>
    </w:p>
    <w:p w14:paraId="5F50BB66" w14:textId="77777777" w:rsidR="00B778E8" w:rsidRPr="000F23E0" w:rsidRDefault="00B778E8" w:rsidP="00B778E8">
      <w:pPr>
        <w:rPr>
          <w:rFonts w:cs="Arial"/>
          <w:kern w:val="32"/>
          <w:sz w:val="24"/>
          <w:szCs w:val="26"/>
        </w:rPr>
        <w:sectPr w:rsidR="00B778E8" w:rsidRPr="000F23E0" w:rsidSect="00D77D9A">
          <w:footnotePr>
            <w:numFmt w:val="lowerLetter"/>
          </w:footnotePr>
          <w:endnotePr>
            <w:numFmt w:val="decimal"/>
          </w:endnotePr>
          <w:pgSz w:w="11906" w:h="16838" w:code="9"/>
          <w:pgMar w:top="1843" w:right="1418" w:bottom="1418" w:left="1418" w:header="709" w:footer="709" w:gutter="0"/>
          <w:pgNumType w:start="1"/>
          <w:cols w:space="708"/>
          <w:docGrid w:linePitch="360"/>
        </w:sectPr>
      </w:pPr>
    </w:p>
    <w:p w14:paraId="22809BA1" w14:textId="3E1DC1DE" w:rsidR="00815A91" w:rsidRPr="000F23E0" w:rsidRDefault="00D3586C" w:rsidP="00557D2D">
      <w:pPr>
        <w:pStyle w:val="Heading1"/>
      </w:pPr>
      <w:bookmarkStart w:id="204" w:name="_Toc225155769"/>
      <w:r w:rsidRPr="000F23E0">
        <w:lastRenderedPageBreak/>
        <w:t xml:space="preserve">Chapter 4: </w:t>
      </w:r>
      <w:r w:rsidR="00815A91" w:rsidRPr="000F23E0">
        <w:t>Clean transport</w:t>
      </w:r>
      <w:r w:rsidR="00187649" w:rsidRPr="000F23E0">
        <w:t>ation</w:t>
      </w:r>
      <w:bookmarkEnd w:id="204"/>
      <w:r w:rsidR="00815A91" w:rsidRPr="000F23E0">
        <w:t xml:space="preserve"> </w:t>
      </w:r>
    </w:p>
    <w:p w14:paraId="51803008" w14:textId="189A4111" w:rsidR="006A585B" w:rsidRPr="000F23E0" w:rsidRDefault="00B8473E" w:rsidP="009E6D84">
      <w:r w:rsidRPr="000F23E0">
        <w:t>T</w:t>
      </w:r>
      <w:r w:rsidR="0079347A" w:rsidRPr="000F23E0">
        <w:t xml:space="preserve">he transport sector </w:t>
      </w:r>
      <w:r w:rsidR="00EF0C5D" w:rsidRPr="000F23E0">
        <w:t>was responsible for</w:t>
      </w:r>
      <w:r w:rsidR="0079347A" w:rsidRPr="000F23E0">
        <w:t xml:space="preserve"> 2</w:t>
      </w:r>
      <w:r w:rsidR="00F27A5F" w:rsidRPr="000F23E0">
        <w:t>3</w:t>
      </w:r>
      <w:r w:rsidR="0079347A" w:rsidRPr="000F23E0">
        <w:t xml:space="preserve"> per cent of Australia</w:t>
      </w:r>
      <w:r w:rsidR="002C4475" w:rsidRPr="000F23E0">
        <w:t>’</w:t>
      </w:r>
      <w:r w:rsidR="0079347A" w:rsidRPr="000F23E0">
        <w:t xml:space="preserve">s </w:t>
      </w:r>
      <w:r w:rsidR="00A546E8" w:rsidRPr="000F23E0">
        <w:t>annual CO</w:t>
      </w:r>
      <w:r w:rsidR="00A546E8" w:rsidRPr="000F23E0">
        <w:rPr>
          <w:vertAlign w:val="subscript"/>
        </w:rPr>
        <w:t>2</w:t>
      </w:r>
      <w:r w:rsidR="002C4475" w:rsidRPr="000F23E0">
        <w:noBreakHyphen/>
      </w:r>
      <w:r w:rsidR="00A546E8" w:rsidRPr="000F23E0">
        <w:t>e</w:t>
      </w:r>
      <w:r w:rsidR="00A546E8" w:rsidRPr="000F23E0" w:rsidDel="00204F29">
        <w:t>quivalent</w:t>
      </w:r>
      <w:r w:rsidR="00A546E8" w:rsidRPr="000F23E0">
        <w:t xml:space="preserve"> </w:t>
      </w:r>
      <w:r w:rsidR="00EE4D31" w:rsidRPr="000F23E0">
        <w:t xml:space="preserve">gas </w:t>
      </w:r>
      <w:r w:rsidR="0079347A" w:rsidRPr="000F23E0">
        <w:t>emissions</w:t>
      </w:r>
      <w:r w:rsidRPr="000F23E0">
        <w:t xml:space="preserve"> </w:t>
      </w:r>
      <w:r w:rsidR="0074370E" w:rsidRPr="000F23E0">
        <w:t>i</w:t>
      </w:r>
      <w:r w:rsidRPr="000F23E0">
        <w:t xml:space="preserve">n </w:t>
      </w:r>
      <w:r w:rsidR="00F27A5F" w:rsidRPr="000F23E0">
        <w:t>2025.</w:t>
      </w:r>
      <w:r w:rsidR="00984507" w:rsidRPr="000F23E0">
        <w:rPr>
          <w:rStyle w:val="EndnoteReference"/>
        </w:rPr>
        <w:endnoteReference w:id="45"/>
      </w:r>
      <w:r w:rsidR="0079347A" w:rsidRPr="000F23E0">
        <w:t xml:space="preserve"> Without further action, transport will be</w:t>
      </w:r>
      <w:r w:rsidR="00D30DFC" w:rsidRPr="000F23E0">
        <w:t xml:space="preserve"> </w:t>
      </w:r>
      <w:r w:rsidR="0079347A" w:rsidRPr="000F23E0">
        <w:t xml:space="preserve">the </w:t>
      </w:r>
      <w:r w:rsidR="007310E3" w:rsidRPr="000F23E0">
        <w:t>second</w:t>
      </w:r>
      <w:r w:rsidR="00DD07B0" w:rsidRPr="000F23E0">
        <w:t xml:space="preserve"> </w:t>
      </w:r>
      <w:r w:rsidR="0079347A" w:rsidRPr="000F23E0">
        <w:t xml:space="preserve">highest emitting sector </w:t>
      </w:r>
      <w:r w:rsidR="00EE4D31" w:rsidRPr="000F23E0">
        <w:t>by</w:t>
      </w:r>
      <w:r w:rsidR="00C71B7B" w:rsidRPr="000F23E0">
        <w:t> </w:t>
      </w:r>
      <w:r w:rsidR="00F27A5F" w:rsidRPr="000F23E0">
        <w:t>20</w:t>
      </w:r>
      <w:r w:rsidR="00825E7C" w:rsidRPr="000F23E0">
        <w:t>3</w:t>
      </w:r>
      <w:r w:rsidR="00F27A5F" w:rsidRPr="000F23E0">
        <w:t>0.</w:t>
      </w:r>
      <w:r w:rsidR="00D30DFC" w:rsidRPr="000F23E0">
        <w:rPr>
          <w:rStyle w:val="EndnoteReference"/>
        </w:rPr>
        <w:endnoteReference w:id="46"/>
      </w:r>
      <w:r w:rsidR="0079347A" w:rsidRPr="000F23E0">
        <w:t xml:space="preserve"> </w:t>
      </w:r>
      <w:r w:rsidR="00E81B44" w:rsidRPr="000F23E0">
        <w:t xml:space="preserve">The Australian Government is </w:t>
      </w:r>
      <w:r w:rsidR="00AA7C29" w:rsidRPr="000F23E0">
        <w:t xml:space="preserve">working to </w:t>
      </w:r>
      <w:r w:rsidR="00D1676F" w:rsidRPr="000F23E0">
        <w:t xml:space="preserve">reduce </w:t>
      </w:r>
      <w:r w:rsidR="002128EC" w:rsidRPr="000F23E0">
        <w:t>transport and infrastructure emissions</w:t>
      </w:r>
      <w:r w:rsidR="00C35618" w:rsidRPr="000F23E0">
        <w:t xml:space="preserve"> </w:t>
      </w:r>
      <w:r w:rsidR="00AA7C29" w:rsidRPr="000F23E0">
        <w:t xml:space="preserve">through initiatives </w:t>
      </w:r>
      <w:r w:rsidR="00C35618" w:rsidRPr="000F23E0">
        <w:t>such as</w:t>
      </w:r>
      <w:r w:rsidR="002128EC" w:rsidRPr="000F23E0">
        <w:t xml:space="preserve"> </w:t>
      </w:r>
      <w:r w:rsidR="002A4BC5" w:rsidRPr="000F23E0">
        <w:t xml:space="preserve">the National Electric Vehicle Strategy, </w:t>
      </w:r>
      <w:r w:rsidR="00EB271D" w:rsidRPr="000F23E0">
        <w:t>Australian New Vehicle Efficiency Standard</w:t>
      </w:r>
      <w:r w:rsidR="00AA7C29" w:rsidRPr="000F23E0">
        <w:t>,</w:t>
      </w:r>
      <w:r w:rsidR="00C35CC6" w:rsidRPr="000F23E0">
        <w:t xml:space="preserve"> Active Transport Fund</w:t>
      </w:r>
      <w:r w:rsidR="00AA7C29" w:rsidRPr="000F23E0">
        <w:t xml:space="preserve">, and various </w:t>
      </w:r>
      <w:r w:rsidR="00260D23" w:rsidRPr="000F23E0">
        <w:t>sectoral action plans</w:t>
      </w:r>
      <w:r w:rsidR="00C35618" w:rsidRPr="000F23E0">
        <w:t xml:space="preserve">. </w:t>
      </w:r>
    </w:p>
    <w:p w14:paraId="3E42D32F" w14:textId="67A8BA11" w:rsidR="0079347A" w:rsidRPr="000F23E0" w:rsidRDefault="0079347A" w:rsidP="009E6D84">
      <w:r w:rsidRPr="000F23E0">
        <w:t xml:space="preserve">As part of the Net Zero Plan, the Government </w:t>
      </w:r>
      <w:r w:rsidR="00EC5BDC" w:rsidRPr="000F23E0">
        <w:t>released</w:t>
      </w:r>
      <w:r w:rsidRPr="000F23E0">
        <w:t xml:space="preserve"> </w:t>
      </w:r>
      <w:r w:rsidR="00EE4D31" w:rsidRPr="000F23E0">
        <w:t>the</w:t>
      </w:r>
      <w:r w:rsidRPr="000F23E0">
        <w:t xml:space="preserve"> Transport and Infrastructure Net Zero Roadmap and Action Plan in consultation with industry to support reducing transport emissions.</w:t>
      </w:r>
      <w:r w:rsidR="00F02AFD" w:rsidRPr="000F23E0">
        <w:rPr>
          <w:rStyle w:val="EndnoteReference"/>
        </w:rPr>
        <w:endnoteReference w:id="47"/>
      </w:r>
      <w:r w:rsidRPr="000F23E0">
        <w:t xml:space="preserve"> The</w:t>
      </w:r>
      <w:r w:rsidR="00C71B7B" w:rsidRPr="000F23E0">
        <w:t> </w:t>
      </w:r>
      <w:r w:rsidRPr="000F23E0">
        <w:t xml:space="preserve">Action Plan </w:t>
      </w:r>
      <w:r w:rsidR="00067828" w:rsidRPr="000F23E0">
        <w:t>has identified</w:t>
      </w:r>
      <w:r w:rsidR="00EA728B" w:rsidRPr="000F23E0">
        <w:t xml:space="preserve"> </w:t>
      </w:r>
      <w:r w:rsidR="00731F0A" w:rsidRPr="000F23E0">
        <w:t xml:space="preserve">5 </w:t>
      </w:r>
      <w:r w:rsidR="00B4510F" w:rsidRPr="000F23E0">
        <w:t>priority actions</w:t>
      </w:r>
      <w:r w:rsidR="00AD3616" w:rsidRPr="000F23E0">
        <w:t xml:space="preserve"> </w:t>
      </w:r>
      <w:r w:rsidR="005030F2" w:rsidRPr="000F23E0">
        <w:t xml:space="preserve">to </w:t>
      </w:r>
      <w:r w:rsidR="00787582" w:rsidRPr="000F23E0">
        <w:t>decarbonise transport systems</w:t>
      </w:r>
      <w:r w:rsidRPr="000F23E0">
        <w:t>:</w:t>
      </w:r>
    </w:p>
    <w:p w14:paraId="24AC8386" w14:textId="0DCB7589" w:rsidR="0079347A" w:rsidRPr="000F23E0" w:rsidRDefault="00424A56" w:rsidP="009E6D84">
      <w:pPr>
        <w:pStyle w:val="Bullet"/>
      </w:pPr>
      <w:r w:rsidRPr="000F23E0">
        <w:t>i</w:t>
      </w:r>
      <w:r w:rsidR="00F00B91" w:rsidRPr="000F23E0">
        <w:t>nvest in enabling low and zero emissions transport infrastructure</w:t>
      </w:r>
    </w:p>
    <w:p w14:paraId="093E702B" w14:textId="4C54149D" w:rsidR="0079347A" w:rsidRPr="000F23E0" w:rsidRDefault="000340A4" w:rsidP="009E6D84">
      <w:pPr>
        <w:pStyle w:val="Bullet"/>
      </w:pPr>
      <w:r w:rsidRPr="000F23E0">
        <w:t>e</w:t>
      </w:r>
      <w:r w:rsidR="00F00B91" w:rsidRPr="000F23E0">
        <w:t>lectrify and increase transport</w:t>
      </w:r>
      <w:r w:rsidR="002C4475" w:rsidRPr="000F23E0">
        <w:t>’</w:t>
      </w:r>
      <w:r w:rsidR="00F00B91" w:rsidRPr="000F23E0">
        <w:t>s energy performance</w:t>
      </w:r>
    </w:p>
    <w:p w14:paraId="3B61D5D9" w14:textId="1E51F00A" w:rsidR="0079347A" w:rsidRPr="000F23E0" w:rsidRDefault="005D3537" w:rsidP="009E6D84">
      <w:pPr>
        <w:pStyle w:val="Bullet"/>
      </w:pPr>
      <w:r w:rsidRPr="000F23E0">
        <w:t>s</w:t>
      </w:r>
      <w:r w:rsidR="00F00B91" w:rsidRPr="000F23E0">
        <w:t>witch to low carbon alternatives (LCLFs) to power transport where electrification is not feasible</w:t>
      </w:r>
    </w:p>
    <w:p w14:paraId="3355B076" w14:textId="16DC00F6" w:rsidR="0079347A" w:rsidRPr="000F23E0" w:rsidRDefault="005D3537" w:rsidP="009E6D84">
      <w:pPr>
        <w:pStyle w:val="Bullet"/>
      </w:pPr>
      <w:r w:rsidRPr="000F23E0">
        <w:t>i</w:t>
      </w:r>
      <w:r w:rsidR="00175872" w:rsidRPr="000F23E0">
        <w:t>nnovate to expand cost competitive transport technology options</w:t>
      </w:r>
    </w:p>
    <w:p w14:paraId="795F7568" w14:textId="45527376" w:rsidR="0079347A" w:rsidRPr="000F23E0" w:rsidRDefault="005D3537" w:rsidP="009E6D84">
      <w:pPr>
        <w:pStyle w:val="Bullet"/>
      </w:pPr>
      <w:r w:rsidRPr="000F23E0">
        <w:t>s</w:t>
      </w:r>
      <w:r w:rsidR="00175872" w:rsidRPr="000F23E0">
        <w:t>cale up efforts to reduce embodied emissions in transport infrastructure</w:t>
      </w:r>
      <w:r w:rsidR="0079347A" w:rsidRPr="000F23E0">
        <w:t>.</w:t>
      </w:r>
    </w:p>
    <w:p w14:paraId="5E280F1D" w14:textId="1F7E2758" w:rsidR="0079347A" w:rsidRPr="000F23E0" w:rsidRDefault="005D3537" w:rsidP="009E6D84">
      <w:r w:rsidRPr="000F23E0">
        <w:t>T</w:t>
      </w:r>
      <w:r w:rsidR="001F2A08" w:rsidRPr="000F23E0">
        <w:t>he</w:t>
      </w:r>
      <w:r w:rsidR="0079347A" w:rsidRPr="000F23E0">
        <w:t xml:space="preserve"> </w:t>
      </w:r>
      <w:r w:rsidR="001F2A08" w:rsidRPr="000F23E0">
        <w:t>Australian Government released t</w:t>
      </w:r>
      <w:r w:rsidR="0079347A" w:rsidRPr="000F23E0">
        <w:t xml:space="preserve">he National Electric Vehicle Strategy </w:t>
      </w:r>
      <w:r w:rsidRPr="000F23E0">
        <w:t xml:space="preserve">in April 2023 </w:t>
      </w:r>
      <w:r w:rsidR="001F2A08" w:rsidRPr="000F23E0">
        <w:t>a</w:t>
      </w:r>
      <w:r w:rsidR="0079347A" w:rsidRPr="000F23E0">
        <w:t xml:space="preserve">s part of </w:t>
      </w:r>
      <w:r w:rsidR="001F2A08" w:rsidRPr="000F23E0">
        <w:t>the</w:t>
      </w:r>
      <w:r w:rsidR="00C71B7B" w:rsidRPr="000F23E0">
        <w:t> </w:t>
      </w:r>
      <w:r w:rsidR="0079347A" w:rsidRPr="000F23E0">
        <w:t>Powering Australia plan to improve affordability, create jobs, and reduce emissions. It provides a</w:t>
      </w:r>
      <w:r w:rsidR="00C71B7B" w:rsidRPr="000F23E0">
        <w:t> </w:t>
      </w:r>
      <w:r w:rsidR="0079347A" w:rsidRPr="000F23E0">
        <w:t xml:space="preserve">nationally consistent framework to get </w:t>
      </w:r>
      <w:r w:rsidR="00ED688F" w:rsidRPr="000F23E0">
        <w:t xml:space="preserve">the </w:t>
      </w:r>
      <w:r w:rsidR="0079347A" w:rsidRPr="000F23E0">
        <w:t>road transport sector on a path to net zero emissions.</w:t>
      </w:r>
      <w:r w:rsidR="0079347A" w:rsidRPr="000F23E0">
        <w:rPr>
          <w:rStyle w:val="EndnoteReference"/>
        </w:rPr>
        <w:endnoteReference w:id="48"/>
      </w:r>
    </w:p>
    <w:p w14:paraId="41D8C0F3" w14:textId="35BAB422" w:rsidR="0079347A" w:rsidRPr="000F23E0" w:rsidRDefault="0079347A" w:rsidP="009E6D84">
      <w:r w:rsidRPr="000F23E0">
        <w:t xml:space="preserve">A net zero transport </w:t>
      </w:r>
      <w:r w:rsidR="00D73D2C" w:rsidRPr="000F23E0">
        <w:t xml:space="preserve">system </w:t>
      </w:r>
      <w:r w:rsidRPr="000F23E0">
        <w:t xml:space="preserve">will require </w:t>
      </w:r>
      <w:r w:rsidR="006066CB" w:rsidRPr="000F23E0">
        <w:t xml:space="preserve">networks and </w:t>
      </w:r>
      <w:r w:rsidR="004F5BC9" w:rsidRPr="000F23E0">
        <w:t xml:space="preserve">infrastructure </w:t>
      </w:r>
      <w:r w:rsidR="006066CB" w:rsidRPr="000F23E0">
        <w:t xml:space="preserve">that </w:t>
      </w:r>
      <w:r w:rsidR="004F5BC9" w:rsidRPr="000F23E0">
        <w:t xml:space="preserve">encourage </w:t>
      </w:r>
      <w:r w:rsidR="00C07A4D" w:rsidRPr="000F23E0">
        <w:t xml:space="preserve">greater </w:t>
      </w:r>
      <w:r w:rsidRPr="000F23E0">
        <w:t xml:space="preserve">use of </w:t>
      </w:r>
      <w:r w:rsidR="00C07A4D" w:rsidRPr="000F23E0">
        <w:t xml:space="preserve">active and </w:t>
      </w:r>
      <w:r w:rsidRPr="000F23E0">
        <w:t>public transport.</w:t>
      </w:r>
      <w:r w:rsidR="008A4B57" w:rsidRPr="000F23E0">
        <w:rPr>
          <w:rStyle w:val="EndnoteReference"/>
        </w:rPr>
        <w:endnoteReference w:id="49"/>
      </w:r>
      <w:r w:rsidRPr="000F23E0">
        <w:t xml:space="preserve"> Public transport </w:t>
      </w:r>
      <w:r w:rsidR="00CE554D" w:rsidRPr="000F23E0">
        <w:t>generates</w:t>
      </w:r>
      <w:r w:rsidRPr="000F23E0">
        <w:t xml:space="preserve"> lower emissions per passenger</w:t>
      </w:r>
      <w:r w:rsidR="000B5B03" w:rsidRPr="000F23E0">
        <w:t xml:space="preserve"> and </w:t>
      </w:r>
      <w:r w:rsidRPr="000F23E0">
        <w:t xml:space="preserve">per </w:t>
      </w:r>
      <w:r w:rsidR="00BF3BDB" w:rsidRPr="000F23E0">
        <w:t>km</w:t>
      </w:r>
      <w:r w:rsidRPr="000F23E0">
        <w:t xml:space="preserve"> compared to private car use.</w:t>
      </w:r>
      <w:r w:rsidRPr="000F23E0">
        <w:rPr>
          <w:rStyle w:val="EndnoteReference"/>
        </w:rPr>
        <w:endnoteReference w:id="50"/>
      </w:r>
      <w:r w:rsidRPr="000F23E0">
        <w:t xml:space="preserve"> </w:t>
      </w:r>
    </w:p>
    <w:p w14:paraId="336EF5F5" w14:textId="04DEAB06" w:rsidR="0079347A" w:rsidRPr="000F23E0" w:rsidRDefault="00932AB4" w:rsidP="009E6D84">
      <w:r w:rsidRPr="000F23E0">
        <w:t>Weekday r</w:t>
      </w:r>
      <w:r w:rsidR="0079347A" w:rsidRPr="000F23E0">
        <w:t xml:space="preserve">ail </w:t>
      </w:r>
      <w:r w:rsidR="001625FD" w:rsidRPr="000F23E0">
        <w:t xml:space="preserve">commuting </w:t>
      </w:r>
      <w:r w:rsidR="00CE554D" w:rsidRPr="000F23E0">
        <w:t>helps alleviate</w:t>
      </w:r>
      <w:r w:rsidR="0079347A" w:rsidRPr="000F23E0">
        <w:t xml:space="preserve"> urban transport network</w:t>
      </w:r>
      <w:r w:rsidR="000668FA" w:rsidRPr="000F23E0">
        <w:t xml:space="preserve"> congestion</w:t>
      </w:r>
      <w:r w:rsidR="0079347A" w:rsidRPr="000F23E0">
        <w:t xml:space="preserve">. </w:t>
      </w:r>
      <w:r w:rsidRPr="000F23E0">
        <w:t>R</w:t>
      </w:r>
      <w:r w:rsidR="0079347A" w:rsidRPr="000F23E0">
        <w:t>ail carries 68</w:t>
      </w:r>
      <w:r w:rsidR="008657A5" w:rsidRPr="000F23E0">
        <w:t> </w:t>
      </w:r>
      <w:r w:rsidR="0079347A" w:rsidRPr="000F23E0">
        <w:t>per</w:t>
      </w:r>
      <w:r w:rsidR="008657A5" w:rsidRPr="000F23E0">
        <w:t> </w:t>
      </w:r>
      <w:r w:rsidR="0079347A" w:rsidRPr="000F23E0">
        <w:t xml:space="preserve">cent of the mass transport passenger </w:t>
      </w:r>
      <w:r w:rsidR="00BF3BDB" w:rsidRPr="000F23E0">
        <w:t>km</w:t>
      </w:r>
      <w:r w:rsidR="0079347A" w:rsidRPr="000F23E0">
        <w:t>s</w:t>
      </w:r>
      <w:r w:rsidRPr="000F23E0">
        <w:t xml:space="preserve"> across Australia</w:t>
      </w:r>
      <w:r w:rsidR="002C4475" w:rsidRPr="000F23E0">
        <w:t>’</w:t>
      </w:r>
      <w:r w:rsidRPr="000F23E0">
        <w:t>s capital cities</w:t>
      </w:r>
      <w:r w:rsidR="0079347A" w:rsidRPr="000F23E0">
        <w:t>.</w:t>
      </w:r>
      <w:r w:rsidR="0079347A" w:rsidRPr="000F23E0">
        <w:rPr>
          <w:rStyle w:val="EndnoteReference"/>
        </w:rPr>
        <w:endnoteReference w:id="51"/>
      </w:r>
      <w:r w:rsidR="0079347A" w:rsidRPr="000F23E0">
        <w:t xml:space="preserve"> The Australian Government is investing in electrif</w:t>
      </w:r>
      <w:r w:rsidRPr="000F23E0">
        <w:t>ying</w:t>
      </w:r>
      <w:r w:rsidR="0079347A" w:rsidRPr="000F23E0">
        <w:t xml:space="preserve"> the public transport network through the Infrastructure Investment Program.</w:t>
      </w:r>
    </w:p>
    <w:p w14:paraId="42DE7D03" w14:textId="65DAC22F" w:rsidR="0079347A" w:rsidRPr="000F23E0" w:rsidRDefault="00932AB4" w:rsidP="009E6D84">
      <w:r w:rsidRPr="000F23E0">
        <w:t>T</w:t>
      </w:r>
      <w:r w:rsidR="0079347A" w:rsidRPr="000F23E0">
        <w:t>he Australian Government is expanding the national rollout of EV charging and hydrogen refuelling infrastructure</w:t>
      </w:r>
      <w:r w:rsidRPr="000F23E0">
        <w:t xml:space="preserve"> through the Driving the Nation Fund</w:t>
      </w:r>
      <w:r w:rsidR="0079347A" w:rsidRPr="000F23E0">
        <w:t xml:space="preserve">. The Fund will support initiatives to enable </w:t>
      </w:r>
      <w:r w:rsidR="0083325B" w:rsidRPr="000F23E0">
        <w:t xml:space="preserve">the </w:t>
      </w:r>
      <w:r w:rsidR="0079347A" w:rsidRPr="000F23E0">
        <w:t>transition to electric vehicles.</w:t>
      </w:r>
    </w:p>
    <w:p w14:paraId="6FF289DC" w14:textId="2F685717" w:rsidR="0079347A" w:rsidRPr="000F23E0" w:rsidRDefault="006C4CE4" w:rsidP="00B778E8">
      <w:r w:rsidRPr="000F23E0">
        <w:t>In 2024</w:t>
      </w:r>
      <w:r w:rsidR="005B271E" w:rsidRPr="000F23E0">
        <w:t>–</w:t>
      </w:r>
      <w:r w:rsidRPr="000F23E0">
        <w:t xml:space="preserve">25, </w:t>
      </w:r>
      <w:r w:rsidR="00611CEF" w:rsidRPr="000F23E0">
        <w:t>GTB</w:t>
      </w:r>
      <w:r w:rsidRPr="000F23E0">
        <w:t xml:space="preserve">s financed clean transportation </w:t>
      </w:r>
      <w:r w:rsidR="00560380" w:rsidRPr="000F23E0">
        <w:t>programs</w:t>
      </w:r>
      <w:r w:rsidRPr="000F23E0">
        <w:t xml:space="preserve"> </w:t>
      </w:r>
      <w:r w:rsidR="00016886" w:rsidRPr="000F23E0">
        <w:t>such as</w:t>
      </w:r>
      <w:r w:rsidRPr="000F23E0">
        <w:t xml:space="preserve"> </w:t>
      </w:r>
      <w:r w:rsidR="002A49E4" w:rsidRPr="000F23E0">
        <w:t>electric rail infrastructure</w:t>
      </w:r>
      <w:r w:rsidRPr="000F23E0">
        <w:t xml:space="preserve"> </w:t>
      </w:r>
      <w:r w:rsidR="000F6E86" w:rsidRPr="000F23E0">
        <w:t xml:space="preserve">through </w:t>
      </w:r>
      <w:r w:rsidRPr="000F23E0">
        <w:t xml:space="preserve">the Infrastructure Investment Program, </w:t>
      </w:r>
      <w:r w:rsidR="00BB4C05" w:rsidRPr="000F23E0">
        <w:t>the shift to electric vehicles in Driving the Nation Fund</w:t>
      </w:r>
      <w:r w:rsidR="00016886" w:rsidRPr="000F23E0">
        <w:t>,</w:t>
      </w:r>
      <w:r w:rsidR="00BB4C05" w:rsidRPr="000F23E0">
        <w:t xml:space="preserve"> and </w:t>
      </w:r>
      <w:r w:rsidRPr="000F23E0">
        <w:t xml:space="preserve">the rollout of </w:t>
      </w:r>
      <w:r w:rsidR="00B6225D" w:rsidRPr="000F23E0">
        <w:t>Electric bus charging infrastructure</w:t>
      </w:r>
      <w:r w:rsidRPr="000F23E0">
        <w:t xml:space="preserve"> in Perth.</w:t>
      </w:r>
    </w:p>
    <w:p w14:paraId="469FBC86" w14:textId="67248C27" w:rsidR="0079347A" w:rsidRPr="000F23E0" w:rsidRDefault="0079347A" w:rsidP="00B778E8">
      <w:pPr>
        <w:pStyle w:val="Heading2"/>
        <w:keepLines/>
      </w:pPr>
      <w:bookmarkStart w:id="205" w:name="_Toc225155770"/>
      <w:r w:rsidRPr="000F23E0">
        <w:lastRenderedPageBreak/>
        <w:t xml:space="preserve">Electric </w:t>
      </w:r>
      <w:r w:rsidR="00B21AB0" w:rsidRPr="000F23E0">
        <w:t>r</w:t>
      </w:r>
      <w:r w:rsidR="00CB5CE5" w:rsidRPr="000F23E0">
        <w:t xml:space="preserve">ail </w:t>
      </w:r>
      <w:r w:rsidR="00B21AB0" w:rsidRPr="000F23E0">
        <w:t>i</w:t>
      </w:r>
      <w:r w:rsidR="00CB5CE5" w:rsidRPr="000F23E0">
        <w:t>nfrastructure</w:t>
      </w:r>
      <w:r w:rsidRPr="000F23E0">
        <w:t xml:space="preserve"> in the Infrastructure Investment Program</w:t>
      </w:r>
      <w:bookmarkEnd w:id="205"/>
    </w:p>
    <w:p w14:paraId="79104767" w14:textId="26027438" w:rsidR="0079347A" w:rsidRPr="000F23E0" w:rsidRDefault="00611CEF" w:rsidP="00B778E8">
      <w:pPr>
        <w:keepNext/>
        <w:keepLines/>
      </w:pPr>
      <w:r w:rsidRPr="000F23E0">
        <w:t>GTB</w:t>
      </w:r>
      <w:r w:rsidR="0079347A" w:rsidRPr="000F23E0">
        <w:t>s are used to finance the following electric intracity rail projects:</w:t>
      </w:r>
    </w:p>
    <w:p w14:paraId="00903BC0" w14:textId="394E7D41" w:rsidR="0079347A" w:rsidRPr="000F23E0" w:rsidRDefault="0079347A" w:rsidP="00B778E8">
      <w:pPr>
        <w:pStyle w:val="Bullet"/>
        <w:keepNext/>
        <w:keepLines/>
      </w:pPr>
      <w:r w:rsidRPr="000F23E0">
        <w:rPr>
          <w:b/>
          <w:bCs/>
        </w:rPr>
        <w:t>Sydney Metro – Western Sydney Airport:</w:t>
      </w:r>
      <w:r w:rsidRPr="000F23E0">
        <w:t xml:space="preserve"> A new 23</w:t>
      </w:r>
      <w:r w:rsidR="00675DBD" w:rsidRPr="000F23E0">
        <w:t xml:space="preserve"> </w:t>
      </w:r>
      <w:r w:rsidR="00BF3BDB" w:rsidRPr="000F23E0">
        <w:t>km</w:t>
      </w:r>
      <w:r w:rsidRPr="000F23E0">
        <w:t xml:space="preserve"> railway that links the Western Parkland City area and the new Western Sydney International (Nancy</w:t>
      </w:r>
      <w:r w:rsidR="002C4475" w:rsidRPr="000F23E0">
        <w:noBreakHyphen/>
      </w:r>
      <w:r w:rsidRPr="000F23E0">
        <w:t>Bird Walton) Airport with central business hubs and the broader Sydney public transport system.</w:t>
      </w:r>
    </w:p>
    <w:p w14:paraId="3850D5A5" w14:textId="58C830A9" w:rsidR="0079347A" w:rsidRPr="000F23E0" w:rsidRDefault="0079347A" w:rsidP="00B778E8">
      <w:pPr>
        <w:pStyle w:val="Bullet"/>
        <w:keepNext/>
        <w:keepLines/>
      </w:pPr>
      <w:r w:rsidRPr="000F23E0">
        <w:rPr>
          <w:b/>
        </w:rPr>
        <w:t>METRONET:</w:t>
      </w:r>
      <w:r w:rsidRPr="000F23E0">
        <w:t xml:space="preserve"> The METRONET package of works encompasses 72 </w:t>
      </w:r>
      <w:r w:rsidR="00BF3BDB" w:rsidRPr="000F23E0">
        <w:t>km</w:t>
      </w:r>
      <w:r w:rsidRPr="000F23E0">
        <w:t>s of new passenger lines and 23</w:t>
      </w:r>
      <w:r w:rsidR="0048145F" w:rsidRPr="000F23E0">
        <w:t> </w:t>
      </w:r>
      <w:r w:rsidRPr="000F23E0">
        <w:t>new stations expanding Perth</w:t>
      </w:r>
      <w:r w:rsidR="002C4475" w:rsidRPr="000F23E0">
        <w:t>’</w:t>
      </w:r>
      <w:r w:rsidRPr="000F23E0">
        <w:t xml:space="preserve">s existing metropolitan rail network. Financing from </w:t>
      </w:r>
      <w:r w:rsidR="00611CEF" w:rsidRPr="000F23E0">
        <w:t>GTB</w:t>
      </w:r>
      <w:r w:rsidRPr="000F23E0">
        <w:t xml:space="preserve">s </w:t>
      </w:r>
      <w:r w:rsidR="00955B89" w:rsidRPr="000F23E0">
        <w:t>is</w:t>
      </w:r>
      <w:r w:rsidRPr="000F23E0">
        <w:t xml:space="preserve"> directed </w:t>
      </w:r>
      <w:r w:rsidR="009504B2" w:rsidRPr="000F23E0">
        <w:t>towards</w:t>
      </w:r>
      <w:r w:rsidRPr="000F23E0">
        <w:t xml:space="preserve"> </w:t>
      </w:r>
      <w:r w:rsidR="00731F0A" w:rsidRPr="000F23E0">
        <w:t xml:space="preserve">5 </w:t>
      </w:r>
      <w:r w:rsidRPr="000F23E0">
        <w:t>METRONET projects: Byford Extension</w:t>
      </w:r>
      <w:r w:rsidR="00E523C8" w:rsidRPr="000F23E0">
        <w:t xml:space="preserve">, </w:t>
      </w:r>
      <w:r w:rsidRPr="000F23E0">
        <w:t>Victoria Park</w:t>
      </w:r>
      <w:r w:rsidR="009504B2" w:rsidRPr="000F23E0">
        <w:t xml:space="preserve"> </w:t>
      </w:r>
      <w:r w:rsidRPr="000F23E0">
        <w:t>Canning Level Crossing Removal</w:t>
      </w:r>
      <w:r w:rsidR="00E523C8" w:rsidRPr="000F23E0">
        <w:t xml:space="preserve">, </w:t>
      </w:r>
      <w:r w:rsidRPr="000F23E0">
        <w:t>Morley</w:t>
      </w:r>
      <w:r w:rsidR="009504B2" w:rsidRPr="000F23E0">
        <w:t xml:space="preserve"> </w:t>
      </w:r>
      <w:r w:rsidRPr="000F23E0">
        <w:t>Ellenbrook Line</w:t>
      </w:r>
      <w:r w:rsidR="00E523C8" w:rsidRPr="000F23E0">
        <w:t xml:space="preserve">, </w:t>
      </w:r>
      <w:r w:rsidRPr="000F23E0">
        <w:t>Thornlie</w:t>
      </w:r>
      <w:r w:rsidR="009504B2" w:rsidRPr="000F23E0">
        <w:t xml:space="preserve"> </w:t>
      </w:r>
      <w:r w:rsidRPr="000F23E0">
        <w:t>Cockburn Link</w:t>
      </w:r>
      <w:r w:rsidR="00E523C8" w:rsidRPr="000F23E0">
        <w:t xml:space="preserve">, </w:t>
      </w:r>
      <w:r w:rsidRPr="000F23E0">
        <w:t>and the Yanchep Rail Extension.</w:t>
      </w:r>
    </w:p>
    <w:p w14:paraId="1020EAD2" w14:textId="1EB98BF4" w:rsidR="0079347A" w:rsidRPr="000F23E0" w:rsidRDefault="0079347A" w:rsidP="00B778E8">
      <w:pPr>
        <w:pStyle w:val="Bullet"/>
        <w:keepNext/>
        <w:keepLines/>
      </w:pPr>
      <w:r w:rsidRPr="000F23E0">
        <w:rPr>
          <w:b/>
          <w:bCs/>
        </w:rPr>
        <w:t>Gold Coast Light Rail (Stage 3):</w:t>
      </w:r>
      <w:r w:rsidRPr="000F23E0">
        <w:t xml:space="preserve"> A 6.7</w:t>
      </w:r>
      <w:r w:rsidR="00675DBD" w:rsidRPr="000F23E0">
        <w:t xml:space="preserve"> </w:t>
      </w:r>
      <w:r w:rsidR="00BF3BDB" w:rsidRPr="000F23E0">
        <w:t>km</w:t>
      </w:r>
      <w:r w:rsidRPr="000F23E0">
        <w:t xml:space="preserve"> extension south of the existing tram network to link Broadbeach South and Burleigh Heads.</w:t>
      </w:r>
    </w:p>
    <w:p w14:paraId="59DD2AFE" w14:textId="5991F145" w:rsidR="0079347A" w:rsidRPr="000F23E0" w:rsidRDefault="0079347A" w:rsidP="00B778E8">
      <w:pPr>
        <w:pStyle w:val="Bullet"/>
        <w:keepNext/>
        <w:keepLines/>
      </w:pPr>
      <w:r w:rsidRPr="000F23E0">
        <w:rPr>
          <w:b/>
          <w:bCs/>
        </w:rPr>
        <w:t>Canberra Light Rail (Stage 2A):</w:t>
      </w:r>
      <w:r w:rsidRPr="000F23E0">
        <w:t xml:space="preserve"> A 1.7</w:t>
      </w:r>
      <w:r w:rsidR="00675DBD" w:rsidRPr="000F23E0">
        <w:t xml:space="preserve"> </w:t>
      </w:r>
      <w:r w:rsidR="00BF3BDB" w:rsidRPr="000F23E0">
        <w:t>km</w:t>
      </w:r>
      <w:r w:rsidRPr="000F23E0">
        <w:t xml:space="preserve"> extension of the existing light rail</w:t>
      </w:r>
      <w:r w:rsidR="007C2C5B" w:rsidRPr="000F23E0">
        <w:t>,</w:t>
      </w:r>
      <w:r w:rsidRPr="000F23E0">
        <w:t xml:space="preserve"> to Commonwealth Park. The Canberra Light Rail will be powered by 100</w:t>
      </w:r>
      <w:r w:rsidR="008657A5" w:rsidRPr="000F23E0">
        <w:t> </w:t>
      </w:r>
      <w:r w:rsidRPr="000F23E0">
        <w:t>per</w:t>
      </w:r>
      <w:r w:rsidR="008657A5" w:rsidRPr="000F23E0">
        <w:t> </w:t>
      </w:r>
      <w:r w:rsidRPr="000F23E0">
        <w:t>cent renewable energy.</w:t>
      </w:r>
    </w:p>
    <w:p w14:paraId="14C72EAA" w14:textId="027156E0" w:rsidR="0079347A" w:rsidRPr="000F23E0" w:rsidRDefault="0079347A" w:rsidP="00B778E8">
      <w:pPr>
        <w:keepNext/>
        <w:keepLines/>
      </w:pPr>
      <w:r w:rsidRPr="000F23E0">
        <w:t xml:space="preserve">These rail projects are aligned with Climate Bond Standards Low Carbon </w:t>
      </w:r>
      <w:r w:rsidR="00152E7F" w:rsidRPr="000F23E0">
        <w:t xml:space="preserve">Transport </w:t>
      </w:r>
      <w:r w:rsidRPr="000F23E0">
        <w:t>Criteria.</w:t>
      </w:r>
    </w:p>
    <w:p w14:paraId="3855E1D0" w14:textId="4AF785E3" w:rsidR="0079347A" w:rsidRPr="000F23E0" w:rsidRDefault="0079347A" w:rsidP="00F55854">
      <w:pPr>
        <w:pStyle w:val="Heading3"/>
      </w:pPr>
      <w:r w:rsidRPr="000F23E0">
        <w:t xml:space="preserve">Green Treasury Bond </w:t>
      </w:r>
      <w:r w:rsidR="006B1D65" w:rsidRPr="000F23E0">
        <w:t>a</w:t>
      </w:r>
      <w:r w:rsidRPr="000F23E0">
        <w:t>llocation</w:t>
      </w:r>
    </w:p>
    <w:p w14:paraId="51C4A8ED" w14:textId="193B185A" w:rsidR="0079347A" w:rsidRPr="000F23E0" w:rsidRDefault="00611CEF" w:rsidP="00543ECC">
      <w:r w:rsidRPr="000F23E0">
        <w:t>GTB</w:t>
      </w:r>
      <w:r w:rsidR="0079347A" w:rsidRPr="000F23E0">
        <w:t>s have contributed $</w:t>
      </w:r>
      <w:r w:rsidR="00AB111D" w:rsidRPr="000F23E0">
        <w:t>1.6</w:t>
      </w:r>
      <w:r w:rsidR="0079347A" w:rsidRPr="000F23E0">
        <w:t xml:space="preserve"> billion in </w:t>
      </w:r>
      <w:r w:rsidR="00F10843" w:rsidRPr="000F23E0">
        <w:t>20</w:t>
      </w:r>
      <w:r w:rsidR="0079347A" w:rsidRPr="000F23E0">
        <w:t>24</w:t>
      </w:r>
      <w:r w:rsidR="001055D5" w:rsidRPr="000F23E0">
        <w:t>–</w:t>
      </w:r>
      <w:r w:rsidR="00F10843" w:rsidRPr="000F23E0">
        <w:t>25</w:t>
      </w:r>
      <w:r w:rsidR="0079347A" w:rsidRPr="000F23E0">
        <w:t xml:space="preserve"> to</w:t>
      </w:r>
      <w:r w:rsidR="00813032" w:rsidRPr="000F23E0">
        <w:t xml:space="preserve"> </w:t>
      </w:r>
      <w:r w:rsidR="00731F0A" w:rsidRPr="000F23E0">
        <w:t xml:space="preserve">4 </w:t>
      </w:r>
      <w:r w:rsidR="0079347A" w:rsidRPr="000F23E0">
        <w:t>electric rail projects across Australia (</w:t>
      </w:r>
      <w:r w:rsidR="00CF2C69" w:rsidRPr="000F23E0">
        <w:t xml:space="preserve">Table </w:t>
      </w:r>
      <w:r w:rsidR="005B5697" w:rsidRPr="000F23E0">
        <w:t>21</w:t>
      </w:r>
      <w:r w:rsidR="0079347A" w:rsidRPr="000F23E0">
        <w:t>).</w:t>
      </w:r>
    </w:p>
    <w:p w14:paraId="00916711" w14:textId="7262715C" w:rsidR="0079347A" w:rsidRPr="000F23E0" w:rsidRDefault="0079347A" w:rsidP="00543ECC">
      <w:r w:rsidRPr="000F23E0">
        <w:t xml:space="preserve">The total </w:t>
      </w:r>
      <w:r w:rsidR="00310BAF" w:rsidRPr="000F23E0">
        <w:t>Australian G</w:t>
      </w:r>
      <w:r w:rsidRPr="000F23E0">
        <w:t xml:space="preserve">overnment contribution and total cost of project refers to the commitment by the Australian Government as </w:t>
      </w:r>
      <w:r w:rsidR="005C4191" w:rsidRPr="000F23E0">
        <w:t>at</w:t>
      </w:r>
      <w:r w:rsidRPr="000F23E0">
        <w:t xml:space="preserve"> the 2025</w:t>
      </w:r>
      <w:r w:rsidR="00BB60BE" w:rsidRPr="000F23E0">
        <w:t>–</w:t>
      </w:r>
      <w:r w:rsidR="002C3ABF" w:rsidRPr="000F23E0">
        <w:t>26</w:t>
      </w:r>
      <w:r w:rsidRPr="000F23E0">
        <w:t xml:space="preserve"> </w:t>
      </w:r>
      <w:r w:rsidR="005C4191" w:rsidRPr="000F23E0">
        <w:t>Pre</w:t>
      </w:r>
      <w:r w:rsidR="002C4475" w:rsidRPr="000F23E0">
        <w:noBreakHyphen/>
      </w:r>
      <w:r w:rsidR="005C4191" w:rsidRPr="000F23E0">
        <w:t>election Economic</w:t>
      </w:r>
      <w:r w:rsidR="008964AC" w:rsidRPr="000F23E0">
        <w:t xml:space="preserve"> and</w:t>
      </w:r>
      <w:r w:rsidR="005C4191" w:rsidRPr="000F23E0">
        <w:t xml:space="preserve"> Fiscal Outlook</w:t>
      </w:r>
      <w:r w:rsidRPr="000F23E0">
        <w:t>. Figures may change with cost pressures for large scale infrastructure projects.</w:t>
      </w:r>
    </w:p>
    <w:p w14:paraId="652B97EB" w14:textId="5E2EDBD0" w:rsidR="0079347A" w:rsidRPr="000F23E0" w:rsidRDefault="0079347A" w:rsidP="00551F72">
      <w:pPr>
        <w:pStyle w:val="TableMainHeading"/>
      </w:pPr>
      <w:bookmarkStart w:id="206" w:name="_Toc220662881"/>
      <w:bookmarkStart w:id="207" w:name="_Toc224637820"/>
      <w:bookmarkStart w:id="208" w:name="_Toc224642484"/>
      <w:bookmarkStart w:id="209" w:name="_Toc225153460"/>
      <w:bookmarkStart w:id="210" w:name="_Toc225154506"/>
      <w:bookmarkStart w:id="211" w:name="_Toc225155771"/>
      <w:r w:rsidRPr="000F23E0">
        <w:t xml:space="preserve">Table </w:t>
      </w:r>
      <w:r w:rsidR="005B5697" w:rsidRPr="000F23E0">
        <w:t>21</w:t>
      </w:r>
      <w:r w:rsidR="00627058" w:rsidRPr="000F23E0">
        <w:t>:</w:t>
      </w:r>
      <w:r w:rsidRPr="000F23E0">
        <w:t xml:space="preserve"> Allocation Data for Electric Rail Infrastructure Investments ($ million)</w:t>
      </w:r>
      <w:bookmarkEnd w:id="206"/>
      <w:bookmarkEnd w:id="207"/>
      <w:bookmarkEnd w:id="208"/>
      <w:bookmarkEnd w:id="209"/>
      <w:bookmarkEnd w:id="210"/>
      <w:bookmarkEnd w:id="211"/>
    </w:p>
    <w:tbl>
      <w:tblPr>
        <w:tblStyle w:val="GridTable4-Accent2"/>
        <w:tblW w:w="5000" w:type="pct"/>
        <w:tblInd w:w="5" w:type="dxa"/>
        <w:tblBorders>
          <w:top w:val="single" w:sz="4" w:space="0" w:color="DFA795"/>
          <w:bottom w:val="single" w:sz="4" w:space="0" w:color="DFA795"/>
          <w:insideH w:val="single" w:sz="4" w:space="0" w:color="DFA795"/>
        </w:tblBorders>
        <w:tblLayout w:type="fixed"/>
        <w:tblLook w:val="04A0" w:firstRow="1" w:lastRow="0" w:firstColumn="1" w:lastColumn="0" w:noHBand="0" w:noVBand="1"/>
      </w:tblPr>
      <w:tblGrid>
        <w:gridCol w:w="1511"/>
        <w:gridCol w:w="1511"/>
        <w:gridCol w:w="1512"/>
        <w:gridCol w:w="1512"/>
        <w:gridCol w:w="1512"/>
        <w:gridCol w:w="1512"/>
      </w:tblGrid>
      <w:tr w:rsidR="008C19BB" w:rsidRPr="000F23E0" w14:paraId="415C2E06" w14:textId="77777777" w:rsidTr="00B778E8">
        <w:trPr>
          <w:cnfStyle w:val="100000000000" w:firstRow="1" w:lastRow="0" w:firstColumn="0" w:lastColumn="0" w:oddVBand="0" w:evenVBand="0" w:oddHBand="0" w:evenHBand="0" w:firstRowFirstColumn="0" w:firstRowLastColumn="0" w:lastRowFirstColumn="0" w:lastRowLastColumn="0"/>
          <w:trHeight w:val="453"/>
        </w:trPr>
        <w:tc>
          <w:tcPr>
            <w:cnfStyle w:val="001000000000" w:firstRow="0" w:lastRow="0" w:firstColumn="1" w:lastColumn="0" w:oddVBand="0" w:evenVBand="0" w:oddHBand="0" w:evenHBand="0" w:firstRowFirstColumn="0" w:firstRowLastColumn="0" w:lastRowFirstColumn="0" w:lastRowLastColumn="0"/>
            <w:tcW w:w="1508" w:type="dxa"/>
            <w:shd w:val="clear" w:color="auto" w:fill="F1D0C6"/>
          </w:tcPr>
          <w:p w14:paraId="571C9602" w14:textId="35548A48" w:rsidR="00BF6A73" w:rsidRPr="000F23E0" w:rsidRDefault="00BF6A73" w:rsidP="001946AA">
            <w:pPr>
              <w:pStyle w:val="TableColumnHeadingLeft"/>
              <w:rPr>
                <w:b/>
                <w:bCs w:val="0"/>
              </w:rPr>
            </w:pPr>
            <w:r w:rsidRPr="000F23E0">
              <w:rPr>
                <w:b/>
                <w:bCs w:val="0"/>
              </w:rPr>
              <w:t>Eligible Green Expenditure</w:t>
            </w:r>
          </w:p>
        </w:tc>
        <w:tc>
          <w:tcPr>
            <w:tcW w:w="1508" w:type="dxa"/>
            <w:shd w:val="clear" w:color="auto" w:fill="F1D0C6"/>
          </w:tcPr>
          <w:p w14:paraId="546FFAAC" w14:textId="42BFE763" w:rsidR="00BF6A73" w:rsidRPr="000F23E0" w:rsidRDefault="00BF6A73" w:rsidP="001946AA">
            <w:pPr>
              <w:pStyle w:val="TableColumnHeadingLeft"/>
              <w:cnfStyle w:val="100000000000" w:firstRow="1" w:lastRow="0" w:firstColumn="0" w:lastColumn="0" w:oddVBand="0" w:evenVBand="0" w:oddHBand="0" w:evenHBand="0" w:firstRowFirstColumn="0" w:firstRowLastColumn="0" w:lastRowFirstColumn="0" w:lastRowLastColumn="0"/>
              <w:rPr>
                <w:b/>
                <w:bCs w:val="0"/>
              </w:rPr>
            </w:pPr>
            <w:r w:rsidRPr="000F23E0">
              <w:rPr>
                <w:b/>
                <w:bCs w:val="0"/>
              </w:rPr>
              <w:t>Projects supported</w:t>
            </w:r>
          </w:p>
        </w:tc>
        <w:tc>
          <w:tcPr>
            <w:tcW w:w="1508" w:type="dxa"/>
            <w:shd w:val="clear" w:color="auto" w:fill="F1D0C6"/>
          </w:tcPr>
          <w:p w14:paraId="21DB6257" w14:textId="287F85FD" w:rsidR="00BF6A73" w:rsidRPr="000F23E0" w:rsidRDefault="00BF6A73" w:rsidP="001946AA">
            <w:pPr>
              <w:pStyle w:val="TableColumnHeadingRight"/>
              <w:cnfStyle w:val="100000000000" w:firstRow="1" w:lastRow="0" w:firstColumn="0" w:lastColumn="0" w:oddVBand="0" w:evenVBand="0" w:oddHBand="0" w:evenHBand="0" w:firstRowFirstColumn="0" w:firstRowLastColumn="0" w:lastRowFirstColumn="0" w:lastRowLastColumn="0"/>
              <w:rPr>
                <w:b/>
                <w:bCs w:val="0"/>
              </w:rPr>
            </w:pPr>
            <w:r w:rsidRPr="000F23E0">
              <w:rPr>
                <w:b/>
                <w:bCs w:val="0"/>
              </w:rPr>
              <w:t xml:space="preserve">2024–25 Expenditure </w:t>
            </w:r>
          </w:p>
        </w:tc>
        <w:tc>
          <w:tcPr>
            <w:tcW w:w="1508" w:type="dxa"/>
            <w:shd w:val="clear" w:color="auto" w:fill="F1D0C6"/>
          </w:tcPr>
          <w:p w14:paraId="544E2BCF" w14:textId="498EF2C7" w:rsidR="00BF6A73" w:rsidRPr="000F23E0" w:rsidRDefault="00EA0F10" w:rsidP="001946AA">
            <w:pPr>
              <w:pStyle w:val="TableColumnHeadingRight"/>
              <w:cnfStyle w:val="100000000000" w:firstRow="1" w:lastRow="0" w:firstColumn="0" w:lastColumn="0" w:oddVBand="0" w:evenVBand="0" w:oddHBand="0" w:evenHBand="0" w:firstRowFirstColumn="0" w:firstRowLastColumn="0" w:lastRowFirstColumn="0" w:lastRowLastColumn="0"/>
              <w:rPr>
                <w:b/>
                <w:bCs w:val="0"/>
              </w:rPr>
            </w:pPr>
            <w:r w:rsidRPr="000F23E0">
              <w:rPr>
                <w:b/>
                <w:bCs w:val="0"/>
              </w:rPr>
              <w:t>Allocation 2026 Report</w:t>
            </w:r>
            <w:r w:rsidR="00BF6A73" w:rsidRPr="000F23E0">
              <w:rPr>
                <w:b/>
                <w:bCs w:val="0"/>
              </w:rPr>
              <w:t xml:space="preserve"> </w:t>
            </w:r>
          </w:p>
        </w:tc>
        <w:tc>
          <w:tcPr>
            <w:tcW w:w="1508" w:type="dxa"/>
            <w:shd w:val="clear" w:color="auto" w:fill="F1D0C6"/>
          </w:tcPr>
          <w:p w14:paraId="32308262" w14:textId="2D6B7734" w:rsidR="00BF6A73" w:rsidRPr="000F23E0" w:rsidRDefault="00BF6A73" w:rsidP="001946AA">
            <w:pPr>
              <w:pStyle w:val="TableColumnHeadingRight"/>
              <w:cnfStyle w:val="100000000000" w:firstRow="1" w:lastRow="0" w:firstColumn="0" w:lastColumn="0" w:oddVBand="0" w:evenVBand="0" w:oddHBand="0" w:evenHBand="0" w:firstRowFirstColumn="0" w:firstRowLastColumn="0" w:lastRowFirstColumn="0" w:lastRowLastColumn="0"/>
              <w:rPr>
                <w:b/>
                <w:bCs w:val="0"/>
              </w:rPr>
            </w:pPr>
            <w:r w:rsidRPr="000F23E0">
              <w:rPr>
                <w:b/>
                <w:bCs w:val="0"/>
              </w:rPr>
              <w:t xml:space="preserve">Total Australian Government Contribution </w:t>
            </w:r>
          </w:p>
        </w:tc>
        <w:tc>
          <w:tcPr>
            <w:tcW w:w="1508" w:type="dxa"/>
            <w:shd w:val="clear" w:color="auto" w:fill="F1D0C6"/>
          </w:tcPr>
          <w:p w14:paraId="0A06C910" w14:textId="456A2DB9" w:rsidR="00BF6A73" w:rsidRPr="000F23E0" w:rsidRDefault="00BF6A73" w:rsidP="001946AA">
            <w:pPr>
              <w:pStyle w:val="TableColumnHeadingRight"/>
              <w:cnfStyle w:val="100000000000" w:firstRow="1" w:lastRow="0" w:firstColumn="0" w:lastColumn="0" w:oddVBand="0" w:evenVBand="0" w:oddHBand="0" w:evenHBand="0" w:firstRowFirstColumn="0" w:firstRowLastColumn="0" w:lastRowFirstColumn="0" w:lastRowLastColumn="0"/>
              <w:rPr>
                <w:b/>
                <w:bCs w:val="0"/>
              </w:rPr>
            </w:pPr>
            <w:r w:rsidRPr="000F23E0">
              <w:rPr>
                <w:b/>
                <w:bCs w:val="0"/>
              </w:rPr>
              <w:t xml:space="preserve">Total Cost of Project </w:t>
            </w:r>
          </w:p>
        </w:tc>
      </w:tr>
      <w:tr w:rsidR="00BF6A73" w:rsidRPr="000F23E0" w14:paraId="5AF8B843" w14:textId="77777777" w:rsidTr="00B778E8">
        <w:trPr>
          <w:trHeight w:val="258"/>
        </w:trPr>
        <w:tc>
          <w:tcPr>
            <w:cnfStyle w:val="001000000000" w:firstRow="0" w:lastRow="0" w:firstColumn="1" w:lastColumn="0" w:oddVBand="0" w:evenVBand="0" w:oddHBand="0" w:evenHBand="0" w:firstRowFirstColumn="0" w:firstRowLastColumn="0" w:lastRowFirstColumn="0" w:lastRowLastColumn="0"/>
            <w:tcW w:w="1508" w:type="dxa"/>
            <w:vMerge w:val="restart"/>
            <w:shd w:val="clear" w:color="auto" w:fill="FDF0E7"/>
          </w:tcPr>
          <w:p w14:paraId="29849B22" w14:textId="76D1DF90" w:rsidR="00BF6A73" w:rsidRPr="000F23E0" w:rsidRDefault="00BF6A73" w:rsidP="001946AA">
            <w:pPr>
              <w:pStyle w:val="TableTextLeft"/>
              <w:rPr>
                <w:bCs w:val="0"/>
              </w:rPr>
            </w:pPr>
            <w:r w:rsidRPr="000F23E0">
              <w:t>Electric Rail Infrastructure Investments</w:t>
            </w:r>
          </w:p>
        </w:tc>
        <w:tc>
          <w:tcPr>
            <w:tcW w:w="1508" w:type="dxa"/>
            <w:shd w:val="clear" w:color="auto" w:fill="FEFAF8"/>
          </w:tcPr>
          <w:p w14:paraId="3C76C282" w14:textId="4F6324B9" w:rsidR="00BF6A73" w:rsidRPr="000F23E0" w:rsidRDefault="00BF6A73" w:rsidP="0076456B">
            <w:pPr>
              <w:pStyle w:val="TableTextLeft"/>
              <w:keepNext/>
              <w:cnfStyle w:val="000000000000" w:firstRow="0" w:lastRow="0" w:firstColumn="0" w:lastColumn="0" w:oddVBand="0" w:evenVBand="0" w:oddHBand="0" w:evenHBand="0" w:firstRowFirstColumn="0" w:firstRowLastColumn="0" w:lastRowFirstColumn="0" w:lastRowLastColumn="0"/>
            </w:pPr>
            <w:r w:rsidRPr="000F23E0">
              <w:t>Sydney Metro – Western Sydney Airport</w:t>
            </w:r>
            <w:r w:rsidRPr="000F23E0">
              <w:rPr>
                <w:rStyle w:val="EndnoteReference"/>
              </w:rPr>
              <w:endnoteReference w:id="52"/>
            </w:r>
          </w:p>
        </w:tc>
        <w:tc>
          <w:tcPr>
            <w:tcW w:w="1508" w:type="dxa"/>
            <w:shd w:val="clear" w:color="auto" w:fill="FEFAF8"/>
          </w:tcPr>
          <w:p w14:paraId="0D2C2FB7" w14:textId="2CEBCD7E" w:rsidR="00BF6A73" w:rsidRPr="000F23E0" w:rsidRDefault="00BF6A73" w:rsidP="001946AA">
            <w:pPr>
              <w:pStyle w:val="TableTextRight"/>
              <w:cnfStyle w:val="000000000000" w:firstRow="0" w:lastRow="0" w:firstColumn="0" w:lastColumn="0" w:oddVBand="0" w:evenVBand="0" w:oddHBand="0" w:evenHBand="0" w:firstRowFirstColumn="0" w:firstRowLastColumn="0" w:lastRowFirstColumn="0" w:lastRowLastColumn="0"/>
            </w:pPr>
            <w:r w:rsidRPr="000F23E0">
              <w:t>931.5</w:t>
            </w:r>
          </w:p>
        </w:tc>
        <w:tc>
          <w:tcPr>
            <w:tcW w:w="1508" w:type="dxa"/>
            <w:shd w:val="clear" w:color="auto" w:fill="FEFAF8"/>
          </w:tcPr>
          <w:p w14:paraId="2192C93F" w14:textId="52AB0F7D" w:rsidR="00BF6A73" w:rsidRPr="000F23E0" w:rsidRDefault="00BF6A73" w:rsidP="001946AA">
            <w:pPr>
              <w:pStyle w:val="TableTextRight"/>
              <w:cnfStyle w:val="000000000000" w:firstRow="0" w:lastRow="0" w:firstColumn="0" w:lastColumn="0" w:oddVBand="0" w:evenVBand="0" w:oddHBand="0" w:evenHBand="0" w:firstRowFirstColumn="0" w:firstRowLastColumn="0" w:lastRowFirstColumn="0" w:lastRowLastColumn="0"/>
            </w:pPr>
            <w:r w:rsidRPr="000F23E0">
              <w:t>504.2</w:t>
            </w:r>
          </w:p>
        </w:tc>
        <w:tc>
          <w:tcPr>
            <w:tcW w:w="1508" w:type="dxa"/>
            <w:shd w:val="clear" w:color="auto" w:fill="FEFAF8"/>
          </w:tcPr>
          <w:p w14:paraId="2BB312F8" w14:textId="0346E585" w:rsidR="00BF6A73" w:rsidRPr="000F23E0" w:rsidRDefault="00BF6A73" w:rsidP="001946AA">
            <w:pPr>
              <w:pStyle w:val="TableTextRight"/>
              <w:cnfStyle w:val="000000000000" w:firstRow="0" w:lastRow="0" w:firstColumn="0" w:lastColumn="0" w:oddVBand="0" w:evenVBand="0" w:oddHBand="0" w:evenHBand="0" w:firstRowFirstColumn="0" w:firstRowLastColumn="0" w:lastRowFirstColumn="0" w:lastRowLastColumn="0"/>
            </w:pPr>
            <w:r w:rsidRPr="000F23E0">
              <w:t>5,190.0</w:t>
            </w:r>
          </w:p>
        </w:tc>
        <w:tc>
          <w:tcPr>
            <w:tcW w:w="1508" w:type="dxa"/>
            <w:shd w:val="clear" w:color="auto" w:fill="FEFAF8"/>
          </w:tcPr>
          <w:p w14:paraId="0FEB8FCF" w14:textId="1BC41897" w:rsidR="00BF6A73" w:rsidRPr="000F23E0" w:rsidRDefault="00BF6A73" w:rsidP="001946AA">
            <w:pPr>
              <w:pStyle w:val="TableTextRight"/>
              <w:cnfStyle w:val="000000000000" w:firstRow="0" w:lastRow="0" w:firstColumn="0" w:lastColumn="0" w:oddVBand="0" w:evenVBand="0" w:oddHBand="0" w:evenHBand="0" w:firstRowFirstColumn="0" w:firstRowLastColumn="0" w:lastRowFirstColumn="0" w:lastRowLastColumn="0"/>
            </w:pPr>
            <w:r w:rsidRPr="000F23E0">
              <w:t>10,380.0</w:t>
            </w:r>
          </w:p>
        </w:tc>
      </w:tr>
      <w:tr w:rsidR="00BF6A73" w:rsidRPr="000F23E0" w14:paraId="5B1A20AD" w14:textId="77777777" w:rsidTr="00B778E8">
        <w:trPr>
          <w:trHeight w:val="258"/>
        </w:trPr>
        <w:tc>
          <w:tcPr>
            <w:cnfStyle w:val="001000000000" w:firstRow="0" w:lastRow="0" w:firstColumn="1" w:lastColumn="0" w:oddVBand="0" w:evenVBand="0" w:oddHBand="0" w:evenHBand="0" w:firstRowFirstColumn="0" w:firstRowLastColumn="0" w:lastRowFirstColumn="0" w:lastRowLastColumn="0"/>
            <w:tcW w:w="1508" w:type="dxa"/>
            <w:vMerge/>
            <w:shd w:val="clear" w:color="auto" w:fill="FDF0E7"/>
          </w:tcPr>
          <w:p w14:paraId="4E70BFD3" w14:textId="77777777" w:rsidR="00BF6A73" w:rsidRPr="000F23E0" w:rsidRDefault="00BF6A73" w:rsidP="0076456B">
            <w:pPr>
              <w:pStyle w:val="TableTextLeft"/>
              <w:keepNext/>
              <w:rPr>
                <w:b/>
                <w:bCs w:val="0"/>
              </w:rPr>
            </w:pPr>
          </w:p>
        </w:tc>
        <w:tc>
          <w:tcPr>
            <w:tcW w:w="1508" w:type="dxa"/>
            <w:shd w:val="clear" w:color="auto" w:fill="FEFAF8"/>
          </w:tcPr>
          <w:p w14:paraId="12C1C7CC" w14:textId="60F667C4" w:rsidR="00BF6A73" w:rsidRPr="000F23E0" w:rsidRDefault="00BF6A73" w:rsidP="001946AA">
            <w:pPr>
              <w:pStyle w:val="TableTextLeft"/>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szCs w:val="24"/>
              </w:rPr>
            </w:pPr>
            <w:r w:rsidRPr="000F23E0">
              <w:t>METRONET</w:t>
            </w:r>
            <w:r w:rsidR="00041577" w:rsidRPr="000F23E0">
              <w:rPr>
                <w:vertAlign w:val="superscript"/>
              </w:rPr>
              <w:t>(</w:t>
            </w:r>
            <w:r w:rsidR="00181237" w:rsidRPr="000F23E0">
              <w:rPr>
                <w:vertAlign w:val="superscript"/>
              </w:rPr>
              <w:t>a</w:t>
            </w:r>
            <w:r w:rsidR="00041577" w:rsidRPr="000F23E0">
              <w:rPr>
                <w:vertAlign w:val="superscript"/>
              </w:rPr>
              <w:t>)</w:t>
            </w:r>
          </w:p>
        </w:tc>
        <w:tc>
          <w:tcPr>
            <w:tcW w:w="1508" w:type="dxa"/>
            <w:shd w:val="clear" w:color="auto" w:fill="FEFAF8"/>
          </w:tcPr>
          <w:p w14:paraId="52918802" w14:textId="6D37149E" w:rsidR="00BF6A73" w:rsidRPr="000F23E0" w:rsidRDefault="00BF6A73" w:rsidP="001946AA">
            <w:pPr>
              <w:pStyle w:val="TableTextRight"/>
              <w:cnfStyle w:val="000000000000" w:firstRow="0" w:lastRow="0" w:firstColumn="0" w:lastColumn="0" w:oddVBand="0" w:evenVBand="0" w:oddHBand="0" w:evenHBand="0" w:firstRowFirstColumn="0" w:firstRowLastColumn="0" w:lastRowFirstColumn="0" w:lastRowLastColumn="0"/>
            </w:pPr>
            <w:r w:rsidRPr="000F23E0">
              <w:t>2,065.5</w:t>
            </w:r>
          </w:p>
        </w:tc>
        <w:tc>
          <w:tcPr>
            <w:tcW w:w="1508" w:type="dxa"/>
            <w:shd w:val="clear" w:color="auto" w:fill="FEFAF8"/>
          </w:tcPr>
          <w:p w14:paraId="694986CE" w14:textId="26CA1164" w:rsidR="00BF6A73" w:rsidRPr="000F23E0" w:rsidRDefault="00BF6A73" w:rsidP="001946AA">
            <w:pPr>
              <w:pStyle w:val="TableTextRight"/>
              <w:cnfStyle w:val="000000000000" w:firstRow="0" w:lastRow="0" w:firstColumn="0" w:lastColumn="0" w:oddVBand="0" w:evenVBand="0" w:oddHBand="0" w:evenHBand="0" w:firstRowFirstColumn="0" w:firstRowLastColumn="0" w:lastRowFirstColumn="0" w:lastRowLastColumn="0"/>
            </w:pPr>
            <w:r w:rsidRPr="000F23E0">
              <w:t>1,117.9</w:t>
            </w:r>
          </w:p>
        </w:tc>
        <w:tc>
          <w:tcPr>
            <w:tcW w:w="1508" w:type="dxa"/>
            <w:shd w:val="clear" w:color="auto" w:fill="FEFAF8"/>
          </w:tcPr>
          <w:p w14:paraId="5357D872" w14:textId="3B9E3A6C" w:rsidR="00BF6A73" w:rsidRPr="000F23E0" w:rsidRDefault="00BF6A73" w:rsidP="001946AA">
            <w:pPr>
              <w:pStyle w:val="TableTextRight"/>
              <w:cnfStyle w:val="000000000000" w:firstRow="0" w:lastRow="0" w:firstColumn="0" w:lastColumn="0" w:oddVBand="0" w:evenVBand="0" w:oddHBand="0" w:evenHBand="0" w:firstRowFirstColumn="0" w:firstRowLastColumn="0" w:lastRowFirstColumn="0" w:lastRowLastColumn="0"/>
            </w:pPr>
            <w:r w:rsidRPr="000F23E0">
              <w:t>4,216.9</w:t>
            </w:r>
          </w:p>
        </w:tc>
        <w:tc>
          <w:tcPr>
            <w:tcW w:w="1508" w:type="dxa"/>
            <w:shd w:val="clear" w:color="auto" w:fill="FEFAF8"/>
          </w:tcPr>
          <w:p w14:paraId="6C177616" w14:textId="7B0731B5" w:rsidR="00BF6A73" w:rsidRPr="000F23E0" w:rsidRDefault="00BF6A73" w:rsidP="001946AA">
            <w:pPr>
              <w:pStyle w:val="TableTextRight"/>
              <w:cnfStyle w:val="000000000000" w:firstRow="0" w:lastRow="0" w:firstColumn="0" w:lastColumn="0" w:oddVBand="0" w:evenVBand="0" w:oddHBand="0" w:evenHBand="0" w:firstRowFirstColumn="0" w:firstRowLastColumn="0" w:lastRowFirstColumn="0" w:lastRowLastColumn="0"/>
            </w:pPr>
            <w:r w:rsidRPr="000F23E0">
              <w:t>8,424.6</w:t>
            </w:r>
          </w:p>
        </w:tc>
      </w:tr>
      <w:tr w:rsidR="00BF6A73" w:rsidRPr="000F23E0" w14:paraId="47A0987A" w14:textId="77777777" w:rsidTr="00B778E8">
        <w:trPr>
          <w:trHeight w:val="258"/>
        </w:trPr>
        <w:tc>
          <w:tcPr>
            <w:cnfStyle w:val="001000000000" w:firstRow="0" w:lastRow="0" w:firstColumn="1" w:lastColumn="0" w:oddVBand="0" w:evenVBand="0" w:oddHBand="0" w:evenHBand="0" w:firstRowFirstColumn="0" w:firstRowLastColumn="0" w:lastRowFirstColumn="0" w:lastRowLastColumn="0"/>
            <w:tcW w:w="1508" w:type="dxa"/>
            <w:vMerge/>
            <w:shd w:val="clear" w:color="auto" w:fill="FDF0E7"/>
          </w:tcPr>
          <w:p w14:paraId="5CE3391D" w14:textId="77777777" w:rsidR="00BF6A73" w:rsidRPr="000F23E0" w:rsidRDefault="00BF6A73" w:rsidP="0076456B">
            <w:pPr>
              <w:pStyle w:val="TableTextLeft"/>
              <w:keepNext/>
              <w:rPr>
                <w:b/>
                <w:bCs w:val="0"/>
              </w:rPr>
            </w:pPr>
          </w:p>
        </w:tc>
        <w:tc>
          <w:tcPr>
            <w:tcW w:w="1508" w:type="dxa"/>
            <w:shd w:val="clear" w:color="auto" w:fill="FEFAF8"/>
          </w:tcPr>
          <w:p w14:paraId="14648243" w14:textId="04A22E9F" w:rsidR="00BF6A73" w:rsidRPr="000F23E0" w:rsidRDefault="00BF6A73" w:rsidP="0076456B">
            <w:pPr>
              <w:pStyle w:val="TableTextLeft"/>
              <w:keepNext/>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szCs w:val="24"/>
              </w:rPr>
            </w:pPr>
            <w:r w:rsidRPr="000F23E0">
              <w:t>Gold Coast Light Rail – Stage 3</w:t>
            </w:r>
            <w:r w:rsidRPr="000F23E0">
              <w:rPr>
                <w:rStyle w:val="EndnoteReference"/>
              </w:rPr>
              <w:endnoteReference w:id="53"/>
            </w:r>
          </w:p>
        </w:tc>
        <w:tc>
          <w:tcPr>
            <w:tcW w:w="1508" w:type="dxa"/>
            <w:shd w:val="clear" w:color="auto" w:fill="FEFAF8"/>
          </w:tcPr>
          <w:p w14:paraId="64D54EEB" w14:textId="751ED3ED" w:rsidR="00BF6A73" w:rsidRPr="000F23E0" w:rsidRDefault="00BF6A73" w:rsidP="001946AA">
            <w:pPr>
              <w:pStyle w:val="TableTextRight"/>
              <w:cnfStyle w:val="000000000000" w:firstRow="0" w:lastRow="0" w:firstColumn="0" w:lastColumn="0" w:oddVBand="0" w:evenVBand="0" w:oddHBand="0" w:evenHBand="0" w:firstRowFirstColumn="0" w:firstRowLastColumn="0" w:lastRowFirstColumn="0" w:lastRowLastColumn="0"/>
            </w:pPr>
            <w:r w:rsidRPr="000F23E0">
              <w:t>34.6</w:t>
            </w:r>
          </w:p>
        </w:tc>
        <w:tc>
          <w:tcPr>
            <w:tcW w:w="1508" w:type="dxa"/>
            <w:shd w:val="clear" w:color="auto" w:fill="FEFAF8"/>
          </w:tcPr>
          <w:p w14:paraId="7FCF6290" w14:textId="217D26B8" w:rsidR="00BF6A73" w:rsidRPr="000F23E0" w:rsidRDefault="00BF6A73" w:rsidP="001946AA">
            <w:pPr>
              <w:pStyle w:val="TableTextRight"/>
              <w:cnfStyle w:val="000000000000" w:firstRow="0" w:lastRow="0" w:firstColumn="0" w:lastColumn="0" w:oddVBand="0" w:evenVBand="0" w:oddHBand="0" w:evenHBand="0" w:firstRowFirstColumn="0" w:firstRowLastColumn="0" w:lastRowFirstColumn="0" w:lastRowLastColumn="0"/>
            </w:pPr>
            <w:r w:rsidRPr="000F23E0">
              <w:t>18.7</w:t>
            </w:r>
          </w:p>
        </w:tc>
        <w:tc>
          <w:tcPr>
            <w:tcW w:w="1508" w:type="dxa"/>
            <w:shd w:val="clear" w:color="auto" w:fill="FEFAF8"/>
          </w:tcPr>
          <w:p w14:paraId="60D56C0B" w14:textId="39FED1A7" w:rsidR="00BF6A73" w:rsidRPr="000F23E0" w:rsidRDefault="00BF6A73" w:rsidP="001946AA">
            <w:pPr>
              <w:pStyle w:val="TableTextRight"/>
              <w:cnfStyle w:val="000000000000" w:firstRow="0" w:lastRow="0" w:firstColumn="0" w:lastColumn="0" w:oddVBand="0" w:evenVBand="0" w:oddHBand="0" w:evenHBand="0" w:firstRowFirstColumn="0" w:firstRowLastColumn="0" w:lastRowFirstColumn="0" w:lastRowLastColumn="0"/>
            </w:pPr>
            <w:r w:rsidRPr="000F23E0">
              <w:t>395.6</w:t>
            </w:r>
          </w:p>
        </w:tc>
        <w:tc>
          <w:tcPr>
            <w:tcW w:w="1508" w:type="dxa"/>
            <w:shd w:val="clear" w:color="auto" w:fill="FEFAF8"/>
          </w:tcPr>
          <w:p w14:paraId="769EDD66" w14:textId="587474F2" w:rsidR="00BF6A73" w:rsidRPr="000F23E0" w:rsidRDefault="00BF6A73" w:rsidP="001946AA">
            <w:pPr>
              <w:pStyle w:val="TableTextRight"/>
              <w:cnfStyle w:val="000000000000" w:firstRow="0" w:lastRow="0" w:firstColumn="0" w:lastColumn="0" w:oddVBand="0" w:evenVBand="0" w:oddHBand="0" w:evenHBand="0" w:firstRowFirstColumn="0" w:firstRowLastColumn="0" w:lastRowFirstColumn="0" w:lastRowLastColumn="0"/>
            </w:pPr>
            <w:r w:rsidRPr="000F23E0">
              <w:t>1,549.0</w:t>
            </w:r>
          </w:p>
        </w:tc>
      </w:tr>
      <w:tr w:rsidR="00BF6A73" w:rsidRPr="000F23E0" w14:paraId="53C1AA5B" w14:textId="77777777" w:rsidTr="00B778E8">
        <w:trPr>
          <w:trHeight w:val="258"/>
        </w:trPr>
        <w:tc>
          <w:tcPr>
            <w:cnfStyle w:val="001000000000" w:firstRow="0" w:lastRow="0" w:firstColumn="1" w:lastColumn="0" w:oddVBand="0" w:evenVBand="0" w:oddHBand="0" w:evenHBand="0" w:firstRowFirstColumn="0" w:firstRowLastColumn="0" w:lastRowFirstColumn="0" w:lastRowLastColumn="0"/>
            <w:tcW w:w="1508" w:type="dxa"/>
            <w:vMerge/>
            <w:shd w:val="clear" w:color="auto" w:fill="FDF0E7"/>
          </w:tcPr>
          <w:p w14:paraId="750E9333" w14:textId="77777777" w:rsidR="00BF6A73" w:rsidRPr="000F23E0" w:rsidRDefault="00BF6A73" w:rsidP="0076456B">
            <w:pPr>
              <w:pStyle w:val="TableTextLeft"/>
              <w:keepNext/>
              <w:rPr>
                <w:b/>
                <w:bCs w:val="0"/>
              </w:rPr>
            </w:pPr>
          </w:p>
        </w:tc>
        <w:tc>
          <w:tcPr>
            <w:tcW w:w="1508" w:type="dxa"/>
            <w:shd w:val="clear" w:color="auto" w:fill="FEFAF8"/>
          </w:tcPr>
          <w:p w14:paraId="77065510" w14:textId="4E56DAA4" w:rsidR="00BF6A73" w:rsidRPr="000F23E0" w:rsidRDefault="00BF6A73" w:rsidP="0076456B">
            <w:pPr>
              <w:pStyle w:val="TableTextLeft"/>
              <w:keepNext/>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stheme="majorBidi"/>
                <w:szCs w:val="24"/>
              </w:rPr>
            </w:pPr>
            <w:r w:rsidRPr="000F23E0">
              <w:t>Canberra Light Rail – Stage 2A</w:t>
            </w:r>
            <w:r w:rsidRPr="000F23E0">
              <w:rPr>
                <w:rStyle w:val="EndnoteReference"/>
              </w:rPr>
              <w:endnoteReference w:id="54"/>
            </w:r>
          </w:p>
        </w:tc>
        <w:tc>
          <w:tcPr>
            <w:tcW w:w="1508" w:type="dxa"/>
            <w:shd w:val="clear" w:color="auto" w:fill="FEFAF8"/>
          </w:tcPr>
          <w:p w14:paraId="24F0D04E" w14:textId="3AB525E8" w:rsidR="00BF6A73" w:rsidRPr="000F23E0" w:rsidRDefault="00BF6A73" w:rsidP="001946AA">
            <w:pPr>
              <w:pStyle w:val="TableTextRight"/>
              <w:cnfStyle w:val="000000000000" w:firstRow="0" w:lastRow="0" w:firstColumn="0" w:lastColumn="0" w:oddVBand="0" w:evenVBand="0" w:oddHBand="0" w:evenHBand="0" w:firstRowFirstColumn="0" w:firstRowLastColumn="0" w:lastRowFirstColumn="0" w:lastRowLastColumn="0"/>
            </w:pPr>
            <w:r w:rsidRPr="000F23E0">
              <w:t>10.0</w:t>
            </w:r>
          </w:p>
        </w:tc>
        <w:tc>
          <w:tcPr>
            <w:tcW w:w="1508" w:type="dxa"/>
            <w:shd w:val="clear" w:color="auto" w:fill="FEFAF8"/>
          </w:tcPr>
          <w:p w14:paraId="75F81239" w14:textId="6BB7F068" w:rsidR="00BF6A73" w:rsidRPr="000F23E0" w:rsidRDefault="00BF6A73" w:rsidP="001946AA">
            <w:pPr>
              <w:pStyle w:val="TableTextRight"/>
              <w:cnfStyle w:val="000000000000" w:firstRow="0" w:lastRow="0" w:firstColumn="0" w:lastColumn="0" w:oddVBand="0" w:evenVBand="0" w:oddHBand="0" w:evenHBand="0" w:firstRowFirstColumn="0" w:firstRowLastColumn="0" w:lastRowFirstColumn="0" w:lastRowLastColumn="0"/>
            </w:pPr>
            <w:r w:rsidRPr="000F23E0">
              <w:t>5.4</w:t>
            </w:r>
          </w:p>
        </w:tc>
        <w:tc>
          <w:tcPr>
            <w:tcW w:w="1508" w:type="dxa"/>
            <w:shd w:val="clear" w:color="auto" w:fill="FEFAF8"/>
          </w:tcPr>
          <w:p w14:paraId="263E07DD" w14:textId="7DD93C96" w:rsidR="00BF6A73" w:rsidRPr="000F23E0" w:rsidRDefault="00BF6A73" w:rsidP="001946AA">
            <w:pPr>
              <w:pStyle w:val="TableTextRight"/>
              <w:cnfStyle w:val="000000000000" w:firstRow="0" w:lastRow="0" w:firstColumn="0" w:lastColumn="0" w:oddVBand="0" w:evenVBand="0" w:oddHBand="0" w:evenHBand="0" w:firstRowFirstColumn="0" w:firstRowLastColumn="0" w:lastRowFirstColumn="0" w:lastRowLastColumn="0"/>
            </w:pPr>
            <w:r w:rsidRPr="000F23E0">
              <w:t>343.9</w:t>
            </w:r>
          </w:p>
        </w:tc>
        <w:tc>
          <w:tcPr>
            <w:tcW w:w="1508" w:type="dxa"/>
            <w:shd w:val="clear" w:color="auto" w:fill="FEFAF8"/>
          </w:tcPr>
          <w:p w14:paraId="34C063CE" w14:textId="00E6E6D2" w:rsidR="00BF6A73" w:rsidRPr="000F23E0" w:rsidRDefault="00BF6A73" w:rsidP="001946AA">
            <w:pPr>
              <w:pStyle w:val="TableTextRight"/>
              <w:cnfStyle w:val="000000000000" w:firstRow="0" w:lastRow="0" w:firstColumn="0" w:lastColumn="0" w:oddVBand="0" w:evenVBand="0" w:oddHBand="0" w:evenHBand="0" w:firstRowFirstColumn="0" w:firstRowLastColumn="0" w:lastRowFirstColumn="0" w:lastRowLastColumn="0"/>
            </w:pPr>
            <w:r w:rsidRPr="000F23E0">
              <w:t>687.8</w:t>
            </w:r>
          </w:p>
        </w:tc>
      </w:tr>
      <w:tr w:rsidR="00BF6A73" w:rsidRPr="000F23E0" w14:paraId="3B7D5443" w14:textId="77777777" w:rsidTr="00B778E8">
        <w:trPr>
          <w:trHeight w:val="60"/>
        </w:trPr>
        <w:tc>
          <w:tcPr>
            <w:cnfStyle w:val="001000000000" w:firstRow="0" w:lastRow="0" w:firstColumn="1" w:lastColumn="0" w:oddVBand="0" w:evenVBand="0" w:oddHBand="0" w:evenHBand="0" w:firstRowFirstColumn="0" w:firstRowLastColumn="0" w:lastRowFirstColumn="0" w:lastRowLastColumn="0"/>
            <w:tcW w:w="1508" w:type="dxa"/>
            <w:vMerge/>
            <w:shd w:val="clear" w:color="auto" w:fill="FDF0E7"/>
          </w:tcPr>
          <w:p w14:paraId="7425CACB" w14:textId="77777777" w:rsidR="00BF6A73" w:rsidRPr="000F23E0" w:rsidRDefault="00BF6A73" w:rsidP="0076456B">
            <w:pPr>
              <w:pStyle w:val="TableTextLeft"/>
              <w:keepNext/>
              <w:rPr>
                <w:bCs w:val="0"/>
              </w:rPr>
            </w:pPr>
          </w:p>
        </w:tc>
        <w:tc>
          <w:tcPr>
            <w:tcW w:w="1508" w:type="dxa"/>
            <w:shd w:val="clear" w:color="auto" w:fill="FEFAF8"/>
          </w:tcPr>
          <w:p w14:paraId="47B13AB4" w14:textId="5B9EBF82" w:rsidR="00BF6A73" w:rsidRPr="000F23E0" w:rsidRDefault="00BF6A73" w:rsidP="001946AA">
            <w:pPr>
              <w:pStyle w:val="TableTextLeft"/>
              <w:cnfStyle w:val="000000000000" w:firstRow="0" w:lastRow="0" w:firstColumn="0" w:lastColumn="0" w:oddVBand="0" w:evenVBand="0" w:oddHBand="0" w:evenHBand="0" w:firstRowFirstColumn="0" w:firstRowLastColumn="0" w:lastRowFirstColumn="0" w:lastRowLastColumn="0"/>
              <w:rPr>
                <w:rFonts w:cs="Calibri"/>
                <w:b/>
                <w:bCs/>
                <w:color w:val="000000"/>
              </w:rPr>
            </w:pPr>
            <w:r w:rsidRPr="000F23E0">
              <w:rPr>
                <w:b/>
                <w:bCs/>
              </w:rPr>
              <w:t>Total</w:t>
            </w:r>
          </w:p>
        </w:tc>
        <w:tc>
          <w:tcPr>
            <w:tcW w:w="1508" w:type="dxa"/>
            <w:shd w:val="clear" w:color="auto" w:fill="FEFAF8"/>
          </w:tcPr>
          <w:p w14:paraId="25047840" w14:textId="527C0408" w:rsidR="00BF6A73" w:rsidRPr="000F23E0" w:rsidRDefault="00BF6A73" w:rsidP="001946AA">
            <w:pPr>
              <w:pStyle w:val="TableTextRight"/>
              <w:cnfStyle w:val="000000000000" w:firstRow="0" w:lastRow="0" w:firstColumn="0" w:lastColumn="0" w:oddVBand="0" w:evenVBand="0" w:oddHBand="0" w:evenHBand="0" w:firstRowFirstColumn="0" w:firstRowLastColumn="0" w:lastRowFirstColumn="0" w:lastRowLastColumn="0"/>
              <w:rPr>
                <w:b/>
                <w:bCs/>
              </w:rPr>
            </w:pPr>
            <w:r w:rsidRPr="000F23E0">
              <w:rPr>
                <w:b/>
                <w:bCs/>
              </w:rPr>
              <w:t>3,041.6</w:t>
            </w:r>
          </w:p>
        </w:tc>
        <w:tc>
          <w:tcPr>
            <w:tcW w:w="1508" w:type="dxa"/>
            <w:shd w:val="clear" w:color="auto" w:fill="FEFAF8"/>
          </w:tcPr>
          <w:p w14:paraId="56A739EB" w14:textId="78B9C943" w:rsidR="00BF6A73" w:rsidRPr="000F23E0" w:rsidRDefault="00BF6A73" w:rsidP="001946AA">
            <w:pPr>
              <w:pStyle w:val="TableTextRight"/>
              <w:cnfStyle w:val="000000000000" w:firstRow="0" w:lastRow="0" w:firstColumn="0" w:lastColumn="0" w:oddVBand="0" w:evenVBand="0" w:oddHBand="0" w:evenHBand="0" w:firstRowFirstColumn="0" w:firstRowLastColumn="0" w:lastRowFirstColumn="0" w:lastRowLastColumn="0"/>
              <w:rPr>
                <w:b/>
                <w:bCs/>
              </w:rPr>
            </w:pPr>
            <w:r w:rsidRPr="000F23E0">
              <w:rPr>
                <w:b/>
                <w:bCs/>
              </w:rPr>
              <w:t>1646.2</w:t>
            </w:r>
          </w:p>
        </w:tc>
        <w:tc>
          <w:tcPr>
            <w:tcW w:w="1508" w:type="dxa"/>
            <w:shd w:val="clear" w:color="auto" w:fill="FEFAF8"/>
          </w:tcPr>
          <w:p w14:paraId="64EAF5AD" w14:textId="20FB5F1C" w:rsidR="00BF6A73" w:rsidRPr="000F23E0" w:rsidRDefault="00BF6A73" w:rsidP="001946AA">
            <w:pPr>
              <w:pStyle w:val="TableTextRight"/>
              <w:cnfStyle w:val="000000000000" w:firstRow="0" w:lastRow="0" w:firstColumn="0" w:lastColumn="0" w:oddVBand="0" w:evenVBand="0" w:oddHBand="0" w:evenHBand="0" w:firstRowFirstColumn="0" w:firstRowLastColumn="0" w:lastRowFirstColumn="0" w:lastRowLastColumn="0"/>
              <w:rPr>
                <w:b/>
                <w:bCs/>
              </w:rPr>
            </w:pPr>
            <w:r w:rsidRPr="000F23E0">
              <w:rPr>
                <w:b/>
                <w:bCs/>
              </w:rPr>
              <w:t>10,146.4</w:t>
            </w:r>
          </w:p>
        </w:tc>
        <w:tc>
          <w:tcPr>
            <w:tcW w:w="1508" w:type="dxa"/>
            <w:shd w:val="clear" w:color="auto" w:fill="FEFAF8"/>
          </w:tcPr>
          <w:p w14:paraId="24DFDF11" w14:textId="5E64A043" w:rsidR="00BF6A73" w:rsidRPr="000F23E0" w:rsidRDefault="00BF6A73" w:rsidP="001946AA">
            <w:pPr>
              <w:pStyle w:val="TableTextRight"/>
              <w:cnfStyle w:val="000000000000" w:firstRow="0" w:lastRow="0" w:firstColumn="0" w:lastColumn="0" w:oddVBand="0" w:evenVBand="0" w:oddHBand="0" w:evenHBand="0" w:firstRowFirstColumn="0" w:firstRowLastColumn="0" w:lastRowFirstColumn="0" w:lastRowLastColumn="0"/>
              <w:rPr>
                <w:b/>
                <w:bCs/>
              </w:rPr>
            </w:pPr>
            <w:r w:rsidRPr="000F23E0">
              <w:rPr>
                <w:b/>
                <w:bCs/>
              </w:rPr>
              <w:t>21,041.4</w:t>
            </w:r>
          </w:p>
        </w:tc>
      </w:tr>
    </w:tbl>
    <w:p w14:paraId="61E365AA" w14:textId="4EC126C8" w:rsidR="004A11A2" w:rsidRPr="000F23E0" w:rsidRDefault="00F55E3E" w:rsidP="001946AA">
      <w:pPr>
        <w:pStyle w:val="ChartandTableFootnoteAlpha"/>
        <w:numPr>
          <w:ilvl w:val="0"/>
          <w:numId w:val="50"/>
        </w:numPr>
      </w:pPr>
      <w:r w:rsidRPr="000F23E0">
        <w:t>Only includes Byford Extension; Victoria Park Canning Level Crossing Removal; Morley Ellenbrook Line; Thornlie Cockburn Link; and the Yanchep Rail Extension.</w:t>
      </w:r>
    </w:p>
    <w:p w14:paraId="521653F3" w14:textId="51B1E539" w:rsidR="0079347A" w:rsidRPr="000F23E0" w:rsidRDefault="0079347A" w:rsidP="0048145F">
      <w:pPr>
        <w:pStyle w:val="Heading4"/>
        <w:keepNext/>
        <w:keepLines/>
      </w:pPr>
      <w:r w:rsidRPr="000F23E0">
        <w:lastRenderedPageBreak/>
        <w:t>Co</w:t>
      </w:r>
      <w:r w:rsidR="002C4475" w:rsidRPr="000F23E0">
        <w:noBreakHyphen/>
      </w:r>
      <w:r w:rsidRPr="000F23E0">
        <w:t xml:space="preserve">financing </w:t>
      </w:r>
      <w:r w:rsidR="006B1D65" w:rsidRPr="000F23E0">
        <w:t>a</w:t>
      </w:r>
      <w:r w:rsidRPr="000F23E0">
        <w:t>rrangements</w:t>
      </w:r>
    </w:p>
    <w:p w14:paraId="3D9F614D" w14:textId="751546AD" w:rsidR="0079347A" w:rsidRPr="000F23E0" w:rsidRDefault="0079347A" w:rsidP="0048145F">
      <w:pPr>
        <w:keepNext/>
        <w:keepLines/>
      </w:pPr>
      <w:r w:rsidRPr="000F23E0">
        <w:t>Electric rail projects in the Infrastructure Investment Program have been co</w:t>
      </w:r>
      <w:r w:rsidR="002C4475" w:rsidRPr="000F23E0">
        <w:noBreakHyphen/>
      </w:r>
      <w:r w:rsidRPr="000F23E0">
        <w:t xml:space="preserve">financed with state and territory governments and/or local governments. </w:t>
      </w:r>
      <w:r w:rsidR="00611CEF" w:rsidRPr="000F23E0">
        <w:t>GTB</w:t>
      </w:r>
      <w:r w:rsidRPr="000F23E0">
        <w:t xml:space="preserve"> proceeds are only allocated to Australian Government contributions. The proceeds are allocated when Australian Government contributions have been released to a state or territory. This timing may differ from the allocation of funds through State green bond programs.</w:t>
      </w:r>
    </w:p>
    <w:p w14:paraId="2664A084" w14:textId="04CD3130" w:rsidR="0079347A" w:rsidRPr="000F23E0" w:rsidRDefault="0079347A" w:rsidP="0048145F">
      <w:pPr>
        <w:pStyle w:val="Bullet"/>
      </w:pPr>
      <w:r w:rsidRPr="000F23E0">
        <w:t>Sydney Metro – Western Sydney Airport is co</w:t>
      </w:r>
      <w:r w:rsidR="002C4475" w:rsidRPr="000F23E0">
        <w:noBreakHyphen/>
      </w:r>
      <w:r w:rsidRPr="000F23E0">
        <w:t>funded with the New South Wales Government, with</w:t>
      </w:r>
      <w:r w:rsidR="008657A5" w:rsidRPr="000F23E0">
        <w:t> </w:t>
      </w:r>
      <w:r w:rsidRPr="000F23E0">
        <w:t>the Australian Government committing $5.2 billion.</w:t>
      </w:r>
    </w:p>
    <w:p w14:paraId="3295BBA8" w14:textId="2A3FBD9A" w:rsidR="002201B5" w:rsidRPr="000F23E0" w:rsidRDefault="0079347A" w:rsidP="0048145F">
      <w:pPr>
        <w:pStyle w:val="Bullet"/>
      </w:pPr>
      <w:r w:rsidRPr="000F23E0">
        <w:t>The METRONET package of works is co</w:t>
      </w:r>
      <w:r w:rsidR="002C4475" w:rsidRPr="000F23E0">
        <w:noBreakHyphen/>
      </w:r>
      <w:r w:rsidRPr="000F23E0">
        <w:t>funded with the Western Australian Government. The</w:t>
      </w:r>
      <w:r w:rsidR="008657A5" w:rsidRPr="000F23E0">
        <w:t> </w:t>
      </w:r>
      <w:r w:rsidRPr="000F23E0">
        <w:t>Australian Government has committed $</w:t>
      </w:r>
      <w:r w:rsidR="00E17B2B" w:rsidRPr="000F23E0">
        <w:t>4</w:t>
      </w:r>
      <w:r w:rsidRPr="000F23E0">
        <w:t>.</w:t>
      </w:r>
      <w:r w:rsidR="00E17B2B" w:rsidRPr="000F23E0">
        <w:t>2</w:t>
      </w:r>
      <w:r w:rsidRPr="000F23E0">
        <w:t xml:space="preserve"> billion to the </w:t>
      </w:r>
      <w:r w:rsidR="00731F0A" w:rsidRPr="000F23E0">
        <w:t xml:space="preserve">5 </w:t>
      </w:r>
      <w:r w:rsidRPr="000F23E0">
        <w:t>selected initiatives, with the Western Australia Government committing $</w:t>
      </w:r>
      <w:r w:rsidR="00977970" w:rsidRPr="000F23E0">
        <w:t>4</w:t>
      </w:r>
      <w:r w:rsidRPr="000F23E0">
        <w:t>.</w:t>
      </w:r>
      <w:r w:rsidR="00977970" w:rsidRPr="000F23E0">
        <w:t>2</w:t>
      </w:r>
      <w:r w:rsidRPr="000F23E0">
        <w:t xml:space="preserve"> billion. </w:t>
      </w:r>
    </w:p>
    <w:p w14:paraId="7D6E9DC0" w14:textId="6A74D87A" w:rsidR="0079347A" w:rsidRPr="000F23E0" w:rsidRDefault="00CE44D1" w:rsidP="0048145F">
      <w:pPr>
        <w:pStyle w:val="Dash"/>
      </w:pPr>
      <w:r w:rsidRPr="000F23E0">
        <w:t>Western Australian Government contributions to METRONET may be financed through Western Australia Treasury Corporation Green Bonds.</w:t>
      </w:r>
      <w:r w:rsidR="00A77D61" w:rsidRPr="000F23E0">
        <w:t xml:space="preserve"> </w:t>
      </w:r>
      <w:r w:rsidR="0079347A" w:rsidRPr="000F23E0">
        <w:t>Further information on Western Australia Treasury Corporation Green Bonds</w:t>
      </w:r>
      <w:r w:rsidR="002C4475" w:rsidRPr="000F23E0">
        <w:t>’</w:t>
      </w:r>
      <w:r w:rsidR="0079347A" w:rsidRPr="000F23E0">
        <w:t xml:space="preserve"> contribution to this project can be found in the Sustainability Bond </w:t>
      </w:r>
      <w:r w:rsidRPr="000F23E0">
        <w:t>Framework</w:t>
      </w:r>
      <w:r w:rsidR="0079347A" w:rsidRPr="000F23E0">
        <w:t xml:space="preserve"> Annual Report.</w:t>
      </w:r>
    </w:p>
    <w:p w14:paraId="799C4D89" w14:textId="468C6B50" w:rsidR="005F6CE0" w:rsidRPr="000F23E0" w:rsidRDefault="005F6CE0" w:rsidP="0048145F">
      <w:pPr>
        <w:pStyle w:val="Bullet"/>
      </w:pPr>
      <w:r w:rsidRPr="000F23E0">
        <w:t>Gold Coast Light Rail Stage 3 is co</w:t>
      </w:r>
      <w:r w:rsidR="002C4475" w:rsidRPr="000F23E0">
        <w:noBreakHyphen/>
      </w:r>
      <w:r w:rsidRPr="000F23E0">
        <w:t>funded with the Queensland Government and City of Gold Coast local government. The Australian Government has committed $395.6 million, the Queensland Government $1.0</w:t>
      </w:r>
      <w:r w:rsidR="008657A5" w:rsidRPr="000F23E0">
        <w:t> </w:t>
      </w:r>
      <w:r w:rsidRPr="000F23E0">
        <w:t>billion, and th</w:t>
      </w:r>
      <w:r w:rsidR="00A01571" w:rsidRPr="000F23E0">
        <w:t>e</w:t>
      </w:r>
      <w:r w:rsidRPr="000F23E0">
        <w:t xml:space="preserve"> City of Gold Coast has committed $110.1 million – totalling $1.5</w:t>
      </w:r>
      <w:r w:rsidR="0048145F" w:rsidRPr="000F23E0">
        <w:t> </w:t>
      </w:r>
      <w:r w:rsidRPr="000F23E0">
        <w:t xml:space="preserve">billion. </w:t>
      </w:r>
    </w:p>
    <w:p w14:paraId="7C5789E3" w14:textId="27E57EDC" w:rsidR="005F6CE0" w:rsidRPr="000F23E0" w:rsidRDefault="005F6CE0" w:rsidP="0048145F">
      <w:pPr>
        <w:pStyle w:val="Dash"/>
      </w:pPr>
      <w:r w:rsidRPr="000F23E0">
        <w:t>Queensland Government contributions to this project are financed through Queensland Treasury Corporation green bonds. Further information on Queensland Treasury Corporation Green Bonds</w:t>
      </w:r>
      <w:r w:rsidR="002C4475" w:rsidRPr="000F23E0">
        <w:t>’</w:t>
      </w:r>
      <w:r w:rsidRPr="000F23E0">
        <w:t xml:space="preserve"> contribution to this project can be found in the Queensland Treasury Corporation </w:t>
      </w:r>
      <w:hyperlink r:id="rId64" w:history="1">
        <w:r w:rsidRPr="000F23E0">
          <w:rPr>
            <w:rStyle w:val="Hyperlink"/>
          </w:rPr>
          <w:t>Green Bond Annual Report 202</w:t>
        </w:r>
        <w:r w:rsidR="004B6BEB" w:rsidRPr="000F23E0">
          <w:rPr>
            <w:rStyle w:val="Hyperlink"/>
          </w:rPr>
          <w:t>5</w:t>
        </w:r>
      </w:hyperlink>
      <w:r w:rsidRPr="000F23E0">
        <w:t>.</w:t>
      </w:r>
    </w:p>
    <w:p w14:paraId="17A6B8A0" w14:textId="7949CD4D" w:rsidR="0079347A" w:rsidRPr="000F23E0" w:rsidRDefault="0079347A" w:rsidP="0048145F">
      <w:pPr>
        <w:pStyle w:val="Bullet"/>
      </w:pPr>
      <w:r w:rsidRPr="000F23E0">
        <w:t>The Canberra Light Rail Stage 2A is being co</w:t>
      </w:r>
      <w:r w:rsidR="002C4475" w:rsidRPr="000F23E0">
        <w:noBreakHyphen/>
      </w:r>
      <w:r w:rsidRPr="000F23E0">
        <w:t>funded with the Australian Capital Territory Government. The funding will be split equally across the Australian Government and the ACT</w:t>
      </w:r>
      <w:r w:rsidR="008657A5" w:rsidRPr="000F23E0">
        <w:t> </w:t>
      </w:r>
      <w:r w:rsidRPr="000F23E0">
        <w:t>Government, with each committing $343.9 million to the project.</w:t>
      </w:r>
    </w:p>
    <w:p w14:paraId="5CAECAE7" w14:textId="4512358A" w:rsidR="0079347A" w:rsidRPr="000F23E0" w:rsidRDefault="0079347A" w:rsidP="00F55854">
      <w:pPr>
        <w:pStyle w:val="Heading4"/>
      </w:pPr>
      <w:r w:rsidRPr="000F23E0">
        <w:t xml:space="preserve">Material </w:t>
      </w:r>
      <w:r w:rsidR="006B1D65" w:rsidRPr="000F23E0">
        <w:t>r</w:t>
      </w:r>
      <w:r w:rsidRPr="000F23E0">
        <w:t>isks</w:t>
      </w:r>
    </w:p>
    <w:p w14:paraId="02F45230" w14:textId="1464E1CE" w:rsidR="009F361E" w:rsidRPr="000F23E0" w:rsidRDefault="0079347A" w:rsidP="005B5C44">
      <w:r w:rsidRPr="000F23E0">
        <w:t xml:space="preserve">No material risks have been identified for the </w:t>
      </w:r>
      <w:r w:rsidR="00FD3F58" w:rsidRPr="000F23E0">
        <w:t xml:space="preserve">electric rail infrastructure projects </w:t>
      </w:r>
      <w:r w:rsidRPr="000F23E0">
        <w:t>financed through</w:t>
      </w:r>
      <w:r w:rsidR="00FD3F58" w:rsidRPr="000F23E0">
        <w:t> </w:t>
      </w:r>
      <w:r w:rsidR="00611CEF" w:rsidRPr="000F23E0">
        <w:t>GTB</w:t>
      </w:r>
      <w:r w:rsidRPr="000F23E0">
        <w:t>s.</w:t>
      </w:r>
    </w:p>
    <w:p w14:paraId="38AAF3D5" w14:textId="5220F5FF" w:rsidR="0079347A" w:rsidRPr="000F23E0" w:rsidRDefault="0079347A" w:rsidP="005B5C44">
      <w:r w:rsidRPr="000F23E0">
        <w:t>A</w:t>
      </w:r>
      <w:r w:rsidR="001F7A30" w:rsidRPr="000F23E0">
        <w:t>ll electric rail project</w:t>
      </w:r>
      <w:r w:rsidRPr="000F23E0">
        <w:t xml:space="preserve">s </w:t>
      </w:r>
      <w:r w:rsidR="001F7A30" w:rsidRPr="000F23E0">
        <w:t xml:space="preserve">have commenced construction. </w:t>
      </w:r>
      <w:r w:rsidRPr="000F23E0">
        <w:t>As with all large</w:t>
      </w:r>
      <w:r w:rsidR="002C4475" w:rsidRPr="000F23E0">
        <w:noBreakHyphen/>
      </w:r>
      <w:r w:rsidRPr="000F23E0">
        <w:t xml:space="preserve">scale infrastructure projects, funding for these projects may change in </w:t>
      </w:r>
      <w:r w:rsidR="00D319F9" w:rsidRPr="000F23E0">
        <w:t xml:space="preserve">the </w:t>
      </w:r>
      <w:r w:rsidRPr="000F23E0">
        <w:t>future to align with construction market conditions and project delivery timeframes.</w:t>
      </w:r>
      <w:r w:rsidR="00543175" w:rsidRPr="000F23E0">
        <w:t xml:space="preserve"> Should cost pressures be realised,</w:t>
      </w:r>
      <w:r w:rsidR="007E03A0" w:rsidRPr="000F23E0">
        <w:t xml:space="preserve"> committing additional </w:t>
      </w:r>
      <w:r w:rsidR="002F22A0" w:rsidRPr="000F23E0">
        <w:t xml:space="preserve">funding would be </w:t>
      </w:r>
      <w:r w:rsidR="00B2621E" w:rsidRPr="000F23E0">
        <w:t>a matter for</w:t>
      </w:r>
      <w:r w:rsidR="00D738A8" w:rsidRPr="000F23E0">
        <w:t xml:space="preserve"> </w:t>
      </w:r>
      <w:r w:rsidR="00543175" w:rsidRPr="000F23E0">
        <w:t>the Australian Government to consider</w:t>
      </w:r>
      <w:r w:rsidR="00A00201" w:rsidRPr="000F23E0">
        <w:t>.</w:t>
      </w:r>
    </w:p>
    <w:p w14:paraId="11590C25" w14:textId="2F335ECC" w:rsidR="0079347A" w:rsidRPr="000F23E0" w:rsidRDefault="0079347A" w:rsidP="008657A5">
      <w:pPr>
        <w:pStyle w:val="Heading3"/>
        <w:keepLines/>
      </w:pPr>
      <w:r w:rsidRPr="000F23E0">
        <w:lastRenderedPageBreak/>
        <w:t xml:space="preserve">Project </w:t>
      </w:r>
      <w:r w:rsidR="006B1D65" w:rsidRPr="000F23E0">
        <w:t>i</w:t>
      </w:r>
      <w:r w:rsidRPr="000F23E0">
        <w:t>mpacts</w:t>
      </w:r>
    </w:p>
    <w:p w14:paraId="2033B226" w14:textId="7B671940" w:rsidR="0079347A" w:rsidRPr="000F23E0" w:rsidRDefault="0079347A" w:rsidP="008657A5">
      <w:pPr>
        <w:keepNext/>
        <w:keepLines/>
      </w:pPr>
      <w:r w:rsidRPr="000F23E0">
        <w:t xml:space="preserve">Electric rail projects financed through </w:t>
      </w:r>
      <w:r w:rsidR="00611CEF" w:rsidRPr="000F23E0">
        <w:t>GTB</w:t>
      </w:r>
      <w:r w:rsidRPr="000F23E0">
        <w:t xml:space="preserve">s are expected to build or upgrade </w:t>
      </w:r>
      <w:r w:rsidRPr="000F23E0">
        <w:rPr>
          <w:rStyle w:val="Hyperlink"/>
          <w:color w:val="auto"/>
          <w:u w:val="none"/>
        </w:rPr>
        <w:t>103.4</w:t>
      </w:r>
      <w:r w:rsidRPr="000F23E0">
        <w:t> km of rail (</w:t>
      </w:r>
      <w:r w:rsidR="005B5697" w:rsidRPr="000F23E0">
        <w:t>Table 22</w:t>
      </w:r>
      <w:r w:rsidRPr="000F23E0">
        <w:t xml:space="preserve">). </w:t>
      </w:r>
    </w:p>
    <w:p w14:paraId="7A4612F3" w14:textId="02F1A292" w:rsidR="0079347A" w:rsidRPr="000F23E0" w:rsidRDefault="0079347A" w:rsidP="008657A5">
      <w:pPr>
        <w:keepNext/>
        <w:keepLines/>
      </w:pPr>
      <w:r w:rsidRPr="000F23E0">
        <w:t xml:space="preserve">Emissions avoided projections are not available for electric rail projects. </w:t>
      </w:r>
      <w:r w:rsidR="002367F6" w:rsidRPr="000F23E0">
        <w:t>S</w:t>
      </w:r>
      <w:r w:rsidRPr="000F23E0">
        <w:t xml:space="preserve">tate and territory operators may publish emission data and passenger numbers for those projects. Future Allocation and Impact Reports may report operational emissions and passenger data (where available) for rail projects financed through </w:t>
      </w:r>
      <w:r w:rsidR="00611CEF" w:rsidRPr="000F23E0">
        <w:t>GTB</w:t>
      </w:r>
      <w:r w:rsidRPr="000F23E0">
        <w:t>s.</w:t>
      </w:r>
    </w:p>
    <w:p w14:paraId="0F7201E4" w14:textId="1100504C" w:rsidR="0079347A" w:rsidRPr="000F23E0" w:rsidRDefault="0079347A" w:rsidP="00551F72">
      <w:pPr>
        <w:pStyle w:val="TableMainHeading"/>
        <w:rPr>
          <w:rStyle w:val="Strong"/>
          <w:b/>
        </w:rPr>
      </w:pPr>
      <w:bookmarkStart w:id="212" w:name="_Toc220662882"/>
      <w:bookmarkStart w:id="213" w:name="_Toc224637821"/>
      <w:bookmarkStart w:id="214" w:name="_Toc224642485"/>
      <w:bookmarkStart w:id="215" w:name="_Toc225153461"/>
      <w:bookmarkStart w:id="216" w:name="_Toc225154507"/>
      <w:bookmarkStart w:id="217" w:name="_Toc225155772"/>
      <w:r w:rsidRPr="000F23E0">
        <w:t xml:space="preserve">Table </w:t>
      </w:r>
      <w:r w:rsidR="00EA63A3" w:rsidRPr="000F23E0">
        <w:t>22</w:t>
      </w:r>
      <w:r w:rsidR="00627058" w:rsidRPr="000F23E0">
        <w:t>:</w:t>
      </w:r>
      <w:r w:rsidRPr="000F23E0">
        <w:rPr>
          <w:rStyle w:val="Strong"/>
          <w:b/>
        </w:rPr>
        <w:t xml:space="preserve"> Impact Data for Electric Rail Infrastructure Investments</w:t>
      </w:r>
      <w:bookmarkEnd w:id="212"/>
      <w:bookmarkEnd w:id="213"/>
      <w:bookmarkEnd w:id="214"/>
      <w:bookmarkEnd w:id="215"/>
      <w:bookmarkEnd w:id="216"/>
      <w:bookmarkEnd w:id="217"/>
    </w:p>
    <w:tbl>
      <w:tblPr>
        <w:tblStyle w:val="GridTable4-Accent2"/>
        <w:tblW w:w="5000" w:type="pct"/>
        <w:tblInd w:w="5" w:type="dxa"/>
        <w:tblBorders>
          <w:top w:val="single" w:sz="4" w:space="0" w:color="DFA795"/>
          <w:bottom w:val="single" w:sz="4" w:space="0" w:color="DFA795"/>
          <w:insideH w:val="single" w:sz="4" w:space="0" w:color="DFA795"/>
        </w:tblBorders>
        <w:tblLook w:val="04A0" w:firstRow="1" w:lastRow="0" w:firstColumn="1" w:lastColumn="0" w:noHBand="0" w:noVBand="1"/>
      </w:tblPr>
      <w:tblGrid>
        <w:gridCol w:w="1814"/>
        <w:gridCol w:w="3143"/>
        <w:gridCol w:w="1134"/>
        <w:gridCol w:w="1842"/>
        <w:gridCol w:w="1137"/>
      </w:tblGrid>
      <w:tr w:rsidR="00951D8A" w:rsidRPr="000F23E0" w14:paraId="7B61C800" w14:textId="77777777" w:rsidTr="008657A5">
        <w:trPr>
          <w:cnfStyle w:val="100000000000" w:firstRow="1" w:lastRow="0" w:firstColumn="0" w:lastColumn="0" w:oddVBand="0" w:evenVBand="0" w:oddHBand="0"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1814" w:type="dxa"/>
            <w:shd w:val="clear" w:color="auto" w:fill="F1D0C6"/>
          </w:tcPr>
          <w:p w14:paraId="23BF4366" w14:textId="77777777" w:rsidR="0079347A" w:rsidRPr="000F23E0" w:rsidRDefault="0079347A" w:rsidP="00CD728D">
            <w:pPr>
              <w:pStyle w:val="TableColumnHeadingLeft"/>
              <w:rPr>
                <w:b/>
                <w:bCs w:val="0"/>
              </w:rPr>
            </w:pPr>
            <w:r w:rsidRPr="000F23E0">
              <w:rPr>
                <w:b/>
                <w:bCs w:val="0"/>
              </w:rPr>
              <w:t>Metric</w:t>
            </w:r>
          </w:p>
        </w:tc>
        <w:tc>
          <w:tcPr>
            <w:tcW w:w="3143" w:type="dxa"/>
            <w:shd w:val="clear" w:color="auto" w:fill="F1D0C6"/>
          </w:tcPr>
          <w:p w14:paraId="7B89630A" w14:textId="77777777" w:rsidR="0079347A" w:rsidRPr="000F23E0" w:rsidRDefault="0079347A" w:rsidP="00CD728D">
            <w:pPr>
              <w:pStyle w:val="TableColumnHeadingLeft"/>
              <w:cnfStyle w:val="100000000000" w:firstRow="1" w:lastRow="0" w:firstColumn="0" w:lastColumn="0" w:oddVBand="0" w:evenVBand="0" w:oddHBand="0" w:evenHBand="0" w:firstRowFirstColumn="0" w:firstRowLastColumn="0" w:lastRowFirstColumn="0" w:lastRowLastColumn="0"/>
              <w:rPr>
                <w:b/>
                <w:bCs w:val="0"/>
              </w:rPr>
            </w:pPr>
            <w:r w:rsidRPr="000F23E0">
              <w:rPr>
                <w:b/>
                <w:bCs w:val="0"/>
              </w:rPr>
              <w:t>Projects</w:t>
            </w:r>
          </w:p>
        </w:tc>
        <w:tc>
          <w:tcPr>
            <w:tcW w:w="1134" w:type="dxa"/>
            <w:shd w:val="clear" w:color="auto" w:fill="F1D0C6"/>
          </w:tcPr>
          <w:p w14:paraId="60A95F4E" w14:textId="77777777" w:rsidR="0079347A" w:rsidRPr="000F23E0" w:rsidRDefault="0079347A" w:rsidP="00CD728D">
            <w:pPr>
              <w:pStyle w:val="TableColumnHeadingRight"/>
              <w:cnfStyle w:val="100000000000" w:firstRow="1" w:lastRow="0" w:firstColumn="0" w:lastColumn="0" w:oddVBand="0" w:evenVBand="0" w:oddHBand="0" w:evenHBand="0" w:firstRowFirstColumn="0" w:firstRowLastColumn="0" w:lastRowFirstColumn="0" w:lastRowLastColumn="0"/>
              <w:rPr>
                <w:b/>
                <w:bCs w:val="0"/>
              </w:rPr>
            </w:pPr>
            <w:r w:rsidRPr="000F23E0">
              <w:rPr>
                <w:b/>
                <w:bCs w:val="0"/>
              </w:rPr>
              <w:t>Impact Data</w:t>
            </w:r>
          </w:p>
        </w:tc>
        <w:tc>
          <w:tcPr>
            <w:tcW w:w="1842" w:type="dxa"/>
            <w:shd w:val="clear" w:color="auto" w:fill="F1D0C6"/>
          </w:tcPr>
          <w:p w14:paraId="5CBA2A19" w14:textId="77777777" w:rsidR="0079347A" w:rsidRPr="000F23E0" w:rsidRDefault="0079347A" w:rsidP="00CD728D">
            <w:pPr>
              <w:pStyle w:val="TableColumnHeadingRight"/>
              <w:cnfStyle w:val="100000000000" w:firstRow="1" w:lastRow="0" w:firstColumn="0" w:lastColumn="0" w:oddVBand="0" w:evenVBand="0" w:oddHBand="0" w:evenHBand="0" w:firstRowFirstColumn="0" w:firstRowLastColumn="0" w:lastRowFirstColumn="0" w:lastRowLastColumn="0"/>
              <w:rPr>
                <w:b/>
                <w:bCs w:val="0"/>
              </w:rPr>
            </w:pPr>
            <w:r w:rsidRPr="000F23E0">
              <w:rPr>
                <w:b/>
                <w:bCs w:val="0"/>
              </w:rPr>
              <w:t>Recorded/ Projected</w:t>
            </w:r>
          </w:p>
        </w:tc>
        <w:tc>
          <w:tcPr>
            <w:tcW w:w="1137" w:type="dxa"/>
            <w:shd w:val="clear" w:color="auto" w:fill="F1D0C6"/>
          </w:tcPr>
          <w:p w14:paraId="6CEDD719" w14:textId="77777777" w:rsidR="0079347A" w:rsidRPr="000F23E0" w:rsidRDefault="0079347A" w:rsidP="00CD728D">
            <w:pPr>
              <w:pStyle w:val="TableColumnHeadingRight"/>
              <w:cnfStyle w:val="100000000000" w:firstRow="1" w:lastRow="0" w:firstColumn="0" w:lastColumn="0" w:oddVBand="0" w:evenVBand="0" w:oddHBand="0" w:evenHBand="0" w:firstRowFirstColumn="0" w:firstRowLastColumn="0" w:lastRowFirstColumn="0" w:lastRowLastColumn="0"/>
              <w:rPr>
                <w:b/>
                <w:bCs w:val="0"/>
              </w:rPr>
            </w:pPr>
            <w:r w:rsidRPr="000F23E0">
              <w:rPr>
                <w:b/>
                <w:bCs w:val="0"/>
              </w:rPr>
              <w:t>Time Period</w:t>
            </w:r>
          </w:p>
        </w:tc>
      </w:tr>
      <w:tr w:rsidR="00BC6E45" w:rsidRPr="000F23E0" w14:paraId="5035EE2A" w14:textId="77777777" w:rsidTr="008657A5">
        <w:trPr>
          <w:trHeight w:val="199"/>
        </w:trPr>
        <w:tc>
          <w:tcPr>
            <w:cnfStyle w:val="001000000000" w:firstRow="0" w:lastRow="0" w:firstColumn="1" w:lastColumn="0" w:oddVBand="0" w:evenVBand="0" w:oddHBand="0" w:evenHBand="0" w:firstRowFirstColumn="0" w:firstRowLastColumn="0" w:lastRowFirstColumn="0" w:lastRowLastColumn="0"/>
            <w:tcW w:w="1814" w:type="dxa"/>
            <w:vMerge w:val="restart"/>
            <w:shd w:val="clear" w:color="auto" w:fill="FDF0E7"/>
          </w:tcPr>
          <w:p w14:paraId="714293D2" w14:textId="77777777" w:rsidR="0079347A" w:rsidRPr="000F23E0" w:rsidRDefault="0079347A" w:rsidP="00EA63A3">
            <w:pPr>
              <w:pStyle w:val="TableTextLeft"/>
              <w:spacing w:before="120" w:after="120"/>
              <w:rPr>
                <w:b/>
                <w:bCs w:val="0"/>
              </w:rPr>
            </w:pPr>
            <w:r w:rsidRPr="000F23E0">
              <w:rPr>
                <w:b/>
                <w:bCs w:val="0"/>
              </w:rPr>
              <w:t>Anticipated km of rail built or upgraded</w:t>
            </w:r>
          </w:p>
        </w:tc>
        <w:tc>
          <w:tcPr>
            <w:tcW w:w="3143" w:type="dxa"/>
            <w:shd w:val="clear" w:color="auto" w:fill="FEFAF8"/>
          </w:tcPr>
          <w:p w14:paraId="222DC7D1" w14:textId="77777777" w:rsidR="0079347A" w:rsidRPr="000F23E0" w:rsidRDefault="0079347A" w:rsidP="00B778E8">
            <w:pPr>
              <w:pStyle w:val="TableTextLeft"/>
              <w:cnfStyle w:val="000000000000" w:firstRow="0" w:lastRow="0" w:firstColumn="0" w:lastColumn="0" w:oddVBand="0" w:evenVBand="0" w:oddHBand="0" w:evenHBand="0" w:firstRowFirstColumn="0" w:firstRowLastColumn="0" w:lastRowFirstColumn="0" w:lastRowLastColumn="0"/>
            </w:pPr>
            <w:r w:rsidRPr="000F23E0">
              <w:t>Sydney Metro – Western Sydney Airport</w:t>
            </w:r>
          </w:p>
        </w:tc>
        <w:tc>
          <w:tcPr>
            <w:tcW w:w="1134" w:type="dxa"/>
            <w:shd w:val="clear" w:color="auto" w:fill="FEFAF8"/>
          </w:tcPr>
          <w:p w14:paraId="51575F63" w14:textId="77777777" w:rsidR="0079347A" w:rsidRPr="000F23E0" w:rsidRDefault="0079347A" w:rsidP="00B778E8">
            <w:pPr>
              <w:pStyle w:val="TableTextRight"/>
              <w:cnfStyle w:val="000000000000" w:firstRow="0" w:lastRow="0" w:firstColumn="0" w:lastColumn="0" w:oddVBand="0" w:evenVBand="0" w:oddHBand="0" w:evenHBand="0" w:firstRowFirstColumn="0" w:firstRowLastColumn="0" w:lastRowFirstColumn="0" w:lastRowLastColumn="0"/>
            </w:pPr>
            <w:r w:rsidRPr="000F23E0">
              <w:t>23.0</w:t>
            </w:r>
            <w:r w:rsidRPr="000F23E0">
              <w:rPr>
                <w:rStyle w:val="EndnoteReference"/>
              </w:rPr>
              <w:endnoteReference w:id="55"/>
            </w:r>
          </w:p>
        </w:tc>
        <w:tc>
          <w:tcPr>
            <w:tcW w:w="1842" w:type="dxa"/>
            <w:shd w:val="clear" w:color="auto" w:fill="FEFAF8"/>
          </w:tcPr>
          <w:p w14:paraId="1FF3373A" w14:textId="77777777" w:rsidR="0079347A" w:rsidRPr="000F23E0" w:rsidRDefault="0079347A" w:rsidP="00B778E8">
            <w:pPr>
              <w:pStyle w:val="TableTextRight"/>
              <w:cnfStyle w:val="000000000000" w:firstRow="0" w:lastRow="0" w:firstColumn="0" w:lastColumn="0" w:oddVBand="0" w:evenVBand="0" w:oddHBand="0" w:evenHBand="0" w:firstRowFirstColumn="0" w:firstRowLastColumn="0" w:lastRowFirstColumn="0" w:lastRowLastColumn="0"/>
            </w:pPr>
            <w:r w:rsidRPr="000F23E0">
              <w:t>Projected</w:t>
            </w:r>
          </w:p>
        </w:tc>
        <w:tc>
          <w:tcPr>
            <w:tcW w:w="1137" w:type="dxa"/>
            <w:shd w:val="clear" w:color="auto" w:fill="FEFAF8"/>
          </w:tcPr>
          <w:p w14:paraId="509A72E0" w14:textId="77777777" w:rsidR="0079347A" w:rsidRPr="000F23E0" w:rsidRDefault="0079347A" w:rsidP="00B778E8">
            <w:pPr>
              <w:pStyle w:val="TableTextRight"/>
              <w:cnfStyle w:val="000000000000" w:firstRow="0" w:lastRow="0" w:firstColumn="0" w:lastColumn="0" w:oddVBand="0" w:evenVBand="0" w:oddHBand="0" w:evenHBand="0" w:firstRowFirstColumn="0" w:firstRowLastColumn="0" w:lastRowFirstColumn="0" w:lastRowLastColumn="0"/>
            </w:pPr>
            <w:r w:rsidRPr="000F23E0">
              <w:t>2020–26</w:t>
            </w:r>
          </w:p>
        </w:tc>
      </w:tr>
      <w:tr w:rsidR="0083666E" w:rsidRPr="000F23E0" w14:paraId="71E27E0C" w14:textId="77777777" w:rsidTr="008657A5">
        <w:trPr>
          <w:trHeight w:val="77"/>
        </w:trPr>
        <w:tc>
          <w:tcPr>
            <w:cnfStyle w:val="001000000000" w:firstRow="0" w:lastRow="0" w:firstColumn="1" w:lastColumn="0" w:oddVBand="0" w:evenVBand="0" w:oddHBand="0" w:evenHBand="0" w:firstRowFirstColumn="0" w:firstRowLastColumn="0" w:lastRowFirstColumn="0" w:lastRowLastColumn="0"/>
            <w:tcW w:w="1814" w:type="dxa"/>
            <w:vMerge/>
            <w:shd w:val="clear" w:color="auto" w:fill="FDF0E7"/>
          </w:tcPr>
          <w:p w14:paraId="3FFEA596" w14:textId="77777777" w:rsidR="0079347A" w:rsidRPr="000F23E0" w:rsidRDefault="0079347A" w:rsidP="00EA63A3">
            <w:pPr>
              <w:pStyle w:val="TableTextLeft"/>
              <w:spacing w:before="120" w:after="120"/>
            </w:pPr>
          </w:p>
        </w:tc>
        <w:tc>
          <w:tcPr>
            <w:tcW w:w="3143" w:type="dxa"/>
            <w:shd w:val="clear" w:color="auto" w:fill="FEFAF8"/>
          </w:tcPr>
          <w:p w14:paraId="27234DA6" w14:textId="77777777" w:rsidR="0079347A" w:rsidRPr="000F23E0" w:rsidRDefault="0079347A" w:rsidP="00B778E8">
            <w:pPr>
              <w:pStyle w:val="TableTextLeft"/>
              <w:cnfStyle w:val="000000000000" w:firstRow="0" w:lastRow="0" w:firstColumn="0" w:lastColumn="0" w:oddVBand="0" w:evenVBand="0" w:oddHBand="0" w:evenHBand="0" w:firstRowFirstColumn="0" w:firstRowLastColumn="0" w:lastRowFirstColumn="0" w:lastRowLastColumn="0"/>
            </w:pPr>
            <w:r w:rsidRPr="000F23E0">
              <w:t>METRONET</w:t>
            </w:r>
          </w:p>
        </w:tc>
        <w:tc>
          <w:tcPr>
            <w:tcW w:w="1134" w:type="dxa"/>
            <w:shd w:val="clear" w:color="auto" w:fill="FEFAF8"/>
          </w:tcPr>
          <w:p w14:paraId="1066B133" w14:textId="77777777" w:rsidR="0079347A" w:rsidRPr="000F23E0" w:rsidRDefault="0079347A" w:rsidP="00B778E8">
            <w:pPr>
              <w:pStyle w:val="TableTextRight"/>
              <w:cnfStyle w:val="000000000000" w:firstRow="0" w:lastRow="0" w:firstColumn="0" w:lastColumn="0" w:oddVBand="0" w:evenVBand="0" w:oddHBand="0" w:evenHBand="0" w:firstRowFirstColumn="0" w:firstRowLastColumn="0" w:lastRowFirstColumn="0" w:lastRowLastColumn="0"/>
            </w:pPr>
            <w:r w:rsidRPr="000F23E0">
              <w:t>72.0</w:t>
            </w:r>
          </w:p>
        </w:tc>
        <w:tc>
          <w:tcPr>
            <w:tcW w:w="1842" w:type="dxa"/>
            <w:shd w:val="clear" w:color="auto" w:fill="FEFAF8"/>
          </w:tcPr>
          <w:p w14:paraId="4EA8A77A" w14:textId="78E47998" w:rsidR="0079347A" w:rsidRPr="000F23E0" w:rsidRDefault="00214359" w:rsidP="00B778E8">
            <w:pPr>
              <w:pStyle w:val="TableTextRight"/>
              <w:cnfStyle w:val="000000000000" w:firstRow="0" w:lastRow="0" w:firstColumn="0" w:lastColumn="0" w:oddVBand="0" w:evenVBand="0" w:oddHBand="0" w:evenHBand="0" w:firstRowFirstColumn="0" w:firstRowLastColumn="0" w:lastRowFirstColumn="0" w:lastRowLastColumn="0"/>
            </w:pPr>
            <w:r w:rsidRPr="000F23E0">
              <w:t>Recorded</w:t>
            </w:r>
          </w:p>
        </w:tc>
        <w:tc>
          <w:tcPr>
            <w:tcW w:w="1137" w:type="dxa"/>
            <w:shd w:val="clear" w:color="auto" w:fill="FEFAF8"/>
          </w:tcPr>
          <w:p w14:paraId="372DC4C5" w14:textId="0732DC0A" w:rsidR="0079347A" w:rsidRPr="000F23E0" w:rsidRDefault="0079347A" w:rsidP="00B778E8">
            <w:pPr>
              <w:pStyle w:val="TableTextRight"/>
              <w:cnfStyle w:val="000000000000" w:firstRow="0" w:lastRow="0" w:firstColumn="0" w:lastColumn="0" w:oddVBand="0" w:evenVBand="0" w:oddHBand="0" w:evenHBand="0" w:firstRowFirstColumn="0" w:firstRowLastColumn="0" w:lastRowFirstColumn="0" w:lastRowLastColumn="0"/>
            </w:pPr>
            <w:r w:rsidRPr="000F23E0">
              <w:t>2018–2</w:t>
            </w:r>
            <w:r w:rsidR="0009636A" w:rsidRPr="000F23E0">
              <w:t>5</w:t>
            </w:r>
          </w:p>
        </w:tc>
      </w:tr>
      <w:tr w:rsidR="00BC6E45" w:rsidRPr="000F23E0" w14:paraId="5846D8C0" w14:textId="77777777" w:rsidTr="008657A5">
        <w:trPr>
          <w:trHeight w:val="199"/>
        </w:trPr>
        <w:tc>
          <w:tcPr>
            <w:cnfStyle w:val="001000000000" w:firstRow="0" w:lastRow="0" w:firstColumn="1" w:lastColumn="0" w:oddVBand="0" w:evenVBand="0" w:oddHBand="0" w:evenHBand="0" w:firstRowFirstColumn="0" w:firstRowLastColumn="0" w:lastRowFirstColumn="0" w:lastRowLastColumn="0"/>
            <w:tcW w:w="1814" w:type="dxa"/>
            <w:vMerge/>
            <w:shd w:val="clear" w:color="auto" w:fill="FDF0E7"/>
          </w:tcPr>
          <w:p w14:paraId="190A9350" w14:textId="77777777" w:rsidR="0079347A" w:rsidRPr="000F23E0" w:rsidRDefault="0079347A" w:rsidP="00EA63A3">
            <w:pPr>
              <w:pStyle w:val="TableTextLeft"/>
              <w:spacing w:before="120" w:after="120"/>
            </w:pPr>
          </w:p>
        </w:tc>
        <w:tc>
          <w:tcPr>
            <w:tcW w:w="3143" w:type="dxa"/>
            <w:shd w:val="clear" w:color="auto" w:fill="FEFAF8"/>
          </w:tcPr>
          <w:p w14:paraId="45C22EC4" w14:textId="032B895D" w:rsidR="0079347A" w:rsidRPr="000F23E0" w:rsidRDefault="0079347A" w:rsidP="00B778E8">
            <w:pPr>
              <w:pStyle w:val="TableTextLeft"/>
              <w:cnfStyle w:val="000000000000" w:firstRow="0" w:lastRow="0" w:firstColumn="0" w:lastColumn="0" w:oddVBand="0" w:evenVBand="0" w:oddHBand="0" w:evenHBand="0" w:firstRowFirstColumn="0" w:firstRowLastColumn="0" w:lastRowFirstColumn="0" w:lastRowLastColumn="0"/>
            </w:pPr>
            <w:r w:rsidRPr="000F23E0">
              <w:t>Gold Coast Light Rail</w:t>
            </w:r>
          </w:p>
        </w:tc>
        <w:tc>
          <w:tcPr>
            <w:tcW w:w="1134" w:type="dxa"/>
            <w:shd w:val="clear" w:color="auto" w:fill="FEFAF8"/>
          </w:tcPr>
          <w:p w14:paraId="4588F2B7" w14:textId="77777777" w:rsidR="0079347A" w:rsidRPr="000F23E0" w:rsidRDefault="0079347A" w:rsidP="00B778E8">
            <w:pPr>
              <w:pStyle w:val="TableTextRight"/>
              <w:cnfStyle w:val="000000000000" w:firstRow="0" w:lastRow="0" w:firstColumn="0" w:lastColumn="0" w:oddVBand="0" w:evenVBand="0" w:oddHBand="0" w:evenHBand="0" w:firstRowFirstColumn="0" w:firstRowLastColumn="0" w:lastRowFirstColumn="0" w:lastRowLastColumn="0"/>
            </w:pPr>
            <w:r w:rsidRPr="000F23E0">
              <w:t>6.7</w:t>
            </w:r>
            <w:r w:rsidRPr="000F23E0">
              <w:rPr>
                <w:rStyle w:val="EndnoteReference"/>
              </w:rPr>
              <w:endnoteReference w:id="56"/>
            </w:r>
          </w:p>
        </w:tc>
        <w:tc>
          <w:tcPr>
            <w:tcW w:w="1842" w:type="dxa"/>
            <w:shd w:val="clear" w:color="auto" w:fill="FEFAF8"/>
          </w:tcPr>
          <w:p w14:paraId="31D42455" w14:textId="77777777" w:rsidR="0079347A" w:rsidRPr="000F23E0" w:rsidRDefault="0079347A" w:rsidP="00B778E8">
            <w:pPr>
              <w:pStyle w:val="TableTextRight"/>
              <w:cnfStyle w:val="000000000000" w:firstRow="0" w:lastRow="0" w:firstColumn="0" w:lastColumn="0" w:oddVBand="0" w:evenVBand="0" w:oddHBand="0" w:evenHBand="0" w:firstRowFirstColumn="0" w:firstRowLastColumn="0" w:lastRowFirstColumn="0" w:lastRowLastColumn="0"/>
            </w:pPr>
            <w:r w:rsidRPr="000F23E0">
              <w:t>Projected</w:t>
            </w:r>
          </w:p>
        </w:tc>
        <w:tc>
          <w:tcPr>
            <w:tcW w:w="1137" w:type="dxa"/>
            <w:shd w:val="clear" w:color="auto" w:fill="FEFAF8"/>
          </w:tcPr>
          <w:p w14:paraId="3282A027" w14:textId="5F4CB419" w:rsidR="0079347A" w:rsidRPr="000F23E0" w:rsidRDefault="0079347A" w:rsidP="00B778E8">
            <w:pPr>
              <w:pStyle w:val="TableTextRight"/>
              <w:cnfStyle w:val="000000000000" w:firstRow="0" w:lastRow="0" w:firstColumn="0" w:lastColumn="0" w:oddVBand="0" w:evenVBand="0" w:oddHBand="0" w:evenHBand="0" w:firstRowFirstColumn="0" w:firstRowLastColumn="0" w:lastRowFirstColumn="0" w:lastRowLastColumn="0"/>
            </w:pPr>
            <w:r w:rsidRPr="000F23E0">
              <w:t>2022–2</w:t>
            </w:r>
            <w:r w:rsidR="006D5DD8" w:rsidRPr="000F23E0">
              <w:t>7</w:t>
            </w:r>
          </w:p>
        </w:tc>
      </w:tr>
      <w:tr w:rsidR="0083666E" w:rsidRPr="000F23E0" w14:paraId="2A418C46" w14:textId="77777777" w:rsidTr="008657A5">
        <w:trPr>
          <w:trHeight w:val="199"/>
        </w:trPr>
        <w:tc>
          <w:tcPr>
            <w:cnfStyle w:val="001000000000" w:firstRow="0" w:lastRow="0" w:firstColumn="1" w:lastColumn="0" w:oddVBand="0" w:evenVBand="0" w:oddHBand="0" w:evenHBand="0" w:firstRowFirstColumn="0" w:firstRowLastColumn="0" w:lastRowFirstColumn="0" w:lastRowLastColumn="0"/>
            <w:tcW w:w="1814" w:type="dxa"/>
            <w:vMerge/>
            <w:shd w:val="clear" w:color="auto" w:fill="FDF0E7"/>
          </w:tcPr>
          <w:p w14:paraId="30F61CC3" w14:textId="77777777" w:rsidR="0079347A" w:rsidRPr="000F23E0" w:rsidRDefault="0079347A" w:rsidP="00EA63A3">
            <w:pPr>
              <w:pStyle w:val="TableTextLeft"/>
              <w:spacing w:before="120" w:after="120"/>
            </w:pPr>
          </w:p>
        </w:tc>
        <w:tc>
          <w:tcPr>
            <w:tcW w:w="3143" w:type="dxa"/>
            <w:shd w:val="clear" w:color="auto" w:fill="FEFAF8"/>
          </w:tcPr>
          <w:p w14:paraId="6CBA249A" w14:textId="79F945FF" w:rsidR="0079347A" w:rsidRPr="000F23E0" w:rsidRDefault="0079347A" w:rsidP="00B778E8">
            <w:pPr>
              <w:pStyle w:val="TableTextLeft"/>
              <w:cnfStyle w:val="000000000000" w:firstRow="0" w:lastRow="0" w:firstColumn="0" w:lastColumn="0" w:oddVBand="0" w:evenVBand="0" w:oddHBand="0" w:evenHBand="0" w:firstRowFirstColumn="0" w:firstRowLastColumn="0" w:lastRowFirstColumn="0" w:lastRowLastColumn="0"/>
            </w:pPr>
            <w:r w:rsidRPr="000F23E0">
              <w:t>Canberra Light Rail</w:t>
            </w:r>
          </w:p>
        </w:tc>
        <w:tc>
          <w:tcPr>
            <w:tcW w:w="1134" w:type="dxa"/>
            <w:shd w:val="clear" w:color="auto" w:fill="FEFAF8"/>
          </w:tcPr>
          <w:p w14:paraId="3C1B17E4" w14:textId="77777777" w:rsidR="0079347A" w:rsidRPr="000F23E0" w:rsidRDefault="0079347A" w:rsidP="00B778E8">
            <w:pPr>
              <w:pStyle w:val="TableTextRight"/>
              <w:cnfStyle w:val="000000000000" w:firstRow="0" w:lastRow="0" w:firstColumn="0" w:lastColumn="0" w:oddVBand="0" w:evenVBand="0" w:oddHBand="0" w:evenHBand="0" w:firstRowFirstColumn="0" w:firstRowLastColumn="0" w:lastRowFirstColumn="0" w:lastRowLastColumn="0"/>
            </w:pPr>
            <w:r w:rsidRPr="000F23E0">
              <w:t>1.7</w:t>
            </w:r>
            <w:r w:rsidRPr="000F23E0">
              <w:rPr>
                <w:rStyle w:val="EndnoteReference"/>
              </w:rPr>
              <w:endnoteReference w:id="57"/>
            </w:r>
          </w:p>
        </w:tc>
        <w:tc>
          <w:tcPr>
            <w:tcW w:w="1842" w:type="dxa"/>
            <w:shd w:val="clear" w:color="auto" w:fill="FEFAF8"/>
          </w:tcPr>
          <w:p w14:paraId="767047B0" w14:textId="77777777" w:rsidR="0079347A" w:rsidRPr="000F23E0" w:rsidRDefault="0079347A" w:rsidP="00B778E8">
            <w:pPr>
              <w:pStyle w:val="TableTextRight"/>
              <w:cnfStyle w:val="000000000000" w:firstRow="0" w:lastRow="0" w:firstColumn="0" w:lastColumn="0" w:oddVBand="0" w:evenVBand="0" w:oddHBand="0" w:evenHBand="0" w:firstRowFirstColumn="0" w:firstRowLastColumn="0" w:lastRowFirstColumn="0" w:lastRowLastColumn="0"/>
            </w:pPr>
            <w:r w:rsidRPr="000F23E0">
              <w:t>Projected</w:t>
            </w:r>
          </w:p>
        </w:tc>
        <w:tc>
          <w:tcPr>
            <w:tcW w:w="1137" w:type="dxa"/>
            <w:shd w:val="clear" w:color="auto" w:fill="FEFAF8"/>
          </w:tcPr>
          <w:p w14:paraId="4C7B1E2D" w14:textId="77777777" w:rsidR="0079347A" w:rsidRPr="000F23E0" w:rsidRDefault="0079347A" w:rsidP="00B778E8">
            <w:pPr>
              <w:pStyle w:val="TableTextRight"/>
              <w:cnfStyle w:val="000000000000" w:firstRow="0" w:lastRow="0" w:firstColumn="0" w:lastColumn="0" w:oddVBand="0" w:evenVBand="0" w:oddHBand="0" w:evenHBand="0" w:firstRowFirstColumn="0" w:firstRowLastColumn="0" w:lastRowFirstColumn="0" w:lastRowLastColumn="0"/>
            </w:pPr>
            <w:r w:rsidRPr="000F23E0">
              <w:t>2023–28</w:t>
            </w:r>
          </w:p>
        </w:tc>
      </w:tr>
      <w:tr w:rsidR="00B778E8" w:rsidRPr="000F23E0" w14:paraId="3C95F94F" w14:textId="77777777" w:rsidTr="008657A5">
        <w:trPr>
          <w:trHeight w:val="77"/>
        </w:trPr>
        <w:tc>
          <w:tcPr>
            <w:cnfStyle w:val="001000000000" w:firstRow="0" w:lastRow="0" w:firstColumn="1" w:lastColumn="0" w:oddVBand="0" w:evenVBand="0" w:oddHBand="0" w:evenHBand="0" w:firstRowFirstColumn="0" w:firstRowLastColumn="0" w:lastRowFirstColumn="0" w:lastRowLastColumn="0"/>
            <w:tcW w:w="1814" w:type="dxa"/>
            <w:vMerge/>
            <w:shd w:val="clear" w:color="auto" w:fill="FDF0E7"/>
          </w:tcPr>
          <w:p w14:paraId="12DB1B09" w14:textId="77777777" w:rsidR="00B778E8" w:rsidRPr="000F23E0" w:rsidRDefault="00B778E8" w:rsidP="00B778E8">
            <w:pPr>
              <w:pStyle w:val="TableTextLeft"/>
              <w:spacing w:before="120" w:after="120"/>
            </w:pPr>
          </w:p>
        </w:tc>
        <w:tc>
          <w:tcPr>
            <w:tcW w:w="3143" w:type="dxa"/>
            <w:shd w:val="clear" w:color="auto" w:fill="FEFAF8"/>
          </w:tcPr>
          <w:p w14:paraId="7AA8EF60" w14:textId="77C1B8F9" w:rsidR="00B778E8" w:rsidRPr="000F23E0" w:rsidRDefault="00B778E8" w:rsidP="00B778E8">
            <w:pPr>
              <w:pStyle w:val="TableTextLeft"/>
              <w:cnfStyle w:val="000000000000" w:firstRow="0" w:lastRow="0" w:firstColumn="0" w:lastColumn="0" w:oddVBand="0" w:evenVBand="0" w:oddHBand="0" w:evenHBand="0" w:firstRowFirstColumn="0" w:firstRowLastColumn="0" w:lastRowFirstColumn="0" w:lastRowLastColumn="0"/>
              <w:rPr>
                <w:b/>
                <w:bCs/>
              </w:rPr>
            </w:pPr>
            <w:r w:rsidRPr="000F23E0">
              <w:rPr>
                <w:b/>
                <w:bCs/>
              </w:rPr>
              <w:t>Total</w:t>
            </w:r>
          </w:p>
        </w:tc>
        <w:tc>
          <w:tcPr>
            <w:tcW w:w="1134" w:type="dxa"/>
            <w:shd w:val="clear" w:color="auto" w:fill="FEFAF8"/>
          </w:tcPr>
          <w:p w14:paraId="3DF41E2D" w14:textId="5DE22F40" w:rsidR="00B778E8" w:rsidRPr="000F23E0" w:rsidRDefault="00B778E8" w:rsidP="00B778E8">
            <w:pPr>
              <w:pStyle w:val="TableTextRight"/>
              <w:cnfStyle w:val="000000000000" w:firstRow="0" w:lastRow="0" w:firstColumn="0" w:lastColumn="0" w:oddVBand="0" w:evenVBand="0" w:oddHBand="0" w:evenHBand="0" w:firstRowFirstColumn="0" w:firstRowLastColumn="0" w:lastRowFirstColumn="0" w:lastRowLastColumn="0"/>
              <w:rPr>
                <w:b/>
                <w:bCs/>
              </w:rPr>
            </w:pPr>
            <w:r w:rsidRPr="000F23E0">
              <w:rPr>
                <w:b/>
                <w:bCs/>
              </w:rPr>
              <w:t>103.4</w:t>
            </w:r>
          </w:p>
        </w:tc>
        <w:tc>
          <w:tcPr>
            <w:tcW w:w="1842" w:type="dxa"/>
            <w:shd w:val="clear" w:color="auto" w:fill="FEFAF8"/>
          </w:tcPr>
          <w:p w14:paraId="59367831" w14:textId="77777777" w:rsidR="00B778E8" w:rsidRPr="000F23E0" w:rsidRDefault="00B778E8" w:rsidP="00B778E8">
            <w:pPr>
              <w:pStyle w:val="TableTextRight"/>
              <w:cnfStyle w:val="000000000000" w:firstRow="0" w:lastRow="0" w:firstColumn="0" w:lastColumn="0" w:oddVBand="0" w:evenVBand="0" w:oddHBand="0" w:evenHBand="0" w:firstRowFirstColumn="0" w:firstRowLastColumn="0" w:lastRowFirstColumn="0" w:lastRowLastColumn="0"/>
              <w:rPr>
                <w:b/>
                <w:bCs/>
              </w:rPr>
            </w:pPr>
          </w:p>
        </w:tc>
        <w:tc>
          <w:tcPr>
            <w:tcW w:w="1137" w:type="dxa"/>
            <w:shd w:val="clear" w:color="auto" w:fill="FEFAF8"/>
          </w:tcPr>
          <w:p w14:paraId="19ADD375" w14:textId="77777777" w:rsidR="00B778E8" w:rsidRPr="000F23E0" w:rsidRDefault="00B778E8" w:rsidP="00B778E8">
            <w:pPr>
              <w:pStyle w:val="TableTextRight"/>
              <w:cnfStyle w:val="000000000000" w:firstRow="0" w:lastRow="0" w:firstColumn="0" w:lastColumn="0" w:oddVBand="0" w:evenVBand="0" w:oddHBand="0" w:evenHBand="0" w:firstRowFirstColumn="0" w:firstRowLastColumn="0" w:lastRowFirstColumn="0" w:lastRowLastColumn="0"/>
            </w:pPr>
          </w:p>
        </w:tc>
      </w:tr>
    </w:tbl>
    <w:p w14:paraId="17138402" w14:textId="2F3A3086" w:rsidR="009559C0" w:rsidRPr="000F23E0" w:rsidRDefault="00D74B9D" w:rsidP="0079637A">
      <w:r w:rsidRPr="000F23E0">
        <w:t xml:space="preserve">The METRONET data </w:t>
      </w:r>
      <w:r w:rsidR="00F5382B" w:rsidRPr="000F23E0">
        <w:t>covers only</w:t>
      </w:r>
      <w:r w:rsidRPr="000F23E0">
        <w:t xml:space="preserve"> </w:t>
      </w:r>
      <w:r w:rsidR="005D7024" w:rsidRPr="000F23E0">
        <w:t xml:space="preserve">the 5 </w:t>
      </w:r>
      <w:r w:rsidRPr="000F23E0">
        <w:t xml:space="preserve">METRONET projects funded using </w:t>
      </w:r>
      <w:r w:rsidR="00611CEF" w:rsidRPr="000F23E0">
        <w:t>GTB</w:t>
      </w:r>
      <w:r w:rsidRPr="000F23E0">
        <w:t>s proceeds. Data for the</w:t>
      </w:r>
      <w:r w:rsidR="005F45A1" w:rsidRPr="000F23E0">
        <w:t> </w:t>
      </w:r>
      <w:r w:rsidRPr="000F23E0">
        <w:t>Gold Coast Light Rail is only for Stage 3 of the project. Data for the Canberra Light Rail is only for Stage</w:t>
      </w:r>
      <w:r w:rsidR="008657A5" w:rsidRPr="000F23E0">
        <w:t> </w:t>
      </w:r>
      <w:r w:rsidRPr="000F23E0">
        <w:t>2A of the project.</w:t>
      </w:r>
    </w:p>
    <w:p w14:paraId="346229DB" w14:textId="2C90E9B6" w:rsidR="0079347A" w:rsidRPr="000F23E0" w:rsidRDefault="0079347A" w:rsidP="00F55854">
      <w:pPr>
        <w:pStyle w:val="Heading4"/>
      </w:pPr>
      <w:r w:rsidRPr="000F23E0">
        <w:t xml:space="preserve">Social </w:t>
      </w:r>
      <w:r w:rsidR="006B1D65" w:rsidRPr="000F23E0">
        <w:t>c</w:t>
      </w:r>
      <w:r w:rsidRPr="000F23E0">
        <w:t>o</w:t>
      </w:r>
      <w:r w:rsidR="002C4475" w:rsidRPr="000F23E0">
        <w:noBreakHyphen/>
      </w:r>
      <w:r w:rsidRPr="000F23E0">
        <w:t>benefits</w:t>
      </w:r>
    </w:p>
    <w:p w14:paraId="34EC8370" w14:textId="7AE0ABEF" w:rsidR="0079347A" w:rsidRPr="000F23E0" w:rsidRDefault="00DF555C" w:rsidP="00174690">
      <w:r w:rsidRPr="000F23E0">
        <w:t>E</w:t>
      </w:r>
      <w:r w:rsidR="0079347A" w:rsidRPr="000F23E0">
        <w:t xml:space="preserve">lectric rail projects will facilitate increased use of public transportation, enabling population growth in surrounding suburbs. They will directly and indirectly contribute to around </w:t>
      </w:r>
      <w:r w:rsidR="00800ACB" w:rsidRPr="000F23E0">
        <w:t>29,685</w:t>
      </w:r>
      <w:r w:rsidR="0079347A" w:rsidRPr="000F23E0">
        <w:t xml:space="preserve"> jobs at the local, state, and national level across the projects. (</w:t>
      </w:r>
      <w:r w:rsidR="00691BB0" w:rsidRPr="000F23E0">
        <w:t>Table 2</w:t>
      </w:r>
      <w:r w:rsidR="00EA63A3" w:rsidRPr="000F23E0">
        <w:t>3</w:t>
      </w:r>
      <w:r w:rsidR="0079347A" w:rsidRPr="000F23E0">
        <w:t xml:space="preserve">). </w:t>
      </w:r>
    </w:p>
    <w:p w14:paraId="707B2119" w14:textId="5B9BF618" w:rsidR="0079347A" w:rsidRPr="000F23E0" w:rsidRDefault="0079347A" w:rsidP="00174690">
      <w:r w:rsidRPr="000F23E0">
        <w:t>Job creation data for Sydney Metro – Western Sydney Airport is projected for the construction phase</w:t>
      </w:r>
      <w:r w:rsidR="008657A5" w:rsidRPr="000F23E0">
        <w:t> </w:t>
      </w:r>
      <w:r w:rsidRPr="000F23E0">
        <w:t>only. Job creation data for METRONET is projected for Thornlie</w:t>
      </w:r>
      <w:r w:rsidR="002C4475" w:rsidRPr="000F23E0">
        <w:noBreakHyphen/>
      </w:r>
      <w:r w:rsidRPr="000F23E0">
        <w:t>Cockburn Link and Yanchep Rail</w:t>
      </w:r>
      <w:r w:rsidR="008657A5" w:rsidRPr="000F23E0">
        <w:t> </w:t>
      </w:r>
      <w:r w:rsidRPr="000F23E0">
        <w:t>Extension only. Job creation for METRONET and Gold Coast Light Rail is projected over the project</w:t>
      </w:r>
      <w:r w:rsidR="008657A5" w:rsidRPr="000F23E0">
        <w:t> </w:t>
      </w:r>
      <w:r w:rsidRPr="000F23E0">
        <w:t>lifetime.</w:t>
      </w:r>
    </w:p>
    <w:p w14:paraId="3EB1ABE0" w14:textId="2FD0EE0A" w:rsidR="0079347A" w:rsidRPr="000F23E0" w:rsidRDefault="0079347A" w:rsidP="00551F72">
      <w:pPr>
        <w:pStyle w:val="TableMainHeading"/>
      </w:pPr>
      <w:bookmarkStart w:id="218" w:name="_Toc220662883"/>
      <w:bookmarkStart w:id="219" w:name="_Toc224637822"/>
      <w:bookmarkStart w:id="220" w:name="_Toc224642486"/>
      <w:bookmarkStart w:id="221" w:name="_Toc225153462"/>
      <w:bookmarkStart w:id="222" w:name="_Toc225154508"/>
      <w:bookmarkStart w:id="223" w:name="_Toc225155773"/>
      <w:r w:rsidRPr="000F23E0">
        <w:t xml:space="preserve">Table </w:t>
      </w:r>
      <w:r w:rsidR="00691BB0" w:rsidRPr="000F23E0">
        <w:t>2</w:t>
      </w:r>
      <w:r w:rsidR="00EA63A3" w:rsidRPr="000F23E0">
        <w:t>3</w:t>
      </w:r>
      <w:r w:rsidR="00627058" w:rsidRPr="000F23E0">
        <w:t>:</w:t>
      </w:r>
      <w:r w:rsidRPr="000F23E0">
        <w:t xml:space="preserve"> Social </w:t>
      </w:r>
      <w:r w:rsidR="00C449E1" w:rsidRPr="000F23E0">
        <w:t>i</w:t>
      </w:r>
      <w:r w:rsidRPr="000F23E0">
        <w:t xml:space="preserve">mpact </w:t>
      </w:r>
      <w:r w:rsidR="00C449E1" w:rsidRPr="000F23E0">
        <w:t>d</w:t>
      </w:r>
      <w:r w:rsidRPr="000F23E0">
        <w:t xml:space="preserve">ata for </w:t>
      </w:r>
      <w:r w:rsidR="00C449E1" w:rsidRPr="000F23E0">
        <w:t>e</w:t>
      </w:r>
      <w:r w:rsidRPr="000F23E0">
        <w:t xml:space="preserve">lectric </w:t>
      </w:r>
      <w:r w:rsidR="00C449E1" w:rsidRPr="000F23E0">
        <w:t>r</w:t>
      </w:r>
      <w:r w:rsidRPr="000F23E0">
        <w:t xml:space="preserve">ail </w:t>
      </w:r>
      <w:r w:rsidR="00C449E1" w:rsidRPr="000F23E0">
        <w:t>i</w:t>
      </w:r>
      <w:r w:rsidRPr="000F23E0">
        <w:t xml:space="preserve">nfrastructure </w:t>
      </w:r>
      <w:r w:rsidR="00C449E1" w:rsidRPr="000F23E0">
        <w:t>i</w:t>
      </w:r>
      <w:r w:rsidRPr="000F23E0">
        <w:t>nvestments</w:t>
      </w:r>
      <w:bookmarkEnd w:id="218"/>
      <w:bookmarkEnd w:id="219"/>
      <w:bookmarkEnd w:id="220"/>
      <w:bookmarkEnd w:id="221"/>
      <w:bookmarkEnd w:id="222"/>
      <w:bookmarkEnd w:id="223"/>
    </w:p>
    <w:tbl>
      <w:tblPr>
        <w:tblStyle w:val="GridTable4-Accent2"/>
        <w:tblW w:w="5000" w:type="pct"/>
        <w:tblInd w:w="5" w:type="dxa"/>
        <w:tblBorders>
          <w:top w:val="single" w:sz="4" w:space="0" w:color="DFA795"/>
          <w:bottom w:val="single" w:sz="4" w:space="0" w:color="DFA795"/>
          <w:insideH w:val="single" w:sz="4" w:space="0" w:color="DFA795"/>
        </w:tblBorders>
        <w:tblLayout w:type="fixed"/>
        <w:tblLook w:val="04A0" w:firstRow="1" w:lastRow="0" w:firstColumn="1" w:lastColumn="0" w:noHBand="0" w:noVBand="1"/>
      </w:tblPr>
      <w:tblGrid>
        <w:gridCol w:w="1555"/>
        <w:gridCol w:w="3118"/>
        <w:gridCol w:w="1134"/>
        <w:gridCol w:w="1843"/>
        <w:gridCol w:w="1420"/>
      </w:tblGrid>
      <w:tr w:rsidR="00FF0003" w:rsidRPr="000F23E0" w14:paraId="6756598C" w14:textId="77777777" w:rsidTr="008657A5">
        <w:trPr>
          <w:cnfStyle w:val="100000000000" w:firstRow="1" w:lastRow="0" w:firstColumn="0" w:lastColumn="0" w:oddVBand="0" w:evenVBand="0" w:oddHBand="0"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1555" w:type="dxa"/>
            <w:shd w:val="clear" w:color="auto" w:fill="F1D0C6"/>
          </w:tcPr>
          <w:p w14:paraId="411B8A84" w14:textId="77777777" w:rsidR="0079347A" w:rsidRPr="000F23E0" w:rsidRDefault="0079347A" w:rsidP="007638E8">
            <w:pPr>
              <w:pStyle w:val="TableColumnHeadingLeft"/>
              <w:rPr>
                <w:b/>
                <w:bCs w:val="0"/>
              </w:rPr>
            </w:pPr>
            <w:r w:rsidRPr="000F23E0">
              <w:rPr>
                <w:b/>
                <w:bCs w:val="0"/>
              </w:rPr>
              <w:t>Metric</w:t>
            </w:r>
          </w:p>
        </w:tc>
        <w:tc>
          <w:tcPr>
            <w:tcW w:w="3118" w:type="dxa"/>
            <w:shd w:val="clear" w:color="auto" w:fill="F1D0C6"/>
          </w:tcPr>
          <w:p w14:paraId="589DB122" w14:textId="77777777" w:rsidR="0079347A" w:rsidRPr="000F23E0" w:rsidRDefault="0079347A" w:rsidP="007638E8">
            <w:pPr>
              <w:pStyle w:val="TableColumnHeadingLeft"/>
              <w:cnfStyle w:val="100000000000" w:firstRow="1" w:lastRow="0" w:firstColumn="0" w:lastColumn="0" w:oddVBand="0" w:evenVBand="0" w:oddHBand="0" w:evenHBand="0" w:firstRowFirstColumn="0" w:firstRowLastColumn="0" w:lastRowFirstColumn="0" w:lastRowLastColumn="0"/>
              <w:rPr>
                <w:b/>
                <w:bCs w:val="0"/>
              </w:rPr>
            </w:pPr>
            <w:r w:rsidRPr="000F23E0">
              <w:rPr>
                <w:b/>
                <w:bCs w:val="0"/>
              </w:rPr>
              <w:t>Projects</w:t>
            </w:r>
          </w:p>
        </w:tc>
        <w:tc>
          <w:tcPr>
            <w:tcW w:w="1134" w:type="dxa"/>
            <w:shd w:val="clear" w:color="auto" w:fill="F1D0C6"/>
          </w:tcPr>
          <w:p w14:paraId="34A1549F" w14:textId="77777777" w:rsidR="0079347A" w:rsidRPr="000F23E0" w:rsidRDefault="0079347A" w:rsidP="007638E8">
            <w:pPr>
              <w:pStyle w:val="TableColumnHeadingRight"/>
              <w:cnfStyle w:val="100000000000" w:firstRow="1" w:lastRow="0" w:firstColumn="0" w:lastColumn="0" w:oddVBand="0" w:evenVBand="0" w:oddHBand="0" w:evenHBand="0" w:firstRowFirstColumn="0" w:firstRowLastColumn="0" w:lastRowFirstColumn="0" w:lastRowLastColumn="0"/>
              <w:rPr>
                <w:b/>
                <w:bCs w:val="0"/>
              </w:rPr>
            </w:pPr>
            <w:r w:rsidRPr="000F23E0">
              <w:rPr>
                <w:b/>
                <w:bCs w:val="0"/>
              </w:rPr>
              <w:t>Impact Data</w:t>
            </w:r>
          </w:p>
        </w:tc>
        <w:tc>
          <w:tcPr>
            <w:tcW w:w="1843" w:type="dxa"/>
            <w:shd w:val="clear" w:color="auto" w:fill="F1D0C6"/>
          </w:tcPr>
          <w:p w14:paraId="2C38277D" w14:textId="31F0399C" w:rsidR="0079347A" w:rsidRPr="000F23E0" w:rsidRDefault="0079347A" w:rsidP="007638E8">
            <w:pPr>
              <w:pStyle w:val="TableColumnHeadingRight"/>
              <w:cnfStyle w:val="100000000000" w:firstRow="1" w:lastRow="0" w:firstColumn="0" w:lastColumn="0" w:oddVBand="0" w:evenVBand="0" w:oddHBand="0" w:evenHBand="0" w:firstRowFirstColumn="0" w:firstRowLastColumn="0" w:lastRowFirstColumn="0" w:lastRowLastColumn="0"/>
              <w:rPr>
                <w:b/>
                <w:bCs w:val="0"/>
              </w:rPr>
            </w:pPr>
            <w:r w:rsidRPr="000F23E0">
              <w:rPr>
                <w:b/>
                <w:bCs w:val="0"/>
              </w:rPr>
              <w:t>Recorded</w:t>
            </w:r>
            <w:r w:rsidR="00C30A57" w:rsidRPr="000F23E0">
              <w:rPr>
                <w:b/>
                <w:bCs w:val="0"/>
              </w:rPr>
              <w:t xml:space="preserve"> </w:t>
            </w:r>
            <w:r w:rsidRPr="000F23E0">
              <w:rPr>
                <w:b/>
                <w:bCs w:val="0"/>
              </w:rPr>
              <w:t>/ Projected</w:t>
            </w:r>
          </w:p>
        </w:tc>
        <w:tc>
          <w:tcPr>
            <w:tcW w:w="1420" w:type="dxa"/>
            <w:shd w:val="clear" w:color="auto" w:fill="F1D0C6"/>
          </w:tcPr>
          <w:p w14:paraId="014FA415" w14:textId="77777777" w:rsidR="0079347A" w:rsidRPr="000F23E0" w:rsidRDefault="0079347A" w:rsidP="007638E8">
            <w:pPr>
              <w:pStyle w:val="TableColumnHeadingRight"/>
              <w:cnfStyle w:val="100000000000" w:firstRow="1" w:lastRow="0" w:firstColumn="0" w:lastColumn="0" w:oddVBand="0" w:evenVBand="0" w:oddHBand="0" w:evenHBand="0" w:firstRowFirstColumn="0" w:firstRowLastColumn="0" w:lastRowFirstColumn="0" w:lastRowLastColumn="0"/>
              <w:rPr>
                <w:b/>
                <w:bCs w:val="0"/>
              </w:rPr>
            </w:pPr>
            <w:r w:rsidRPr="000F23E0">
              <w:rPr>
                <w:b/>
                <w:bCs w:val="0"/>
              </w:rPr>
              <w:t>Time Period</w:t>
            </w:r>
          </w:p>
        </w:tc>
      </w:tr>
      <w:tr w:rsidR="00871E70" w:rsidRPr="000F23E0" w14:paraId="2C35BF3B" w14:textId="77777777" w:rsidTr="008657A5">
        <w:trPr>
          <w:trHeight w:val="80"/>
        </w:trPr>
        <w:tc>
          <w:tcPr>
            <w:cnfStyle w:val="001000000000" w:firstRow="0" w:lastRow="0" w:firstColumn="1" w:lastColumn="0" w:oddVBand="0" w:evenVBand="0" w:oddHBand="0" w:evenHBand="0" w:firstRowFirstColumn="0" w:firstRowLastColumn="0" w:lastRowFirstColumn="0" w:lastRowLastColumn="0"/>
            <w:tcW w:w="1555" w:type="dxa"/>
            <w:vMerge w:val="restart"/>
            <w:shd w:val="clear" w:color="auto" w:fill="FDF0E7"/>
          </w:tcPr>
          <w:p w14:paraId="76B6383C" w14:textId="13999634" w:rsidR="0079347A" w:rsidRPr="000F23E0" w:rsidRDefault="0079347A" w:rsidP="00EA63A3">
            <w:pPr>
              <w:pStyle w:val="TableTextLeft"/>
              <w:spacing w:before="120" w:after="120"/>
              <w:rPr>
                <w:b/>
                <w:bCs w:val="0"/>
              </w:rPr>
            </w:pPr>
            <w:r w:rsidRPr="000F23E0">
              <w:rPr>
                <w:b/>
                <w:bCs w:val="0"/>
              </w:rPr>
              <w:t>Projected number of</w:t>
            </w:r>
            <w:r w:rsidR="00B778E8" w:rsidRPr="000F23E0">
              <w:rPr>
                <w:b/>
                <w:bCs w:val="0"/>
              </w:rPr>
              <w:t> </w:t>
            </w:r>
            <w:r w:rsidRPr="000F23E0">
              <w:rPr>
                <w:b/>
                <w:bCs w:val="0"/>
              </w:rPr>
              <w:t>jobs created</w:t>
            </w:r>
          </w:p>
        </w:tc>
        <w:tc>
          <w:tcPr>
            <w:tcW w:w="3118" w:type="dxa"/>
            <w:shd w:val="clear" w:color="auto" w:fill="FEFAF8"/>
          </w:tcPr>
          <w:p w14:paraId="47983C13" w14:textId="0889D18E" w:rsidR="0079347A" w:rsidRPr="000F23E0" w:rsidRDefault="0079347A" w:rsidP="007638E8">
            <w:pPr>
              <w:pStyle w:val="TableTextLeft"/>
              <w:cnfStyle w:val="000000000000" w:firstRow="0" w:lastRow="0" w:firstColumn="0" w:lastColumn="0" w:oddVBand="0" w:evenVBand="0" w:oddHBand="0" w:evenHBand="0" w:firstRowFirstColumn="0" w:firstRowLastColumn="0" w:lastRowFirstColumn="0" w:lastRowLastColumn="0"/>
            </w:pPr>
            <w:r w:rsidRPr="000F23E0">
              <w:t>Sydney Metro – Western</w:t>
            </w:r>
            <w:r w:rsidR="00B778E8" w:rsidRPr="000F23E0">
              <w:t> </w:t>
            </w:r>
            <w:r w:rsidRPr="000F23E0">
              <w:t>Sydney Airport</w:t>
            </w:r>
          </w:p>
        </w:tc>
        <w:tc>
          <w:tcPr>
            <w:tcW w:w="1134" w:type="dxa"/>
            <w:shd w:val="clear" w:color="auto" w:fill="FEFAF8"/>
          </w:tcPr>
          <w:p w14:paraId="36457C7F" w14:textId="77777777" w:rsidR="0079347A" w:rsidRPr="000F23E0" w:rsidRDefault="0079347A" w:rsidP="007638E8">
            <w:pPr>
              <w:pStyle w:val="TableTextRight"/>
              <w:cnfStyle w:val="000000000000" w:firstRow="0" w:lastRow="0" w:firstColumn="0" w:lastColumn="0" w:oddVBand="0" w:evenVBand="0" w:oddHBand="0" w:evenHBand="0" w:firstRowFirstColumn="0" w:firstRowLastColumn="0" w:lastRowFirstColumn="0" w:lastRowLastColumn="0"/>
            </w:pPr>
            <w:r w:rsidRPr="000F23E0">
              <w:t>14,000</w:t>
            </w:r>
            <w:r w:rsidRPr="000F23E0">
              <w:rPr>
                <w:rStyle w:val="EndnoteReference"/>
              </w:rPr>
              <w:endnoteReference w:id="58"/>
            </w:r>
          </w:p>
        </w:tc>
        <w:tc>
          <w:tcPr>
            <w:tcW w:w="1843" w:type="dxa"/>
            <w:shd w:val="clear" w:color="auto" w:fill="FEFAF8"/>
          </w:tcPr>
          <w:p w14:paraId="22C5D494" w14:textId="77777777" w:rsidR="0079347A" w:rsidRPr="000F23E0" w:rsidRDefault="0079347A" w:rsidP="007638E8">
            <w:pPr>
              <w:pStyle w:val="TableTextRight"/>
              <w:cnfStyle w:val="000000000000" w:firstRow="0" w:lastRow="0" w:firstColumn="0" w:lastColumn="0" w:oddVBand="0" w:evenVBand="0" w:oddHBand="0" w:evenHBand="0" w:firstRowFirstColumn="0" w:firstRowLastColumn="0" w:lastRowFirstColumn="0" w:lastRowLastColumn="0"/>
            </w:pPr>
            <w:r w:rsidRPr="000F23E0">
              <w:t>Projected</w:t>
            </w:r>
          </w:p>
        </w:tc>
        <w:tc>
          <w:tcPr>
            <w:tcW w:w="1420" w:type="dxa"/>
            <w:shd w:val="clear" w:color="auto" w:fill="FEFAF8"/>
          </w:tcPr>
          <w:p w14:paraId="1A78ED56" w14:textId="77777777" w:rsidR="0079347A" w:rsidRPr="000F23E0" w:rsidRDefault="0079347A" w:rsidP="007638E8">
            <w:pPr>
              <w:pStyle w:val="TableTextRight"/>
              <w:cnfStyle w:val="000000000000" w:firstRow="0" w:lastRow="0" w:firstColumn="0" w:lastColumn="0" w:oddVBand="0" w:evenVBand="0" w:oddHBand="0" w:evenHBand="0" w:firstRowFirstColumn="0" w:firstRowLastColumn="0" w:lastRowFirstColumn="0" w:lastRowLastColumn="0"/>
            </w:pPr>
            <w:r w:rsidRPr="000F23E0">
              <w:t>2020–26</w:t>
            </w:r>
          </w:p>
        </w:tc>
      </w:tr>
      <w:tr w:rsidR="00552ADE" w:rsidRPr="000F23E0" w14:paraId="0C361131" w14:textId="77777777" w:rsidTr="008657A5">
        <w:trPr>
          <w:trHeight w:val="230"/>
        </w:trPr>
        <w:tc>
          <w:tcPr>
            <w:cnfStyle w:val="001000000000" w:firstRow="0" w:lastRow="0" w:firstColumn="1" w:lastColumn="0" w:oddVBand="0" w:evenVBand="0" w:oddHBand="0" w:evenHBand="0" w:firstRowFirstColumn="0" w:firstRowLastColumn="0" w:lastRowFirstColumn="0" w:lastRowLastColumn="0"/>
            <w:tcW w:w="1555" w:type="dxa"/>
            <w:vMerge/>
            <w:shd w:val="clear" w:color="auto" w:fill="FDF0E7"/>
          </w:tcPr>
          <w:p w14:paraId="24F5FCBF" w14:textId="77777777" w:rsidR="0079347A" w:rsidRPr="000F23E0" w:rsidRDefault="0079347A" w:rsidP="00EA63A3">
            <w:pPr>
              <w:pStyle w:val="TableTextRight"/>
              <w:spacing w:before="120" w:after="120"/>
            </w:pPr>
          </w:p>
        </w:tc>
        <w:tc>
          <w:tcPr>
            <w:tcW w:w="3118" w:type="dxa"/>
            <w:shd w:val="clear" w:color="auto" w:fill="FEFAF8"/>
          </w:tcPr>
          <w:p w14:paraId="0BEDFBB7" w14:textId="6E313D02" w:rsidR="0079347A" w:rsidRPr="000F23E0" w:rsidRDefault="0079347A" w:rsidP="007638E8">
            <w:pPr>
              <w:pStyle w:val="TableTextLeft"/>
              <w:cnfStyle w:val="000000000000" w:firstRow="0" w:lastRow="0" w:firstColumn="0" w:lastColumn="0" w:oddVBand="0" w:evenVBand="0" w:oddHBand="0" w:evenHBand="0" w:firstRowFirstColumn="0" w:firstRowLastColumn="0" w:lastRowFirstColumn="0" w:lastRowLastColumn="0"/>
            </w:pPr>
            <w:r w:rsidRPr="000F23E0">
              <w:t>METRONE</w:t>
            </w:r>
            <w:r w:rsidR="00EA63A3" w:rsidRPr="000F23E0">
              <w:t>T</w:t>
            </w:r>
            <w:r w:rsidR="00EA63A3" w:rsidRPr="000F23E0">
              <w:rPr>
                <w:vertAlign w:val="superscript"/>
              </w:rPr>
              <w:t>(a)</w:t>
            </w:r>
          </w:p>
        </w:tc>
        <w:tc>
          <w:tcPr>
            <w:tcW w:w="1134" w:type="dxa"/>
            <w:shd w:val="clear" w:color="auto" w:fill="FEFAF8"/>
          </w:tcPr>
          <w:p w14:paraId="43DE442B" w14:textId="2BD64D57" w:rsidR="0079347A" w:rsidRPr="000F23E0" w:rsidRDefault="00B62B29" w:rsidP="007638E8">
            <w:pPr>
              <w:pStyle w:val="TableTextRight"/>
              <w:cnfStyle w:val="000000000000" w:firstRow="0" w:lastRow="0" w:firstColumn="0" w:lastColumn="0" w:oddVBand="0" w:evenVBand="0" w:oddHBand="0" w:evenHBand="0" w:firstRowFirstColumn="0" w:firstRowLastColumn="0" w:lastRowFirstColumn="0" w:lastRowLastColumn="0"/>
              <w:rPr>
                <w:vertAlign w:val="superscript"/>
              </w:rPr>
            </w:pPr>
            <w:r w:rsidRPr="000F23E0">
              <w:t>13</w:t>
            </w:r>
            <w:r w:rsidR="0079347A" w:rsidRPr="000F23E0">
              <w:t>,</w:t>
            </w:r>
            <w:r w:rsidRPr="000F23E0">
              <w:t>925</w:t>
            </w:r>
          </w:p>
        </w:tc>
        <w:tc>
          <w:tcPr>
            <w:tcW w:w="1843" w:type="dxa"/>
            <w:shd w:val="clear" w:color="auto" w:fill="FEFAF8"/>
          </w:tcPr>
          <w:p w14:paraId="40E9F14D" w14:textId="77777777" w:rsidR="0079347A" w:rsidRPr="000F23E0" w:rsidRDefault="0079347A" w:rsidP="007638E8">
            <w:pPr>
              <w:pStyle w:val="TableTextRight"/>
              <w:cnfStyle w:val="000000000000" w:firstRow="0" w:lastRow="0" w:firstColumn="0" w:lastColumn="0" w:oddVBand="0" w:evenVBand="0" w:oddHBand="0" w:evenHBand="0" w:firstRowFirstColumn="0" w:firstRowLastColumn="0" w:lastRowFirstColumn="0" w:lastRowLastColumn="0"/>
            </w:pPr>
            <w:r w:rsidRPr="000F23E0">
              <w:t>Projected</w:t>
            </w:r>
          </w:p>
        </w:tc>
        <w:tc>
          <w:tcPr>
            <w:tcW w:w="1420" w:type="dxa"/>
            <w:shd w:val="clear" w:color="auto" w:fill="FEFAF8"/>
          </w:tcPr>
          <w:p w14:paraId="69DADBFB" w14:textId="77777777" w:rsidR="0079347A" w:rsidRPr="000F23E0" w:rsidRDefault="0079347A" w:rsidP="007638E8">
            <w:pPr>
              <w:pStyle w:val="TableTextRight"/>
              <w:cnfStyle w:val="000000000000" w:firstRow="0" w:lastRow="0" w:firstColumn="0" w:lastColumn="0" w:oddVBand="0" w:evenVBand="0" w:oddHBand="0" w:evenHBand="0" w:firstRowFirstColumn="0" w:firstRowLastColumn="0" w:lastRowFirstColumn="0" w:lastRowLastColumn="0"/>
            </w:pPr>
            <w:r w:rsidRPr="000F23E0">
              <w:t>Project lifetime</w:t>
            </w:r>
          </w:p>
        </w:tc>
      </w:tr>
      <w:tr w:rsidR="00871E70" w:rsidRPr="000F23E0" w14:paraId="4E3055D8" w14:textId="77777777" w:rsidTr="008657A5">
        <w:trPr>
          <w:trHeight w:val="230"/>
        </w:trPr>
        <w:tc>
          <w:tcPr>
            <w:cnfStyle w:val="001000000000" w:firstRow="0" w:lastRow="0" w:firstColumn="1" w:lastColumn="0" w:oddVBand="0" w:evenVBand="0" w:oddHBand="0" w:evenHBand="0" w:firstRowFirstColumn="0" w:firstRowLastColumn="0" w:lastRowFirstColumn="0" w:lastRowLastColumn="0"/>
            <w:tcW w:w="1555" w:type="dxa"/>
            <w:vMerge/>
            <w:shd w:val="clear" w:color="auto" w:fill="FDF0E7"/>
          </w:tcPr>
          <w:p w14:paraId="113E3296" w14:textId="77777777" w:rsidR="0079347A" w:rsidRPr="000F23E0" w:rsidRDefault="0079347A" w:rsidP="00EA63A3">
            <w:pPr>
              <w:pStyle w:val="TableTextRight"/>
              <w:spacing w:before="120" w:after="120"/>
            </w:pPr>
          </w:p>
        </w:tc>
        <w:tc>
          <w:tcPr>
            <w:tcW w:w="3118" w:type="dxa"/>
            <w:shd w:val="clear" w:color="auto" w:fill="FEFAF8"/>
          </w:tcPr>
          <w:p w14:paraId="1A27574C" w14:textId="77777777" w:rsidR="0079347A" w:rsidRPr="000F23E0" w:rsidRDefault="0079347A" w:rsidP="007638E8">
            <w:pPr>
              <w:pStyle w:val="TableTextLeft"/>
              <w:cnfStyle w:val="000000000000" w:firstRow="0" w:lastRow="0" w:firstColumn="0" w:lastColumn="0" w:oddVBand="0" w:evenVBand="0" w:oddHBand="0" w:evenHBand="0" w:firstRowFirstColumn="0" w:firstRowLastColumn="0" w:lastRowFirstColumn="0" w:lastRowLastColumn="0"/>
            </w:pPr>
            <w:r w:rsidRPr="000F23E0">
              <w:t>Gold Coast Light Rail</w:t>
            </w:r>
          </w:p>
        </w:tc>
        <w:tc>
          <w:tcPr>
            <w:tcW w:w="1134" w:type="dxa"/>
            <w:shd w:val="clear" w:color="auto" w:fill="FEFAF8"/>
          </w:tcPr>
          <w:p w14:paraId="724CB7ED" w14:textId="77777777" w:rsidR="0079347A" w:rsidRPr="000F23E0" w:rsidRDefault="0079347A" w:rsidP="007638E8">
            <w:pPr>
              <w:pStyle w:val="TableTextRight"/>
              <w:cnfStyle w:val="000000000000" w:firstRow="0" w:lastRow="0" w:firstColumn="0" w:lastColumn="0" w:oddVBand="0" w:evenVBand="0" w:oddHBand="0" w:evenHBand="0" w:firstRowFirstColumn="0" w:firstRowLastColumn="0" w:lastRowFirstColumn="0" w:lastRowLastColumn="0"/>
            </w:pPr>
            <w:r w:rsidRPr="000F23E0">
              <w:t>760</w:t>
            </w:r>
            <w:r w:rsidRPr="000F23E0">
              <w:rPr>
                <w:rStyle w:val="EndnoteReference"/>
              </w:rPr>
              <w:endnoteReference w:id="59"/>
            </w:r>
          </w:p>
        </w:tc>
        <w:tc>
          <w:tcPr>
            <w:tcW w:w="1843" w:type="dxa"/>
            <w:shd w:val="clear" w:color="auto" w:fill="FEFAF8"/>
          </w:tcPr>
          <w:p w14:paraId="0438FD95" w14:textId="77777777" w:rsidR="0079347A" w:rsidRPr="000F23E0" w:rsidRDefault="0079347A" w:rsidP="007638E8">
            <w:pPr>
              <w:pStyle w:val="TableTextRight"/>
              <w:cnfStyle w:val="000000000000" w:firstRow="0" w:lastRow="0" w:firstColumn="0" w:lastColumn="0" w:oddVBand="0" w:evenVBand="0" w:oddHBand="0" w:evenHBand="0" w:firstRowFirstColumn="0" w:firstRowLastColumn="0" w:lastRowFirstColumn="0" w:lastRowLastColumn="0"/>
            </w:pPr>
            <w:r w:rsidRPr="000F23E0">
              <w:t>Projected</w:t>
            </w:r>
          </w:p>
        </w:tc>
        <w:tc>
          <w:tcPr>
            <w:tcW w:w="1420" w:type="dxa"/>
            <w:shd w:val="clear" w:color="auto" w:fill="FEFAF8"/>
          </w:tcPr>
          <w:p w14:paraId="1964E19F" w14:textId="77777777" w:rsidR="0079347A" w:rsidRPr="000F23E0" w:rsidRDefault="0079347A" w:rsidP="007638E8">
            <w:pPr>
              <w:pStyle w:val="TableTextRight"/>
              <w:cnfStyle w:val="000000000000" w:firstRow="0" w:lastRow="0" w:firstColumn="0" w:lastColumn="0" w:oddVBand="0" w:evenVBand="0" w:oddHBand="0" w:evenHBand="0" w:firstRowFirstColumn="0" w:firstRowLastColumn="0" w:lastRowFirstColumn="0" w:lastRowLastColumn="0"/>
            </w:pPr>
            <w:r w:rsidRPr="000F23E0">
              <w:t>Project lifetime</w:t>
            </w:r>
          </w:p>
        </w:tc>
      </w:tr>
      <w:tr w:rsidR="00011363" w:rsidRPr="000F23E0" w14:paraId="1C0CFC9D" w14:textId="77777777" w:rsidTr="008657A5">
        <w:trPr>
          <w:trHeight w:val="230"/>
        </w:trPr>
        <w:tc>
          <w:tcPr>
            <w:cnfStyle w:val="001000000000" w:firstRow="0" w:lastRow="0" w:firstColumn="1" w:lastColumn="0" w:oddVBand="0" w:evenVBand="0" w:oddHBand="0" w:evenHBand="0" w:firstRowFirstColumn="0" w:firstRowLastColumn="0" w:lastRowFirstColumn="0" w:lastRowLastColumn="0"/>
            <w:tcW w:w="1555" w:type="dxa"/>
            <w:vMerge/>
            <w:shd w:val="clear" w:color="auto" w:fill="FDF0E7"/>
          </w:tcPr>
          <w:p w14:paraId="77054978" w14:textId="77777777" w:rsidR="00011363" w:rsidRPr="000F23E0" w:rsidRDefault="00011363" w:rsidP="00EA63A3">
            <w:pPr>
              <w:pStyle w:val="TableTextRight"/>
              <w:spacing w:before="120" w:after="120"/>
            </w:pPr>
          </w:p>
        </w:tc>
        <w:tc>
          <w:tcPr>
            <w:tcW w:w="3118" w:type="dxa"/>
            <w:shd w:val="clear" w:color="auto" w:fill="FEFAF8"/>
          </w:tcPr>
          <w:p w14:paraId="20E065D3" w14:textId="09CD21E1" w:rsidR="00011363" w:rsidRPr="000F23E0" w:rsidRDefault="00011363" w:rsidP="007638E8">
            <w:pPr>
              <w:pStyle w:val="TableTextLeft"/>
              <w:cnfStyle w:val="000000000000" w:firstRow="0" w:lastRow="0" w:firstColumn="0" w:lastColumn="0" w:oddVBand="0" w:evenVBand="0" w:oddHBand="0" w:evenHBand="0" w:firstRowFirstColumn="0" w:firstRowLastColumn="0" w:lastRowFirstColumn="0" w:lastRowLastColumn="0"/>
            </w:pPr>
            <w:r w:rsidRPr="000F23E0">
              <w:t>Canberra Light Rail</w:t>
            </w:r>
          </w:p>
        </w:tc>
        <w:tc>
          <w:tcPr>
            <w:tcW w:w="1134" w:type="dxa"/>
            <w:shd w:val="clear" w:color="auto" w:fill="FEFAF8"/>
          </w:tcPr>
          <w:p w14:paraId="5BAF1269" w14:textId="70A4A323" w:rsidR="00011363" w:rsidRPr="000F23E0" w:rsidRDefault="00011363" w:rsidP="007638E8">
            <w:pPr>
              <w:pStyle w:val="TableTextRight"/>
              <w:cnfStyle w:val="000000000000" w:firstRow="0" w:lastRow="0" w:firstColumn="0" w:lastColumn="0" w:oddVBand="0" w:evenVBand="0" w:oddHBand="0" w:evenHBand="0" w:firstRowFirstColumn="0" w:firstRowLastColumn="0" w:lastRowFirstColumn="0" w:lastRowLastColumn="0"/>
            </w:pPr>
            <w:r w:rsidRPr="000F23E0">
              <w:t>1,000</w:t>
            </w:r>
          </w:p>
        </w:tc>
        <w:tc>
          <w:tcPr>
            <w:tcW w:w="1843" w:type="dxa"/>
            <w:shd w:val="clear" w:color="auto" w:fill="FEFAF8"/>
          </w:tcPr>
          <w:p w14:paraId="66624047" w14:textId="2B9BB23D" w:rsidR="00011363" w:rsidRPr="000F23E0" w:rsidRDefault="00011363" w:rsidP="007638E8">
            <w:pPr>
              <w:pStyle w:val="TableTextRight"/>
              <w:cnfStyle w:val="000000000000" w:firstRow="0" w:lastRow="0" w:firstColumn="0" w:lastColumn="0" w:oddVBand="0" w:evenVBand="0" w:oddHBand="0" w:evenHBand="0" w:firstRowFirstColumn="0" w:firstRowLastColumn="0" w:lastRowFirstColumn="0" w:lastRowLastColumn="0"/>
            </w:pPr>
            <w:r w:rsidRPr="000F23E0">
              <w:t>Projected</w:t>
            </w:r>
          </w:p>
        </w:tc>
        <w:tc>
          <w:tcPr>
            <w:tcW w:w="1420" w:type="dxa"/>
            <w:shd w:val="clear" w:color="auto" w:fill="FEFAF8"/>
          </w:tcPr>
          <w:p w14:paraId="6248C07A" w14:textId="425E86A6" w:rsidR="00011363" w:rsidRPr="000F23E0" w:rsidRDefault="00011363" w:rsidP="007638E8">
            <w:pPr>
              <w:pStyle w:val="TableTextRight"/>
              <w:cnfStyle w:val="000000000000" w:firstRow="0" w:lastRow="0" w:firstColumn="0" w:lastColumn="0" w:oddVBand="0" w:evenVBand="0" w:oddHBand="0" w:evenHBand="0" w:firstRowFirstColumn="0" w:firstRowLastColumn="0" w:lastRowFirstColumn="0" w:lastRowLastColumn="0"/>
            </w:pPr>
            <w:r w:rsidRPr="000F23E0">
              <w:t>Project lifetime</w:t>
            </w:r>
          </w:p>
        </w:tc>
      </w:tr>
      <w:tr w:rsidR="00B778E8" w:rsidRPr="000F23E0" w14:paraId="6C9CB918" w14:textId="77777777" w:rsidTr="008657A5">
        <w:trPr>
          <w:trHeight w:val="230"/>
        </w:trPr>
        <w:tc>
          <w:tcPr>
            <w:cnfStyle w:val="001000000000" w:firstRow="0" w:lastRow="0" w:firstColumn="1" w:lastColumn="0" w:oddVBand="0" w:evenVBand="0" w:oddHBand="0" w:evenHBand="0" w:firstRowFirstColumn="0" w:firstRowLastColumn="0" w:lastRowFirstColumn="0" w:lastRowLastColumn="0"/>
            <w:tcW w:w="1555" w:type="dxa"/>
            <w:vMerge/>
            <w:shd w:val="clear" w:color="auto" w:fill="FDF0E7"/>
          </w:tcPr>
          <w:p w14:paraId="1138A485" w14:textId="77777777" w:rsidR="00B778E8" w:rsidRPr="000F23E0" w:rsidRDefault="00B778E8" w:rsidP="00B778E8">
            <w:pPr>
              <w:pStyle w:val="TableTextRight"/>
              <w:spacing w:before="120" w:after="120"/>
            </w:pPr>
          </w:p>
        </w:tc>
        <w:tc>
          <w:tcPr>
            <w:tcW w:w="3118" w:type="dxa"/>
            <w:shd w:val="clear" w:color="auto" w:fill="FEFAF8"/>
          </w:tcPr>
          <w:p w14:paraId="450C36D7" w14:textId="187745FF" w:rsidR="00B778E8" w:rsidRPr="000F23E0" w:rsidRDefault="00B778E8" w:rsidP="00B778E8">
            <w:pPr>
              <w:pStyle w:val="TableTextLeft"/>
              <w:cnfStyle w:val="000000000000" w:firstRow="0" w:lastRow="0" w:firstColumn="0" w:lastColumn="0" w:oddVBand="0" w:evenVBand="0" w:oddHBand="0" w:evenHBand="0" w:firstRowFirstColumn="0" w:firstRowLastColumn="0" w:lastRowFirstColumn="0" w:lastRowLastColumn="0"/>
            </w:pPr>
            <w:r w:rsidRPr="000F23E0">
              <w:rPr>
                <w:b/>
                <w:bCs/>
              </w:rPr>
              <w:t>Total</w:t>
            </w:r>
          </w:p>
        </w:tc>
        <w:tc>
          <w:tcPr>
            <w:tcW w:w="1134" w:type="dxa"/>
            <w:shd w:val="clear" w:color="auto" w:fill="FEFAF8"/>
          </w:tcPr>
          <w:p w14:paraId="00A0BC9D" w14:textId="32C512A4" w:rsidR="00B778E8" w:rsidRPr="000F23E0" w:rsidRDefault="00B778E8" w:rsidP="00B778E8">
            <w:pPr>
              <w:pStyle w:val="TableTextRight"/>
              <w:cnfStyle w:val="000000000000" w:firstRow="0" w:lastRow="0" w:firstColumn="0" w:lastColumn="0" w:oddVBand="0" w:evenVBand="0" w:oddHBand="0" w:evenHBand="0" w:firstRowFirstColumn="0" w:firstRowLastColumn="0" w:lastRowFirstColumn="0" w:lastRowLastColumn="0"/>
            </w:pPr>
            <w:r w:rsidRPr="000F23E0">
              <w:rPr>
                <w:b/>
                <w:bCs/>
              </w:rPr>
              <w:t>29,685</w:t>
            </w:r>
          </w:p>
        </w:tc>
        <w:tc>
          <w:tcPr>
            <w:tcW w:w="1843" w:type="dxa"/>
            <w:shd w:val="clear" w:color="auto" w:fill="FEFAF8"/>
          </w:tcPr>
          <w:p w14:paraId="317072BB" w14:textId="77777777" w:rsidR="00B778E8" w:rsidRPr="000F23E0" w:rsidRDefault="00B778E8" w:rsidP="00B778E8">
            <w:pPr>
              <w:pStyle w:val="TableTextRight"/>
              <w:cnfStyle w:val="000000000000" w:firstRow="0" w:lastRow="0" w:firstColumn="0" w:lastColumn="0" w:oddVBand="0" w:evenVBand="0" w:oddHBand="0" w:evenHBand="0" w:firstRowFirstColumn="0" w:firstRowLastColumn="0" w:lastRowFirstColumn="0" w:lastRowLastColumn="0"/>
            </w:pPr>
          </w:p>
        </w:tc>
        <w:tc>
          <w:tcPr>
            <w:tcW w:w="1420" w:type="dxa"/>
            <w:shd w:val="clear" w:color="auto" w:fill="FEFAF8"/>
          </w:tcPr>
          <w:p w14:paraId="41EE4368" w14:textId="77777777" w:rsidR="00B778E8" w:rsidRPr="000F23E0" w:rsidRDefault="00B778E8" w:rsidP="00B778E8">
            <w:pPr>
              <w:pStyle w:val="TableTextRight"/>
              <w:cnfStyle w:val="000000000000" w:firstRow="0" w:lastRow="0" w:firstColumn="0" w:lastColumn="0" w:oddVBand="0" w:evenVBand="0" w:oddHBand="0" w:evenHBand="0" w:firstRowFirstColumn="0" w:firstRowLastColumn="0" w:lastRowFirstColumn="0" w:lastRowLastColumn="0"/>
            </w:pPr>
          </w:p>
        </w:tc>
      </w:tr>
    </w:tbl>
    <w:p w14:paraId="067D587F" w14:textId="5D8C3DEA" w:rsidR="0079347A" w:rsidRPr="000F23E0" w:rsidRDefault="0079347A" w:rsidP="00EB55E2">
      <w:pPr>
        <w:pStyle w:val="ChartandTableFootnoteAlpha"/>
        <w:numPr>
          <w:ilvl w:val="0"/>
          <w:numId w:val="10"/>
        </w:numPr>
      </w:pPr>
      <w:r w:rsidRPr="000F23E0">
        <w:t>Only recorded for Thornlie</w:t>
      </w:r>
      <w:r w:rsidR="002C4475" w:rsidRPr="000F23E0">
        <w:noBreakHyphen/>
      </w:r>
      <w:r w:rsidRPr="000F23E0">
        <w:t>Cockburn Link and Yanchep Rail Extension projects.</w:t>
      </w:r>
    </w:p>
    <w:p w14:paraId="11B8A681" w14:textId="77777777" w:rsidR="0079347A" w:rsidRPr="000F23E0" w:rsidRDefault="0079347A" w:rsidP="0079347A">
      <w:pPr>
        <w:spacing w:before="0" w:after="160" w:line="259" w:lineRule="auto"/>
      </w:pPr>
      <w:r w:rsidRPr="000F23E0">
        <w:br w:type="page"/>
      </w:r>
    </w:p>
    <w:tbl>
      <w:tblPr>
        <w:tblW w:w="5000" w:type="pct"/>
        <w:tblCellMar>
          <w:top w:w="113" w:type="dxa"/>
          <w:left w:w="284" w:type="dxa"/>
          <w:bottom w:w="227" w:type="dxa"/>
          <w:right w:w="284" w:type="dxa"/>
        </w:tblCellMar>
        <w:tblLook w:val="04A0" w:firstRow="1" w:lastRow="0" w:firstColumn="1" w:lastColumn="0" w:noHBand="0" w:noVBand="1"/>
      </w:tblPr>
      <w:tblGrid>
        <w:gridCol w:w="9070"/>
      </w:tblGrid>
      <w:tr w:rsidR="00E8547F" w:rsidRPr="000F23E0" w14:paraId="4987691A" w14:textId="77777777" w:rsidTr="008657A5">
        <w:tc>
          <w:tcPr>
            <w:tcW w:w="5000" w:type="pct"/>
            <w:shd w:val="clear" w:color="auto" w:fill="FDF0E7"/>
            <w:hideMark/>
          </w:tcPr>
          <w:p w14:paraId="1764B0DA" w14:textId="39AC6568" w:rsidR="00E8547F" w:rsidRPr="000F23E0" w:rsidRDefault="00E8547F" w:rsidP="00E8547F">
            <w:pPr>
              <w:pStyle w:val="Caseheading"/>
            </w:pPr>
            <w:r w:rsidRPr="000F23E0">
              <w:lastRenderedPageBreak/>
              <w:t>Case study 7: METRONET</w:t>
            </w:r>
          </w:p>
          <w:p w14:paraId="22FA0CC5" w14:textId="100501A5" w:rsidR="00E8547F" w:rsidRPr="000F23E0" w:rsidRDefault="00E8547F" w:rsidP="00D05E2B">
            <w:pPr>
              <w:pStyle w:val="BoxText"/>
            </w:pPr>
            <w:r w:rsidRPr="000F23E0">
              <w:t>METRONET is the single largest public transport investment Perth has seen. It is a vision for a well-connected city with more transport, housing and employment choices. With approximately 72 kms of new passenger rail and 23 new stations, METRONET is a catalyst to turn more than 8,000 hectares of land around new stations into desirable places to live, work and play.</w:t>
            </w:r>
            <w:r w:rsidR="00123EFB" w:rsidRPr="000F23E0">
              <w:rPr>
                <w:rStyle w:val="EndnoteReference"/>
              </w:rPr>
              <w:endnoteReference w:id="60"/>
            </w:r>
            <w:r w:rsidRPr="000F23E0">
              <w:t xml:space="preserve"> </w:t>
            </w:r>
          </w:p>
          <w:p w14:paraId="6DC8A633" w14:textId="07732EF1" w:rsidR="00E8547F" w:rsidRPr="000F23E0" w:rsidRDefault="00E8547F" w:rsidP="00D05E2B">
            <w:pPr>
              <w:pStyle w:val="BoxText"/>
            </w:pPr>
            <w:r w:rsidRPr="000F23E0">
              <w:t xml:space="preserve">METRONET aims for sustainability through planning, design, procurement, and construction of transport infrastructure, stations and precincts. METRONET’s </w:t>
            </w:r>
            <w:hyperlink r:id="rId65" w:history="1">
              <w:r w:rsidRPr="000F23E0">
                <w:rPr>
                  <w:rStyle w:val="Hyperlink"/>
                </w:rPr>
                <w:t>Sustainability Strategy</w:t>
              </w:r>
            </w:hyperlink>
            <w:r w:rsidRPr="000F23E0">
              <w:t xml:space="preserve"> is aligned to independent certification schemes including the Green Building Council of Australia Green Star ratings, and Infrastructure Sustainability Council Ratings.</w:t>
            </w:r>
          </w:p>
          <w:p w14:paraId="22A0423A" w14:textId="77777777" w:rsidR="00E8547F" w:rsidRPr="000F23E0" w:rsidRDefault="00E8547F" w:rsidP="00D05E2B">
            <w:pPr>
              <w:pStyle w:val="BoxText"/>
            </w:pPr>
            <w:r w:rsidRPr="000F23E0">
              <w:t>The Australian Government has committed $4.2 billion in funding to 5 METRONET projects through GTBs. These projects include:</w:t>
            </w:r>
          </w:p>
          <w:p w14:paraId="73A40624" w14:textId="77777777" w:rsidR="00E8547F" w:rsidRPr="000F23E0" w:rsidRDefault="00E8547F" w:rsidP="00D05E2B">
            <w:pPr>
              <w:pStyle w:val="Boxbullet"/>
            </w:pPr>
            <w:r w:rsidRPr="000F23E0">
              <w:t>Byford Rail Extension</w:t>
            </w:r>
          </w:p>
          <w:p w14:paraId="768C7648" w14:textId="77777777" w:rsidR="00E8547F" w:rsidRPr="000F23E0" w:rsidRDefault="00E8547F" w:rsidP="00D05E2B">
            <w:pPr>
              <w:pStyle w:val="Boxbullet"/>
            </w:pPr>
            <w:r w:rsidRPr="000F23E0">
              <w:t>Victoria Park-Canning Level Crossing Removal</w:t>
            </w:r>
          </w:p>
          <w:p w14:paraId="05A294E2" w14:textId="77777777" w:rsidR="00E8547F" w:rsidRPr="000F23E0" w:rsidRDefault="00E8547F" w:rsidP="00D05E2B">
            <w:pPr>
              <w:pStyle w:val="Boxbullet"/>
            </w:pPr>
            <w:r w:rsidRPr="000F23E0">
              <w:t>Morley-Ellenbrook Line</w:t>
            </w:r>
          </w:p>
          <w:p w14:paraId="493644CB" w14:textId="77777777" w:rsidR="00E8547F" w:rsidRPr="000F23E0" w:rsidRDefault="00E8547F" w:rsidP="00D05E2B">
            <w:pPr>
              <w:pStyle w:val="Boxbullet"/>
            </w:pPr>
            <w:r w:rsidRPr="000F23E0">
              <w:t>Thornlie-Cockburn Link</w:t>
            </w:r>
          </w:p>
          <w:p w14:paraId="2B8677AD" w14:textId="77777777" w:rsidR="00E8547F" w:rsidRPr="000F23E0" w:rsidRDefault="00E8547F" w:rsidP="00D05E2B">
            <w:pPr>
              <w:pStyle w:val="Boxbullet"/>
            </w:pPr>
            <w:r w:rsidRPr="000F23E0">
              <w:t>Yanchep Rail Extension</w:t>
            </w:r>
          </w:p>
          <w:p w14:paraId="7B143E48" w14:textId="77777777" w:rsidR="00E8547F" w:rsidRPr="000F23E0" w:rsidRDefault="00E8547F" w:rsidP="00D05E2B">
            <w:pPr>
              <w:pStyle w:val="BoxText"/>
              <w:rPr>
                <w:b/>
              </w:rPr>
            </w:pPr>
            <w:r w:rsidRPr="000F23E0">
              <w:t>The Byford Rail Extension project aims to connect residents in Byford and the wider Serpentine-Jarrahdale area to the Perth CBD. The project is now officially opened and has replaced existing stations and crossings with elevated stations and elevated rail to improve traffic flow and ease road congestion. The project</w:t>
            </w:r>
            <w:r w:rsidRPr="000F23E0" w:rsidDel="001A5B05">
              <w:t xml:space="preserve"> </w:t>
            </w:r>
            <w:r w:rsidRPr="000F23E0">
              <w:t>improved pedestrian access in city centres with an 8km shared bike and pedestrian path, and 2 pedestrian bridges.</w:t>
            </w:r>
            <w:r w:rsidRPr="000F23E0">
              <w:rPr>
                <w:rStyle w:val="EndnoteReference"/>
                <w:rFonts w:cs="Calibri Light"/>
              </w:rPr>
              <w:endnoteReference w:id="61"/>
            </w:r>
            <w:r w:rsidRPr="000F23E0">
              <w:t xml:space="preserve"> </w:t>
            </w:r>
          </w:p>
          <w:p w14:paraId="52A65381" w14:textId="77777777" w:rsidR="00E8547F" w:rsidRPr="000F23E0" w:rsidRDefault="00E8547F" w:rsidP="00D05E2B">
            <w:pPr>
              <w:pStyle w:val="BoxText"/>
              <w:rPr>
                <w:b/>
              </w:rPr>
            </w:pPr>
            <w:r w:rsidRPr="000F23E0">
              <w:t>The Victoria Park-Canning Level Crossing Removal removed 6 level crossings along the Armadale Line by raising the rail over the road and building elevated stations. The project created over 600 parking bays, storage space for nearly 300 bicycles, 24 bus stands, and is expected to result in 4,375 new jobs.</w:t>
            </w:r>
            <w:r w:rsidRPr="000F23E0">
              <w:rPr>
                <w:rStyle w:val="EndnoteReference"/>
                <w:rFonts w:cs="Calibri Light"/>
              </w:rPr>
              <w:endnoteReference w:id="62"/>
            </w:r>
            <w:r w:rsidRPr="000F23E0">
              <w:t xml:space="preserve"> The project became operational in June 2025. A joint opening celebration was held on 12 October 2025 with the Byford Rail Extension.</w:t>
            </w:r>
          </w:p>
          <w:p w14:paraId="57F76917" w14:textId="58B8385D" w:rsidR="008657A5" w:rsidRPr="000F23E0" w:rsidRDefault="00E8547F" w:rsidP="00BA0320">
            <w:pPr>
              <w:pStyle w:val="BoxText"/>
            </w:pPr>
            <w:r w:rsidRPr="000F23E0">
              <w:t>The Morley-Ellenbrook Line is a 21 km development that increased public transport in Perth’s northeastern suburbs. With construction completed in November 2024, public transport travel time is expected to be cut by 50 per cent, with 3,000 jobs created over the project lifetime.</w:t>
            </w:r>
            <w:r w:rsidRPr="000F23E0">
              <w:rPr>
                <w:rStyle w:val="EndnoteReference"/>
                <w:rFonts w:cs="Calibri Light"/>
              </w:rPr>
              <w:endnoteReference w:id="63"/>
            </w:r>
            <w:r w:rsidRPr="000F23E0">
              <w:t xml:space="preserve"> </w:t>
            </w:r>
          </w:p>
        </w:tc>
      </w:tr>
    </w:tbl>
    <w:p w14:paraId="0731B07E" w14:textId="08460B00" w:rsidR="00384DD3" w:rsidRPr="000F23E0" w:rsidRDefault="00384DD3" w:rsidP="005851A8">
      <w:pPr>
        <w:spacing w:before="0" w:after="160" w:line="259" w:lineRule="auto"/>
      </w:pPr>
      <w:r w:rsidRPr="000F23E0">
        <w:br w:type="page"/>
      </w:r>
    </w:p>
    <w:tbl>
      <w:tblPr>
        <w:tblW w:w="5000" w:type="pct"/>
        <w:tblCellMar>
          <w:top w:w="113" w:type="dxa"/>
          <w:left w:w="284" w:type="dxa"/>
          <w:bottom w:w="227" w:type="dxa"/>
          <w:right w:w="284" w:type="dxa"/>
        </w:tblCellMar>
        <w:tblLook w:val="04A0" w:firstRow="1" w:lastRow="0" w:firstColumn="1" w:lastColumn="0" w:noHBand="0" w:noVBand="1"/>
      </w:tblPr>
      <w:tblGrid>
        <w:gridCol w:w="9070"/>
      </w:tblGrid>
      <w:tr w:rsidR="005851A8" w:rsidRPr="000F23E0" w14:paraId="6ABFF6FF" w14:textId="77777777" w:rsidTr="00A8113C">
        <w:tc>
          <w:tcPr>
            <w:tcW w:w="5000" w:type="pct"/>
            <w:shd w:val="clear" w:color="auto" w:fill="FDF0E7"/>
            <w:hideMark/>
          </w:tcPr>
          <w:p w14:paraId="6F0BE1A7" w14:textId="77777777" w:rsidR="005851A8" w:rsidRPr="000F23E0" w:rsidRDefault="005851A8" w:rsidP="00A8113C">
            <w:pPr>
              <w:pStyle w:val="BoxText"/>
              <w:rPr>
                <w:b/>
              </w:rPr>
            </w:pPr>
            <w:r w:rsidRPr="000F23E0">
              <w:lastRenderedPageBreak/>
              <w:t>The Thornlie-Cockburn Link is Perth’s first east-west cross line connection, making travel more flexible and easier for residents in the city’s south-eastern suburbs. Two new stations are expected to cater to 4,335 daily boardings by 2031, and the project will create 1,680 new jobs through the construction process.</w:t>
            </w:r>
            <w:r w:rsidRPr="000F23E0">
              <w:rPr>
                <w:rStyle w:val="EndnoteReference"/>
                <w:rFonts w:cs="Calibri Light"/>
              </w:rPr>
              <w:endnoteReference w:id="64"/>
            </w:r>
            <w:r w:rsidRPr="000F23E0">
              <w:t xml:space="preserve"> </w:t>
            </w:r>
          </w:p>
          <w:p w14:paraId="35DCB8B5" w14:textId="77777777" w:rsidR="005851A8" w:rsidRPr="000F23E0" w:rsidRDefault="005851A8" w:rsidP="00A8113C">
            <w:pPr>
              <w:pStyle w:val="BoxText"/>
              <w:rPr>
                <w:b/>
              </w:rPr>
            </w:pPr>
            <w:r w:rsidRPr="000F23E0">
              <w:t>The Yanchep Rail Extension project delivered a 14.5 km section of the Joondalup Line from Butler to Yanchep, to support regional population growth and reduce congestion. The project was completed in July 2024 and supported over 1,300 jobs during its construction.</w:t>
            </w:r>
            <w:r w:rsidRPr="000F23E0">
              <w:rPr>
                <w:rStyle w:val="EndnoteReference"/>
                <w:rFonts w:cs="Calibri Light"/>
              </w:rPr>
              <w:endnoteReference w:id="65"/>
            </w:r>
            <w:r w:rsidRPr="000F23E0">
              <w:t xml:space="preserve"> </w:t>
            </w:r>
          </w:p>
          <w:p w14:paraId="6FA6C71A" w14:textId="77777777" w:rsidR="005851A8" w:rsidRPr="000F23E0" w:rsidRDefault="005851A8" w:rsidP="00A8113C">
            <w:pPr>
              <w:pStyle w:val="BoxText"/>
            </w:pPr>
            <w:r w:rsidRPr="000F23E0">
              <w:t xml:space="preserve">Further information about the various METRONET projects can be found at the </w:t>
            </w:r>
            <w:hyperlink r:id="rId66" w:history="1">
              <w:r w:rsidRPr="000F23E0">
                <w:rPr>
                  <w:rStyle w:val="Hyperlink"/>
                  <w:rFonts w:cs="Calibri Light"/>
                </w:rPr>
                <w:t>METRONET website</w:t>
              </w:r>
            </w:hyperlink>
            <w:r w:rsidRPr="000F23E0">
              <w:t>.</w:t>
            </w:r>
          </w:p>
          <w:p w14:paraId="6C3117FE" w14:textId="77777777" w:rsidR="005851A8" w:rsidRPr="000F23E0" w:rsidRDefault="005851A8" w:rsidP="00A8113C">
            <w:pPr>
              <w:pStyle w:val="BoxText"/>
              <w:spacing w:before="300"/>
            </w:pPr>
            <w:r w:rsidRPr="000F23E0">
              <w:drawing>
                <wp:inline distT="0" distB="0" distL="0" distR="0" wp14:anchorId="26FA121F" wp14:editId="6295E967">
                  <wp:extent cx="5401339" cy="4051302"/>
                  <wp:effectExtent l="0" t="0" r="8890" b="6350"/>
                  <wp:docPr id="1005716002" name="Picture 7" descr="The entrance of a train station, with a footpath marked out and garden beds surrounding. There is also a playground in the backgrou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814436" name="Picture 7" descr="The entrance of a train station, with a footpath marked out and garden beds surrounding. There is also a playground in the background. "/>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404382" cy="4053584"/>
                          </a:xfrm>
                          <a:prstGeom prst="rect">
                            <a:avLst/>
                          </a:prstGeom>
                        </pic:spPr>
                      </pic:pic>
                    </a:graphicData>
                  </a:graphic>
                </wp:inline>
              </w:drawing>
            </w:r>
          </w:p>
          <w:p w14:paraId="32726CAD" w14:textId="54A4DC5A" w:rsidR="005851A8" w:rsidRPr="000F23E0" w:rsidRDefault="005851A8" w:rsidP="00A8113C">
            <w:pPr>
              <w:pStyle w:val="ChartorTableNote"/>
            </w:pPr>
            <w:r w:rsidRPr="000F23E0">
              <w:t xml:space="preserve">Byford Railway Station in Perth, Western Australia. Photo courtesy of </w:t>
            </w:r>
            <w:r w:rsidR="00503526" w:rsidRPr="000F23E0">
              <w:t>Public Transport Authority of Western Australia</w:t>
            </w:r>
            <w:r w:rsidRPr="000F23E0">
              <w:t>.</w:t>
            </w:r>
          </w:p>
        </w:tc>
      </w:tr>
    </w:tbl>
    <w:p w14:paraId="0E62F609" w14:textId="0E12A883" w:rsidR="002D33EA" w:rsidRPr="000F23E0" w:rsidRDefault="002D33EA" w:rsidP="002D33EA">
      <w:r w:rsidRPr="000F23E0">
        <w:br w:type="page"/>
      </w:r>
    </w:p>
    <w:p w14:paraId="60F1E4CE" w14:textId="4C630927" w:rsidR="0079347A" w:rsidRPr="000F23E0" w:rsidRDefault="0079347A" w:rsidP="006475BB">
      <w:pPr>
        <w:pStyle w:val="Heading2"/>
      </w:pPr>
      <w:bookmarkStart w:id="224" w:name="_Toc225155774"/>
      <w:r w:rsidRPr="000F23E0">
        <w:lastRenderedPageBreak/>
        <w:t>Driving the Nation Fund</w:t>
      </w:r>
      <w:bookmarkEnd w:id="224"/>
    </w:p>
    <w:p w14:paraId="3AE39FB5" w14:textId="7DA2DB14" w:rsidR="0079347A" w:rsidRPr="000F23E0" w:rsidRDefault="0079347A" w:rsidP="00342AE6">
      <w:r w:rsidRPr="000F23E0">
        <w:t xml:space="preserve">The Driving the Nation Fund aims to enable </w:t>
      </w:r>
      <w:r w:rsidR="00384A2B" w:rsidRPr="000F23E0">
        <w:t xml:space="preserve">the </w:t>
      </w:r>
      <w:r w:rsidRPr="000F23E0">
        <w:t>shift to electric vehicles (EVs). It supports transformational infrastructure by expanding the national rollout of EV charging and hydrogen refuelling infrastructure, the electrification of heavy vehicle fleets</w:t>
      </w:r>
      <w:r w:rsidR="00384A2B" w:rsidRPr="000F23E0">
        <w:t>,</w:t>
      </w:r>
      <w:r w:rsidRPr="000F23E0">
        <w:t xml:space="preserve"> and innovation in electric vehicle charging solutions across Australia.</w:t>
      </w:r>
    </w:p>
    <w:p w14:paraId="4972B9AC" w14:textId="574D3517" w:rsidR="0079347A" w:rsidRPr="000F23E0" w:rsidRDefault="00103556" w:rsidP="00342AE6">
      <w:r w:rsidRPr="000F23E0">
        <w:t>Three</w:t>
      </w:r>
      <w:r w:rsidR="0079347A" w:rsidRPr="000F23E0">
        <w:t xml:space="preserve"> elements of the Driving the Nation Fund </w:t>
      </w:r>
      <w:r w:rsidR="1ABE041D" w:rsidRPr="000F23E0">
        <w:t>we</w:t>
      </w:r>
      <w:r w:rsidR="0079347A" w:rsidRPr="000F23E0">
        <w:t xml:space="preserve">re financed through </w:t>
      </w:r>
      <w:r w:rsidR="00611CEF" w:rsidRPr="000F23E0">
        <w:t>GTB</w:t>
      </w:r>
      <w:r w:rsidR="0079347A" w:rsidRPr="000F23E0">
        <w:t>s in the reporting period</w:t>
      </w:r>
      <w:r w:rsidR="00384A2B" w:rsidRPr="000F23E0">
        <w:t>.</w:t>
      </w:r>
    </w:p>
    <w:p w14:paraId="5149C9EF" w14:textId="185F1308" w:rsidR="0079347A" w:rsidRPr="000F23E0" w:rsidRDefault="0079347A" w:rsidP="00342AE6">
      <w:pPr>
        <w:pStyle w:val="Bullet"/>
      </w:pPr>
      <w:r w:rsidRPr="000F23E0">
        <w:t>Driving the Nation Program</w:t>
      </w:r>
      <w:r w:rsidR="008A6D3B" w:rsidRPr="000F23E0">
        <w:t xml:space="preserve"> – </w:t>
      </w:r>
      <w:r w:rsidRPr="000F23E0">
        <w:t>to co</w:t>
      </w:r>
      <w:r w:rsidR="002C4475" w:rsidRPr="000F23E0">
        <w:noBreakHyphen/>
      </w:r>
      <w:r w:rsidRPr="000F23E0">
        <w:t xml:space="preserve">fund initiatives </w:t>
      </w:r>
      <w:r w:rsidR="008A6D3B" w:rsidRPr="000F23E0">
        <w:t>to</w:t>
      </w:r>
      <w:r w:rsidRPr="000F23E0">
        <w:t xml:space="preserve"> reduce road transport emissions (ARENA).</w:t>
      </w:r>
    </w:p>
    <w:p w14:paraId="16D4B67C" w14:textId="0D8E063E" w:rsidR="0079347A" w:rsidRPr="000F23E0" w:rsidRDefault="0079347A" w:rsidP="00342AE6">
      <w:pPr>
        <w:pStyle w:val="Bullet"/>
      </w:pPr>
      <w:r w:rsidRPr="000F23E0">
        <w:t>National EV charging network</w:t>
      </w:r>
      <w:r w:rsidR="008A6D3B" w:rsidRPr="000F23E0">
        <w:t xml:space="preserve"> – </w:t>
      </w:r>
      <w:r w:rsidRPr="000F23E0">
        <w:t xml:space="preserve">to help deliver </w:t>
      </w:r>
      <w:r w:rsidR="0016051B" w:rsidRPr="000F23E0">
        <w:t xml:space="preserve">up to </w:t>
      </w:r>
      <w:r w:rsidRPr="000F23E0">
        <w:t>117 EV chargers on key highway routes across Australia (DCCEEW).</w:t>
      </w:r>
    </w:p>
    <w:p w14:paraId="01547B02" w14:textId="738B5282" w:rsidR="000776B8" w:rsidRPr="000F23E0" w:rsidRDefault="000776B8" w:rsidP="000776B8">
      <w:pPr>
        <w:pStyle w:val="Bullet"/>
      </w:pPr>
      <w:r w:rsidRPr="000F23E0">
        <w:t>Dealership and Repairer Initiative for Vehicle Electrification Nationally (DRIVEN) Program</w:t>
      </w:r>
      <w:r w:rsidR="008A6D3B" w:rsidRPr="000F23E0">
        <w:t xml:space="preserve"> – </w:t>
      </w:r>
      <w:r w:rsidRPr="000F23E0">
        <w:t>to support the installation of EV charging infrastructure at automotive dealerships and EV repairers across the country (DCCEEW).</w:t>
      </w:r>
    </w:p>
    <w:p w14:paraId="796972A8" w14:textId="27589486" w:rsidR="0079347A" w:rsidRPr="000F23E0" w:rsidRDefault="0079347A" w:rsidP="00A87E1E">
      <w:pPr>
        <w:pStyle w:val="Heading3"/>
      </w:pPr>
      <w:r w:rsidRPr="000F23E0">
        <w:t xml:space="preserve">Green Treasury Bond </w:t>
      </w:r>
      <w:r w:rsidR="006B1D65" w:rsidRPr="000F23E0">
        <w:t>a</w:t>
      </w:r>
      <w:r w:rsidRPr="000F23E0">
        <w:t>llocation</w:t>
      </w:r>
    </w:p>
    <w:p w14:paraId="5D609F66" w14:textId="4599A376" w:rsidR="0079347A" w:rsidRPr="000F23E0" w:rsidRDefault="00611CEF" w:rsidP="005B5C44">
      <w:r w:rsidRPr="000F23E0">
        <w:t>GTB</w:t>
      </w:r>
      <w:r w:rsidR="0079347A" w:rsidRPr="000F23E0">
        <w:t>s have contributed $</w:t>
      </w:r>
      <w:r w:rsidR="00D57DE2" w:rsidRPr="000F23E0">
        <w:t>20.3</w:t>
      </w:r>
      <w:r w:rsidR="0079347A" w:rsidRPr="000F23E0">
        <w:t xml:space="preserve"> million over </w:t>
      </w:r>
      <w:r w:rsidR="000776B8" w:rsidRPr="000F23E0">
        <w:t>2024</w:t>
      </w:r>
      <w:r w:rsidR="00ED5506" w:rsidRPr="000F23E0">
        <w:t>–</w:t>
      </w:r>
      <w:r w:rsidR="000776B8" w:rsidRPr="000F23E0">
        <w:t>25</w:t>
      </w:r>
      <w:r w:rsidR="0079347A" w:rsidRPr="000F23E0">
        <w:t xml:space="preserve"> (</w:t>
      </w:r>
      <w:r w:rsidR="00691BB0" w:rsidRPr="000F23E0">
        <w:t>Table 2</w:t>
      </w:r>
      <w:r w:rsidR="00EA63A3" w:rsidRPr="000F23E0">
        <w:t>4</w:t>
      </w:r>
      <w:r w:rsidR="0079347A" w:rsidRPr="000F23E0">
        <w:t>).</w:t>
      </w:r>
    </w:p>
    <w:p w14:paraId="5ECFFC5F" w14:textId="71FCDFA7" w:rsidR="0079347A" w:rsidRPr="000F23E0" w:rsidRDefault="0079347A" w:rsidP="005B5C44">
      <w:r w:rsidRPr="000F23E0">
        <w:t xml:space="preserve">The total Government contribution to projects represent contracted funding for individual projects (past and expected). Most ARENA projects were established prior to issuance of </w:t>
      </w:r>
      <w:r w:rsidR="00611CEF" w:rsidRPr="000F23E0">
        <w:t>GTB</w:t>
      </w:r>
      <w:r w:rsidRPr="000F23E0">
        <w:t xml:space="preserve">s. </w:t>
      </w:r>
      <w:r w:rsidR="000F740D" w:rsidRPr="000F23E0">
        <w:t xml:space="preserve">The total cost of projects is not reported for the DRIVEN Charger Rebate Stream. </w:t>
      </w:r>
    </w:p>
    <w:p w14:paraId="2C459289" w14:textId="019F8744" w:rsidR="00A614CA" w:rsidRPr="000F23E0" w:rsidRDefault="00A614CA" w:rsidP="00A614CA">
      <w:pPr>
        <w:rPr>
          <w:color w:val="000000" w:themeColor="text2"/>
          <w:szCs w:val="18"/>
        </w:rPr>
      </w:pPr>
      <w:r w:rsidRPr="000F23E0">
        <w:rPr>
          <w:color w:val="000000" w:themeColor="text2"/>
          <w:szCs w:val="18"/>
        </w:rPr>
        <w:t xml:space="preserve">The total cost of all other Driving </w:t>
      </w:r>
      <w:r w:rsidRPr="000F23E0">
        <w:rPr>
          <w:bCs/>
          <w:iCs/>
          <w:color w:val="000000" w:themeColor="text2"/>
          <w:szCs w:val="18"/>
        </w:rPr>
        <w:t>t</w:t>
      </w:r>
      <w:r w:rsidRPr="000F23E0">
        <w:rPr>
          <w:color w:val="000000" w:themeColor="text2"/>
          <w:szCs w:val="18"/>
        </w:rPr>
        <w:t>he Nation Fund projects includes co</w:t>
      </w:r>
      <w:r w:rsidR="002C4475" w:rsidRPr="000F23E0">
        <w:rPr>
          <w:color w:val="000000" w:themeColor="text2"/>
          <w:szCs w:val="18"/>
        </w:rPr>
        <w:noBreakHyphen/>
      </w:r>
      <w:r w:rsidRPr="000F23E0">
        <w:rPr>
          <w:color w:val="000000" w:themeColor="text2"/>
          <w:szCs w:val="18"/>
        </w:rPr>
        <w:t xml:space="preserve">financing with project partners. </w:t>
      </w:r>
    </w:p>
    <w:p w14:paraId="7D2935DF" w14:textId="4ABD0344" w:rsidR="0079347A" w:rsidRPr="000F23E0" w:rsidRDefault="006D513A" w:rsidP="00551F72">
      <w:pPr>
        <w:pStyle w:val="TableMainHeading"/>
      </w:pPr>
      <w:bookmarkStart w:id="225" w:name="_Toc220662884"/>
      <w:bookmarkStart w:id="226" w:name="_Toc224637824"/>
      <w:bookmarkStart w:id="227" w:name="_Toc224642488"/>
      <w:bookmarkStart w:id="228" w:name="_Toc225153464"/>
      <w:bookmarkStart w:id="229" w:name="_Toc225154510"/>
      <w:bookmarkStart w:id="230" w:name="_Toc225155775"/>
      <w:r w:rsidRPr="000F23E0">
        <w:t xml:space="preserve">Table </w:t>
      </w:r>
      <w:r w:rsidR="00691BB0" w:rsidRPr="000F23E0">
        <w:t>2</w:t>
      </w:r>
      <w:r w:rsidR="00EA63A3" w:rsidRPr="000F23E0">
        <w:t>4</w:t>
      </w:r>
      <w:r w:rsidR="00627058" w:rsidRPr="000F23E0">
        <w:t>:</w:t>
      </w:r>
      <w:r w:rsidRPr="000F23E0">
        <w:t xml:space="preserve"> </w:t>
      </w:r>
      <w:r w:rsidR="0079347A" w:rsidRPr="000F23E0">
        <w:t xml:space="preserve">Allocation </w:t>
      </w:r>
      <w:r w:rsidR="00C449E1" w:rsidRPr="000F23E0">
        <w:t>d</w:t>
      </w:r>
      <w:r w:rsidR="0079347A" w:rsidRPr="000F23E0">
        <w:t>ata for the Driving the Nation Fund ($ million)</w:t>
      </w:r>
      <w:bookmarkEnd w:id="225"/>
      <w:bookmarkEnd w:id="226"/>
      <w:bookmarkEnd w:id="227"/>
      <w:bookmarkEnd w:id="228"/>
      <w:bookmarkEnd w:id="229"/>
      <w:bookmarkEnd w:id="230"/>
    </w:p>
    <w:tbl>
      <w:tblPr>
        <w:tblStyle w:val="GridTable4-Accent2"/>
        <w:tblW w:w="5000" w:type="pct"/>
        <w:tblInd w:w="5" w:type="dxa"/>
        <w:tblBorders>
          <w:top w:val="single" w:sz="4" w:space="0" w:color="DFA795"/>
          <w:bottom w:val="single" w:sz="4" w:space="0" w:color="DFA795"/>
          <w:insideH w:val="single" w:sz="4" w:space="0" w:color="DFA795"/>
        </w:tblBorders>
        <w:tblLayout w:type="fixed"/>
        <w:tblLook w:val="04A0" w:firstRow="1" w:lastRow="0" w:firstColumn="1" w:lastColumn="0" w:noHBand="0" w:noVBand="1"/>
      </w:tblPr>
      <w:tblGrid>
        <w:gridCol w:w="1511"/>
        <w:gridCol w:w="2453"/>
        <w:gridCol w:w="1134"/>
        <w:gridCol w:w="1134"/>
        <w:gridCol w:w="1701"/>
        <w:gridCol w:w="1137"/>
      </w:tblGrid>
      <w:tr w:rsidR="008C19BB" w:rsidRPr="000F23E0" w14:paraId="68BB80C4" w14:textId="77777777" w:rsidTr="00F345B5">
        <w:trPr>
          <w:cnfStyle w:val="100000000000" w:firstRow="1" w:lastRow="0" w:firstColumn="0" w:lastColumn="0" w:oddVBand="0" w:evenVBand="0" w:oddHBand="0" w:evenHBand="0" w:firstRowFirstColumn="0" w:firstRowLastColumn="0" w:lastRowFirstColumn="0" w:lastRowLastColumn="0"/>
          <w:trHeight w:val="629"/>
        </w:trPr>
        <w:tc>
          <w:tcPr>
            <w:cnfStyle w:val="001000000000" w:firstRow="0" w:lastRow="0" w:firstColumn="1" w:lastColumn="0" w:oddVBand="0" w:evenVBand="0" w:oddHBand="0" w:evenHBand="0" w:firstRowFirstColumn="0" w:firstRowLastColumn="0" w:lastRowFirstColumn="0" w:lastRowLastColumn="0"/>
            <w:tcW w:w="1511" w:type="dxa"/>
            <w:shd w:val="clear" w:color="auto" w:fill="F1D0C6"/>
          </w:tcPr>
          <w:p w14:paraId="16223383" w14:textId="46C9B5B6" w:rsidR="00031C36" w:rsidRPr="000F23E0" w:rsidRDefault="00031C36" w:rsidP="008D52F7">
            <w:pPr>
              <w:pStyle w:val="TableColumnHeadingLeft"/>
              <w:rPr>
                <w:b/>
                <w:bCs w:val="0"/>
              </w:rPr>
            </w:pPr>
            <w:r w:rsidRPr="000F23E0">
              <w:rPr>
                <w:b/>
                <w:bCs w:val="0"/>
              </w:rPr>
              <w:t>Eligible Green Expenditure</w:t>
            </w:r>
          </w:p>
        </w:tc>
        <w:tc>
          <w:tcPr>
            <w:tcW w:w="2453" w:type="dxa"/>
            <w:shd w:val="clear" w:color="auto" w:fill="F1D0C6"/>
          </w:tcPr>
          <w:p w14:paraId="31049DFB" w14:textId="052922A1" w:rsidR="00031C36" w:rsidRPr="000F23E0" w:rsidRDefault="00031C36" w:rsidP="008D52F7">
            <w:pPr>
              <w:pStyle w:val="TableColumnHeadingLeft"/>
              <w:cnfStyle w:val="100000000000" w:firstRow="1" w:lastRow="0" w:firstColumn="0" w:lastColumn="0" w:oddVBand="0" w:evenVBand="0" w:oddHBand="0" w:evenHBand="0" w:firstRowFirstColumn="0" w:firstRowLastColumn="0" w:lastRowFirstColumn="0" w:lastRowLastColumn="0"/>
              <w:rPr>
                <w:b/>
                <w:bCs w:val="0"/>
              </w:rPr>
            </w:pPr>
            <w:r w:rsidRPr="000F23E0">
              <w:rPr>
                <w:b/>
                <w:bCs w:val="0"/>
              </w:rPr>
              <w:t>Projects supported</w:t>
            </w:r>
          </w:p>
        </w:tc>
        <w:tc>
          <w:tcPr>
            <w:tcW w:w="1134" w:type="dxa"/>
            <w:shd w:val="clear" w:color="auto" w:fill="F1D0C6"/>
          </w:tcPr>
          <w:p w14:paraId="2884F316" w14:textId="73BA1A2E" w:rsidR="00031C36" w:rsidRPr="000F23E0" w:rsidRDefault="00031C36" w:rsidP="008D52F7">
            <w:pPr>
              <w:pStyle w:val="TableColumnHeadingRight"/>
              <w:cnfStyle w:val="100000000000" w:firstRow="1" w:lastRow="0" w:firstColumn="0" w:lastColumn="0" w:oddVBand="0" w:evenVBand="0" w:oddHBand="0" w:evenHBand="0" w:firstRowFirstColumn="0" w:firstRowLastColumn="0" w:lastRowFirstColumn="0" w:lastRowLastColumn="0"/>
              <w:rPr>
                <w:b/>
                <w:bCs w:val="0"/>
              </w:rPr>
            </w:pPr>
            <w:r w:rsidRPr="000F23E0">
              <w:rPr>
                <w:b/>
                <w:bCs w:val="0"/>
              </w:rPr>
              <w:t>2024–25 Expenditure</w:t>
            </w:r>
          </w:p>
        </w:tc>
        <w:tc>
          <w:tcPr>
            <w:tcW w:w="1134" w:type="dxa"/>
            <w:shd w:val="clear" w:color="auto" w:fill="F1D0C6"/>
          </w:tcPr>
          <w:p w14:paraId="55F18CFD" w14:textId="0F76563A" w:rsidR="00031C36" w:rsidRPr="000F23E0" w:rsidRDefault="00031C36" w:rsidP="008D52F7">
            <w:pPr>
              <w:pStyle w:val="TableColumnHeadingRight"/>
              <w:cnfStyle w:val="100000000000" w:firstRow="1" w:lastRow="0" w:firstColumn="0" w:lastColumn="0" w:oddVBand="0" w:evenVBand="0" w:oddHBand="0" w:evenHBand="0" w:firstRowFirstColumn="0" w:firstRowLastColumn="0" w:lastRowFirstColumn="0" w:lastRowLastColumn="0"/>
              <w:rPr>
                <w:b/>
                <w:bCs w:val="0"/>
              </w:rPr>
            </w:pPr>
            <w:r w:rsidRPr="000F23E0">
              <w:rPr>
                <w:b/>
                <w:bCs w:val="0"/>
              </w:rPr>
              <w:t xml:space="preserve">2024–25 Allocation </w:t>
            </w:r>
          </w:p>
        </w:tc>
        <w:tc>
          <w:tcPr>
            <w:tcW w:w="1701" w:type="dxa"/>
            <w:shd w:val="clear" w:color="auto" w:fill="F1D0C6"/>
          </w:tcPr>
          <w:p w14:paraId="7D6DA7B3" w14:textId="06132CB2" w:rsidR="00031C36" w:rsidRPr="000F23E0" w:rsidRDefault="00031C36" w:rsidP="008D52F7">
            <w:pPr>
              <w:pStyle w:val="TableColumnHeadingRight"/>
              <w:cnfStyle w:val="100000000000" w:firstRow="1" w:lastRow="0" w:firstColumn="0" w:lastColumn="0" w:oddVBand="0" w:evenVBand="0" w:oddHBand="0" w:evenHBand="0" w:firstRowFirstColumn="0" w:firstRowLastColumn="0" w:lastRowFirstColumn="0" w:lastRowLastColumn="0"/>
              <w:rPr>
                <w:b/>
                <w:bCs w:val="0"/>
              </w:rPr>
            </w:pPr>
            <w:r w:rsidRPr="000F23E0">
              <w:rPr>
                <w:b/>
                <w:bCs w:val="0"/>
              </w:rPr>
              <w:t xml:space="preserve">Total Australian Government Contribution </w:t>
            </w:r>
          </w:p>
        </w:tc>
        <w:tc>
          <w:tcPr>
            <w:tcW w:w="1137" w:type="dxa"/>
            <w:shd w:val="clear" w:color="auto" w:fill="F1D0C6"/>
          </w:tcPr>
          <w:p w14:paraId="72C77409" w14:textId="7EB32FA8" w:rsidR="00031C36" w:rsidRPr="000F23E0" w:rsidRDefault="00031C36" w:rsidP="008D52F7">
            <w:pPr>
              <w:pStyle w:val="TableColumnHeadingRight"/>
              <w:cnfStyle w:val="100000000000" w:firstRow="1" w:lastRow="0" w:firstColumn="0" w:lastColumn="0" w:oddVBand="0" w:evenVBand="0" w:oddHBand="0" w:evenHBand="0" w:firstRowFirstColumn="0" w:firstRowLastColumn="0" w:lastRowFirstColumn="0" w:lastRowLastColumn="0"/>
              <w:rPr>
                <w:b/>
                <w:bCs w:val="0"/>
              </w:rPr>
            </w:pPr>
            <w:r w:rsidRPr="000F23E0">
              <w:rPr>
                <w:b/>
                <w:bCs w:val="0"/>
              </w:rPr>
              <w:t>Total Cost of</w:t>
            </w:r>
            <w:r w:rsidR="00F345B5" w:rsidRPr="000F23E0">
              <w:rPr>
                <w:b/>
                <w:bCs w:val="0"/>
              </w:rPr>
              <w:t> </w:t>
            </w:r>
            <w:r w:rsidRPr="000F23E0">
              <w:rPr>
                <w:b/>
                <w:bCs w:val="0"/>
              </w:rPr>
              <w:t xml:space="preserve">Project </w:t>
            </w:r>
          </w:p>
        </w:tc>
      </w:tr>
      <w:tr w:rsidR="005C4832" w:rsidRPr="000F23E0" w14:paraId="7CDDF172" w14:textId="77777777" w:rsidTr="00F345B5">
        <w:trPr>
          <w:trHeight w:val="253"/>
        </w:trPr>
        <w:tc>
          <w:tcPr>
            <w:cnfStyle w:val="001000000000" w:firstRow="0" w:lastRow="0" w:firstColumn="1" w:lastColumn="0" w:oddVBand="0" w:evenVBand="0" w:oddHBand="0" w:evenHBand="0" w:firstRowFirstColumn="0" w:firstRowLastColumn="0" w:lastRowFirstColumn="0" w:lastRowLastColumn="0"/>
            <w:tcW w:w="1511" w:type="dxa"/>
            <w:vMerge w:val="restart"/>
            <w:shd w:val="clear" w:color="auto" w:fill="FDF0E7"/>
          </w:tcPr>
          <w:p w14:paraId="3F9877CE" w14:textId="2CC2C83A" w:rsidR="005C4832" w:rsidRPr="000F23E0" w:rsidRDefault="005C4832" w:rsidP="008D52F7">
            <w:pPr>
              <w:pStyle w:val="TableTextLeft"/>
              <w:rPr>
                <w:b/>
                <w:bCs w:val="0"/>
              </w:rPr>
            </w:pPr>
            <w:r w:rsidRPr="000F23E0">
              <w:t>Driving the Nation</w:t>
            </w:r>
            <w:r w:rsidR="00B778E8" w:rsidRPr="000F23E0">
              <w:t> </w:t>
            </w:r>
            <w:r w:rsidRPr="000F23E0">
              <w:t>Fund</w:t>
            </w:r>
          </w:p>
        </w:tc>
        <w:tc>
          <w:tcPr>
            <w:tcW w:w="2453" w:type="dxa"/>
            <w:shd w:val="clear" w:color="auto" w:fill="FEFAF8"/>
          </w:tcPr>
          <w:p w14:paraId="47EB08D3" w14:textId="6365486D" w:rsidR="005C4832" w:rsidRPr="000F23E0" w:rsidRDefault="005C4832" w:rsidP="008D52F7">
            <w:pPr>
              <w:pStyle w:val="TableTextLeft"/>
              <w:cnfStyle w:val="000000000000" w:firstRow="0" w:lastRow="0" w:firstColumn="0" w:lastColumn="0" w:oddVBand="0" w:evenVBand="0" w:oddHBand="0" w:evenHBand="0" w:firstRowFirstColumn="0" w:firstRowLastColumn="0" w:lastRowFirstColumn="0" w:lastRowLastColumn="0"/>
            </w:pPr>
            <w:r w:rsidRPr="000F23E0">
              <w:t>Driving the Nation Program (ARENA)</w:t>
            </w:r>
          </w:p>
        </w:tc>
        <w:tc>
          <w:tcPr>
            <w:tcW w:w="1134" w:type="dxa"/>
            <w:shd w:val="clear" w:color="auto" w:fill="FEFAF8"/>
          </w:tcPr>
          <w:p w14:paraId="3CFDA690" w14:textId="0EAD4607" w:rsidR="005C4832" w:rsidRPr="000F23E0" w:rsidRDefault="005C4832" w:rsidP="008D52F7">
            <w:pPr>
              <w:pStyle w:val="TableTextRight"/>
              <w:cnfStyle w:val="000000000000" w:firstRow="0" w:lastRow="0" w:firstColumn="0" w:lastColumn="0" w:oddVBand="0" w:evenVBand="0" w:oddHBand="0" w:evenHBand="0" w:firstRowFirstColumn="0" w:firstRowLastColumn="0" w:lastRowFirstColumn="0" w:lastRowLastColumn="0"/>
            </w:pPr>
            <w:r w:rsidRPr="000F23E0">
              <w:t>36.4</w:t>
            </w:r>
          </w:p>
        </w:tc>
        <w:tc>
          <w:tcPr>
            <w:tcW w:w="1134" w:type="dxa"/>
            <w:shd w:val="clear" w:color="auto" w:fill="FEFAF8"/>
          </w:tcPr>
          <w:p w14:paraId="2BC450B1" w14:textId="1E61A671" w:rsidR="005C4832" w:rsidRPr="000F23E0" w:rsidRDefault="005C4832" w:rsidP="008D52F7">
            <w:pPr>
              <w:pStyle w:val="TableTextRight"/>
              <w:cnfStyle w:val="000000000000" w:firstRow="0" w:lastRow="0" w:firstColumn="0" w:lastColumn="0" w:oddVBand="0" w:evenVBand="0" w:oddHBand="0" w:evenHBand="0" w:firstRowFirstColumn="0" w:firstRowLastColumn="0" w:lastRowFirstColumn="0" w:lastRowLastColumn="0"/>
            </w:pPr>
            <w:r w:rsidRPr="000F23E0">
              <w:t>19.7</w:t>
            </w:r>
          </w:p>
        </w:tc>
        <w:tc>
          <w:tcPr>
            <w:tcW w:w="1701" w:type="dxa"/>
            <w:shd w:val="clear" w:color="auto" w:fill="FEFAF8"/>
          </w:tcPr>
          <w:p w14:paraId="1915ADAD" w14:textId="1B596BB0" w:rsidR="005C4832" w:rsidRPr="000F23E0" w:rsidRDefault="005C4832" w:rsidP="008D52F7">
            <w:pPr>
              <w:pStyle w:val="TableTextRight"/>
              <w:cnfStyle w:val="000000000000" w:firstRow="0" w:lastRow="0" w:firstColumn="0" w:lastColumn="0" w:oddVBand="0" w:evenVBand="0" w:oddHBand="0" w:evenHBand="0" w:firstRowFirstColumn="0" w:firstRowLastColumn="0" w:lastRowFirstColumn="0" w:lastRowLastColumn="0"/>
            </w:pPr>
            <w:r w:rsidRPr="000F23E0">
              <w:t>158.2</w:t>
            </w:r>
          </w:p>
        </w:tc>
        <w:tc>
          <w:tcPr>
            <w:tcW w:w="1137" w:type="dxa"/>
            <w:shd w:val="clear" w:color="auto" w:fill="FEFAF8"/>
          </w:tcPr>
          <w:p w14:paraId="6FB48EFA" w14:textId="35031FE2" w:rsidR="005C4832" w:rsidRPr="000F23E0" w:rsidRDefault="005C4832" w:rsidP="008D52F7">
            <w:pPr>
              <w:pStyle w:val="TableTextRight"/>
              <w:cnfStyle w:val="000000000000" w:firstRow="0" w:lastRow="0" w:firstColumn="0" w:lastColumn="0" w:oddVBand="0" w:evenVBand="0" w:oddHBand="0" w:evenHBand="0" w:firstRowFirstColumn="0" w:firstRowLastColumn="0" w:lastRowFirstColumn="0" w:lastRowLastColumn="0"/>
            </w:pPr>
            <w:r w:rsidRPr="000F23E0">
              <w:t>495.0</w:t>
            </w:r>
          </w:p>
        </w:tc>
      </w:tr>
      <w:tr w:rsidR="005C4832" w:rsidRPr="000F23E0" w14:paraId="6264F225" w14:textId="77777777" w:rsidTr="00F345B5">
        <w:trPr>
          <w:trHeight w:val="253"/>
        </w:trPr>
        <w:tc>
          <w:tcPr>
            <w:cnfStyle w:val="001000000000" w:firstRow="0" w:lastRow="0" w:firstColumn="1" w:lastColumn="0" w:oddVBand="0" w:evenVBand="0" w:oddHBand="0" w:evenHBand="0" w:firstRowFirstColumn="0" w:firstRowLastColumn="0" w:lastRowFirstColumn="0" w:lastRowLastColumn="0"/>
            <w:tcW w:w="1511" w:type="dxa"/>
            <w:vMerge/>
            <w:shd w:val="clear" w:color="auto" w:fill="FDF0E7"/>
          </w:tcPr>
          <w:p w14:paraId="2C4D308B" w14:textId="77777777" w:rsidR="005C4832" w:rsidRPr="000F23E0" w:rsidRDefault="005C4832" w:rsidP="00EA63A3">
            <w:pPr>
              <w:pStyle w:val="TableTextLeft"/>
              <w:spacing w:before="120" w:after="120"/>
              <w:rPr>
                <w:b/>
                <w:bCs w:val="0"/>
              </w:rPr>
            </w:pPr>
          </w:p>
        </w:tc>
        <w:tc>
          <w:tcPr>
            <w:tcW w:w="2453" w:type="dxa"/>
            <w:shd w:val="clear" w:color="auto" w:fill="FEFAF8"/>
          </w:tcPr>
          <w:p w14:paraId="6984A084" w14:textId="7A8DC861" w:rsidR="005C4832" w:rsidRPr="000F23E0" w:rsidRDefault="005C4832" w:rsidP="008D52F7">
            <w:pPr>
              <w:pStyle w:val="TableTextLeft"/>
              <w:cnfStyle w:val="000000000000" w:firstRow="0" w:lastRow="0" w:firstColumn="0" w:lastColumn="0" w:oddVBand="0" w:evenVBand="0" w:oddHBand="0" w:evenHBand="0" w:firstRowFirstColumn="0" w:firstRowLastColumn="0" w:lastRowFirstColumn="0" w:lastRowLastColumn="0"/>
            </w:pPr>
            <w:r w:rsidRPr="000F23E0">
              <w:t>National EV charging network (DCCEEW)</w:t>
            </w:r>
          </w:p>
        </w:tc>
        <w:tc>
          <w:tcPr>
            <w:tcW w:w="1134" w:type="dxa"/>
            <w:shd w:val="clear" w:color="auto" w:fill="FEFAF8"/>
          </w:tcPr>
          <w:p w14:paraId="004390F5" w14:textId="28643CEE" w:rsidR="005C4832" w:rsidRPr="000F23E0" w:rsidRDefault="005C4832" w:rsidP="008D52F7">
            <w:pPr>
              <w:pStyle w:val="TableTextRight"/>
              <w:cnfStyle w:val="000000000000" w:firstRow="0" w:lastRow="0" w:firstColumn="0" w:lastColumn="0" w:oddVBand="0" w:evenVBand="0" w:oddHBand="0" w:evenHBand="0" w:firstRowFirstColumn="0" w:firstRowLastColumn="0" w:lastRowFirstColumn="0" w:lastRowLastColumn="0"/>
            </w:pPr>
            <w:r w:rsidRPr="000F23E0">
              <w:t>0.5</w:t>
            </w:r>
          </w:p>
        </w:tc>
        <w:tc>
          <w:tcPr>
            <w:tcW w:w="1134" w:type="dxa"/>
            <w:shd w:val="clear" w:color="auto" w:fill="FEFAF8"/>
          </w:tcPr>
          <w:p w14:paraId="7AF48F8B" w14:textId="215EDFE4" w:rsidR="005C4832" w:rsidRPr="000F23E0" w:rsidRDefault="005C4832" w:rsidP="008D52F7">
            <w:pPr>
              <w:pStyle w:val="TableTextRight"/>
              <w:cnfStyle w:val="000000000000" w:firstRow="0" w:lastRow="0" w:firstColumn="0" w:lastColumn="0" w:oddVBand="0" w:evenVBand="0" w:oddHBand="0" w:evenHBand="0" w:firstRowFirstColumn="0" w:firstRowLastColumn="0" w:lastRowFirstColumn="0" w:lastRowLastColumn="0"/>
            </w:pPr>
            <w:r w:rsidRPr="000F23E0">
              <w:t>0.3</w:t>
            </w:r>
          </w:p>
        </w:tc>
        <w:tc>
          <w:tcPr>
            <w:tcW w:w="1701" w:type="dxa"/>
            <w:shd w:val="clear" w:color="auto" w:fill="FEFAF8"/>
          </w:tcPr>
          <w:p w14:paraId="5F7F65A2" w14:textId="6580C306" w:rsidR="005C4832" w:rsidRPr="000F23E0" w:rsidRDefault="005C4832" w:rsidP="008D52F7">
            <w:pPr>
              <w:pStyle w:val="TableTextRight"/>
              <w:cnfStyle w:val="000000000000" w:firstRow="0" w:lastRow="0" w:firstColumn="0" w:lastColumn="0" w:oddVBand="0" w:evenVBand="0" w:oddHBand="0" w:evenHBand="0" w:firstRowFirstColumn="0" w:firstRowLastColumn="0" w:lastRowFirstColumn="0" w:lastRowLastColumn="0"/>
            </w:pPr>
            <w:r w:rsidRPr="000F23E0">
              <w:t>39.3</w:t>
            </w:r>
          </w:p>
        </w:tc>
        <w:tc>
          <w:tcPr>
            <w:tcW w:w="1137" w:type="dxa"/>
            <w:shd w:val="clear" w:color="auto" w:fill="FEFAF8"/>
          </w:tcPr>
          <w:p w14:paraId="356AEF23" w14:textId="17C6B36B" w:rsidR="005C4832" w:rsidRPr="000F23E0" w:rsidRDefault="005C4832" w:rsidP="008D52F7">
            <w:pPr>
              <w:pStyle w:val="TableTextRight"/>
              <w:cnfStyle w:val="000000000000" w:firstRow="0" w:lastRow="0" w:firstColumn="0" w:lastColumn="0" w:oddVBand="0" w:evenVBand="0" w:oddHBand="0" w:evenHBand="0" w:firstRowFirstColumn="0" w:firstRowLastColumn="0" w:lastRowFirstColumn="0" w:lastRowLastColumn="0"/>
            </w:pPr>
            <w:r w:rsidRPr="000F23E0">
              <w:t>78.6</w:t>
            </w:r>
          </w:p>
        </w:tc>
      </w:tr>
      <w:tr w:rsidR="005C4832" w:rsidRPr="000F23E0" w14:paraId="05113266" w14:textId="77777777" w:rsidTr="00F345B5">
        <w:trPr>
          <w:trHeight w:val="253"/>
        </w:trPr>
        <w:tc>
          <w:tcPr>
            <w:cnfStyle w:val="001000000000" w:firstRow="0" w:lastRow="0" w:firstColumn="1" w:lastColumn="0" w:oddVBand="0" w:evenVBand="0" w:oddHBand="0" w:evenHBand="0" w:firstRowFirstColumn="0" w:firstRowLastColumn="0" w:lastRowFirstColumn="0" w:lastRowLastColumn="0"/>
            <w:tcW w:w="1511" w:type="dxa"/>
            <w:vMerge/>
            <w:shd w:val="clear" w:color="auto" w:fill="FDF0E7"/>
          </w:tcPr>
          <w:p w14:paraId="0CA05ABB" w14:textId="77777777" w:rsidR="005C4832" w:rsidRPr="000F23E0" w:rsidRDefault="005C4832" w:rsidP="00EA63A3">
            <w:pPr>
              <w:pStyle w:val="TableTextLeft"/>
              <w:spacing w:before="120" w:after="120"/>
              <w:rPr>
                <w:b/>
                <w:bCs w:val="0"/>
              </w:rPr>
            </w:pPr>
          </w:p>
        </w:tc>
        <w:tc>
          <w:tcPr>
            <w:tcW w:w="2453" w:type="dxa"/>
            <w:shd w:val="clear" w:color="auto" w:fill="FEFAF8"/>
          </w:tcPr>
          <w:p w14:paraId="0E252D1D" w14:textId="59AD4DB0" w:rsidR="005C4832" w:rsidRPr="000F23E0" w:rsidRDefault="005C4832" w:rsidP="008D52F7">
            <w:pPr>
              <w:pStyle w:val="TableTextLeft"/>
              <w:cnfStyle w:val="000000000000" w:firstRow="0" w:lastRow="0" w:firstColumn="0" w:lastColumn="0" w:oddVBand="0" w:evenVBand="0" w:oddHBand="0" w:evenHBand="0" w:firstRowFirstColumn="0" w:firstRowLastColumn="0" w:lastRowFirstColumn="0" w:lastRowLastColumn="0"/>
            </w:pPr>
            <w:r w:rsidRPr="000F23E0">
              <w:t>DRIVEN Program (DCCEEW)</w:t>
            </w:r>
          </w:p>
        </w:tc>
        <w:tc>
          <w:tcPr>
            <w:tcW w:w="1134" w:type="dxa"/>
            <w:shd w:val="clear" w:color="auto" w:fill="FEFAF8"/>
          </w:tcPr>
          <w:p w14:paraId="5557369E" w14:textId="28824DC1" w:rsidR="005C4832" w:rsidRPr="000F23E0" w:rsidRDefault="005C4832" w:rsidP="008D52F7">
            <w:pPr>
              <w:pStyle w:val="TableTextRight"/>
              <w:cnfStyle w:val="000000000000" w:firstRow="0" w:lastRow="0" w:firstColumn="0" w:lastColumn="0" w:oddVBand="0" w:evenVBand="0" w:oddHBand="0" w:evenHBand="0" w:firstRowFirstColumn="0" w:firstRowLastColumn="0" w:lastRowFirstColumn="0" w:lastRowLastColumn="0"/>
            </w:pPr>
            <w:r w:rsidRPr="000F23E0">
              <w:t>0.6</w:t>
            </w:r>
          </w:p>
        </w:tc>
        <w:tc>
          <w:tcPr>
            <w:tcW w:w="1134" w:type="dxa"/>
            <w:shd w:val="clear" w:color="auto" w:fill="FEFAF8"/>
          </w:tcPr>
          <w:p w14:paraId="2A0DB505" w14:textId="44674EE0" w:rsidR="005C4832" w:rsidRPr="000F23E0" w:rsidRDefault="005C4832" w:rsidP="008D52F7">
            <w:pPr>
              <w:pStyle w:val="TableTextRight"/>
              <w:cnfStyle w:val="000000000000" w:firstRow="0" w:lastRow="0" w:firstColumn="0" w:lastColumn="0" w:oddVBand="0" w:evenVBand="0" w:oddHBand="0" w:evenHBand="0" w:firstRowFirstColumn="0" w:firstRowLastColumn="0" w:lastRowFirstColumn="0" w:lastRowLastColumn="0"/>
            </w:pPr>
            <w:r w:rsidRPr="000F23E0">
              <w:t>0.3</w:t>
            </w:r>
          </w:p>
        </w:tc>
        <w:tc>
          <w:tcPr>
            <w:tcW w:w="1701" w:type="dxa"/>
            <w:shd w:val="clear" w:color="auto" w:fill="FEFAF8"/>
          </w:tcPr>
          <w:p w14:paraId="19C32681" w14:textId="37538DC7" w:rsidR="005C4832" w:rsidRPr="000F23E0" w:rsidRDefault="005C4832" w:rsidP="008D52F7">
            <w:pPr>
              <w:pStyle w:val="TableTextRight"/>
              <w:cnfStyle w:val="000000000000" w:firstRow="0" w:lastRow="0" w:firstColumn="0" w:lastColumn="0" w:oddVBand="0" w:evenVBand="0" w:oddHBand="0" w:evenHBand="0" w:firstRowFirstColumn="0" w:firstRowLastColumn="0" w:lastRowFirstColumn="0" w:lastRowLastColumn="0"/>
            </w:pPr>
            <w:r w:rsidRPr="000F23E0">
              <w:t>60.0</w:t>
            </w:r>
          </w:p>
        </w:tc>
        <w:tc>
          <w:tcPr>
            <w:tcW w:w="1137" w:type="dxa"/>
            <w:shd w:val="clear" w:color="auto" w:fill="FEFAF8"/>
          </w:tcPr>
          <w:p w14:paraId="6EA8E253" w14:textId="77777777" w:rsidR="005C4832" w:rsidRPr="000F23E0" w:rsidRDefault="005C4832" w:rsidP="008D52F7">
            <w:pPr>
              <w:pStyle w:val="TableTextRight"/>
              <w:cnfStyle w:val="000000000000" w:firstRow="0" w:lastRow="0" w:firstColumn="0" w:lastColumn="0" w:oddVBand="0" w:evenVBand="0" w:oddHBand="0" w:evenHBand="0" w:firstRowFirstColumn="0" w:firstRowLastColumn="0" w:lastRowFirstColumn="0" w:lastRowLastColumn="0"/>
            </w:pPr>
            <w:r w:rsidRPr="000F23E0">
              <w:t>N/A</w:t>
            </w:r>
          </w:p>
        </w:tc>
      </w:tr>
      <w:tr w:rsidR="005C4832" w:rsidRPr="000F23E0" w14:paraId="634BC349" w14:textId="77777777" w:rsidTr="00F345B5">
        <w:trPr>
          <w:trHeight w:val="253"/>
        </w:trPr>
        <w:tc>
          <w:tcPr>
            <w:cnfStyle w:val="001000000000" w:firstRow="0" w:lastRow="0" w:firstColumn="1" w:lastColumn="0" w:oddVBand="0" w:evenVBand="0" w:oddHBand="0" w:evenHBand="0" w:firstRowFirstColumn="0" w:firstRowLastColumn="0" w:lastRowFirstColumn="0" w:lastRowLastColumn="0"/>
            <w:tcW w:w="1511" w:type="dxa"/>
            <w:vMerge/>
            <w:shd w:val="clear" w:color="auto" w:fill="FDF0E7"/>
          </w:tcPr>
          <w:p w14:paraId="7251DBA7" w14:textId="77777777" w:rsidR="005C4832" w:rsidRPr="000F23E0" w:rsidRDefault="005C4832" w:rsidP="00EA63A3">
            <w:pPr>
              <w:pStyle w:val="TableTextLeft"/>
              <w:spacing w:before="120" w:after="120"/>
              <w:rPr>
                <w:b/>
              </w:rPr>
            </w:pPr>
          </w:p>
        </w:tc>
        <w:tc>
          <w:tcPr>
            <w:tcW w:w="2453" w:type="dxa"/>
            <w:shd w:val="clear" w:color="auto" w:fill="FEFAF8"/>
          </w:tcPr>
          <w:p w14:paraId="55AA6CE0" w14:textId="165FBFE8" w:rsidR="005C4832" w:rsidRPr="000F23E0" w:rsidRDefault="005C4832" w:rsidP="00B778E8">
            <w:pPr>
              <w:pStyle w:val="TableTextLeft"/>
              <w:cnfStyle w:val="000000000000" w:firstRow="0" w:lastRow="0" w:firstColumn="0" w:lastColumn="0" w:oddVBand="0" w:evenVBand="0" w:oddHBand="0" w:evenHBand="0" w:firstRowFirstColumn="0" w:firstRowLastColumn="0" w:lastRowFirstColumn="0" w:lastRowLastColumn="0"/>
              <w:rPr>
                <w:b/>
                <w:bCs/>
              </w:rPr>
            </w:pPr>
            <w:r w:rsidRPr="000F23E0">
              <w:rPr>
                <w:b/>
                <w:bCs/>
              </w:rPr>
              <w:t>Total</w:t>
            </w:r>
          </w:p>
        </w:tc>
        <w:tc>
          <w:tcPr>
            <w:tcW w:w="1134" w:type="dxa"/>
            <w:shd w:val="clear" w:color="auto" w:fill="FEFAF8"/>
          </w:tcPr>
          <w:p w14:paraId="29CA83EA" w14:textId="29EDB00B" w:rsidR="005C4832" w:rsidRPr="000F23E0" w:rsidRDefault="005C4832" w:rsidP="008D52F7">
            <w:pPr>
              <w:pStyle w:val="TableTextRight"/>
              <w:cnfStyle w:val="000000000000" w:firstRow="0" w:lastRow="0" w:firstColumn="0" w:lastColumn="0" w:oddVBand="0" w:evenVBand="0" w:oddHBand="0" w:evenHBand="0" w:firstRowFirstColumn="0" w:firstRowLastColumn="0" w:lastRowFirstColumn="0" w:lastRowLastColumn="0"/>
              <w:rPr>
                <w:b/>
                <w:bCs/>
              </w:rPr>
            </w:pPr>
            <w:r w:rsidRPr="000F23E0">
              <w:rPr>
                <w:b/>
                <w:bCs/>
              </w:rPr>
              <w:t>37.5</w:t>
            </w:r>
          </w:p>
        </w:tc>
        <w:tc>
          <w:tcPr>
            <w:tcW w:w="1134" w:type="dxa"/>
            <w:shd w:val="clear" w:color="auto" w:fill="FEFAF8"/>
          </w:tcPr>
          <w:p w14:paraId="088C29A9" w14:textId="6F1EFF33" w:rsidR="005C4832" w:rsidRPr="000F23E0" w:rsidRDefault="005C4832" w:rsidP="008D52F7">
            <w:pPr>
              <w:pStyle w:val="TableTextRight"/>
              <w:cnfStyle w:val="000000000000" w:firstRow="0" w:lastRow="0" w:firstColumn="0" w:lastColumn="0" w:oddVBand="0" w:evenVBand="0" w:oddHBand="0" w:evenHBand="0" w:firstRowFirstColumn="0" w:firstRowLastColumn="0" w:lastRowFirstColumn="0" w:lastRowLastColumn="0"/>
              <w:rPr>
                <w:b/>
                <w:bCs/>
              </w:rPr>
            </w:pPr>
            <w:r w:rsidRPr="000F23E0">
              <w:rPr>
                <w:b/>
                <w:bCs/>
              </w:rPr>
              <w:t>20.3</w:t>
            </w:r>
          </w:p>
        </w:tc>
        <w:tc>
          <w:tcPr>
            <w:tcW w:w="1701" w:type="dxa"/>
            <w:shd w:val="clear" w:color="auto" w:fill="FEFAF8"/>
          </w:tcPr>
          <w:p w14:paraId="1D714F3C" w14:textId="0C48613F" w:rsidR="005C4832" w:rsidRPr="000F23E0" w:rsidRDefault="005C4832" w:rsidP="008D52F7">
            <w:pPr>
              <w:pStyle w:val="TableTextRight"/>
              <w:cnfStyle w:val="000000000000" w:firstRow="0" w:lastRow="0" w:firstColumn="0" w:lastColumn="0" w:oddVBand="0" w:evenVBand="0" w:oddHBand="0" w:evenHBand="0" w:firstRowFirstColumn="0" w:firstRowLastColumn="0" w:lastRowFirstColumn="0" w:lastRowLastColumn="0"/>
              <w:rPr>
                <w:b/>
                <w:bCs/>
              </w:rPr>
            </w:pPr>
            <w:r w:rsidRPr="000F23E0">
              <w:rPr>
                <w:b/>
                <w:bCs/>
              </w:rPr>
              <w:t>257.5</w:t>
            </w:r>
          </w:p>
        </w:tc>
        <w:tc>
          <w:tcPr>
            <w:tcW w:w="1137" w:type="dxa"/>
            <w:shd w:val="clear" w:color="auto" w:fill="FEFAF8"/>
          </w:tcPr>
          <w:p w14:paraId="1EF976B5" w14:textId="02623506" w:rsidR="005C4832" w:rsidRPr="000F23E0" w:rsidRDefault="005C4832" w:rsidP="008D52F7">
            <w:pPr>
              <w:pStyle w:val="TableTextRight"/>
              <w:cnfStyle w:val="000000000000" w:firstRow="0" w:lastRow="0" w:firstColumn="0" w:lastColumn="0" w:oddVBand="0" w:evenVBand="0" w:oddHBand="0" w:evenHBand="0" w:firstRowFirstColumn="0" w:firstRowLastColumn="0" w:lastRowFirstColumn="0" w:lastRowLastColumn="0"/>
              <w:rPr>
                <w:b/>
                <w:bCs/>
              </w:rPr>
            </w:pPr>
            <w:r w:rsidRPr="000F23E0">
              <w:rPr>
                <w:b/>
                <w:bCs/>
              </w:rPr>
              <w:t>573.6</w:t>
            </w:r>
          </w:p>
        </w:tc>
      </w:tr>
    </w:tbl>
    <w:p w14:paraId="6C8FB6EF" w14:textId="1F4ADC53" w:rsidR="0079347A" w:rsidRPr="000F23E0" w:rsidRDefault="0079347A" w:rsidP="00B778E8">
      <w:pPr>
        <w:pStyle w:val="Heading4"/>
        <w:keepNext/>
        <w:keepLines/>
      </w:pPr>
      <w:r w:rsidRPr="000F23E0">
        <w:lastRenderedPageBreak/>
        <w:t>Co</w:t>
      </w:r>
      <w:r w:rsidR="002C4475" w:rsidRPr="000F23E0">
        <w:noBreakHyphen/>
      </w:r>
      <w:r w:rsidRPr="000F23E0">
        <w:t xml:space="preserve">financing </w:t>
      </w:r>
      <w:r w:rsidR="006B1D65" w:rsidRPr="000F23E0">
        <w:t>a</w:t>
      </w:r>
      <w:r w:rsidRPr="000F23E0">
        <w:t>rrangements</w:t>
      </w:r>
    </w:p>
    <w:p w14:paraId="6069F2D9" w14:textId="77AC9412" w:rsidR="0079347A" w:rsidRPr="000F23E0" w:rsidRDefault="00DB2088" w:rsidP="00B778E8">
      <w:pPr>
        <w:keepNext/>
        <w:keepLines/>
      </w:pPr>
      <w:r w:rsidRPr="000F23E0">
        <w:t>ARENA delivers f</w:t>
      </w:r>
      <w:r w:rsidR="0079347A" w:rsidRPr="000F23E0">
        <w:t>unding for the Driving the Nation Program through grants. ARENA will provide the minimum funding needed for the project to proceed, at times subject to all other parties to the project receiving a commercial return.</w:t>
      </w:r>
    </w:p>
    <w:p w14:paraId="5B964AC5" w14:textId="4A948908" w:rsidR="0079347A" w:rsidRPr="000F23E0" w:rsidRDefault="0079347A" w:rsidP="00B778E8">
      <w:pPr>
        <w:keepNext/>
        <w:keepLines/>
      </w:pPr>
      <w:r w:rsidRPr="000F23E0">
        <w:t>The Australian Government has partnered with the NRMA to fund the $78.6 million National EV charging network project. The Australian Government and the NRMA will each contribute 50</w:t>
      </w:r>
      <w:r w:rsidR="00B778E8" w:rsidRPr="000F23E0">
        <w:t> </w:t>
      </w:r>
      <w:r w:rsidRPr="000F23E0">
        <w:t>per</w:t>
      </w:r>
      <w:r w:rsidR="00B778E8" w:rsidRPr="000F23E0">
        <w:t> </w:t>
      </w:r>
      <w:r w:rsidRPr="000F23E0">
        <w:t>cent ($39.3 million).</w:t>
      </w:r>
    </w:p>
    <w:p w14:paraId="1139941C" w14:textId="2B2F4831" w:rsidR="00872FA9" w:rsidRPr="000F23E0" w:rsidRDefault="006547E2" w:rsidP="00B778E8">
      <w:pPr>
        <w:keepNext/>
        <w:keepLines/>
      </w:pPr>
      <w:r w:rsidRPr="000F23E0">
        <w:t>The</w:t>
      </w:r>
      <w:r w:rsidR="00872FA9" w:rsidRPr="000F23E0">
        <w:t xml:space="preserve"> DRIVEN Charger Rebate Stream is delivered as a rebate</w:t>
      </w:r>
      <w:r w:rsidRPr="000F23E0">
        <w:t xml:space="preserve"> so </w:t>
      </w:r>
      <w:r w:rsidR="00872FA9" w:rsidRPr="000F23E0">
        <w:t>no co</w:t>
      </w:r>
      <w:r w:rsidR="002C4475" w:rsidRPr="000F23E0">
        <w:noBreakHyphen/>
      </w:r>
      <w:r w:rsidR="00872FA9" w:rsidRPr="000F23E0">
        <w:t xml:space="preserve">financing arrangements are applicable. DCCEEW notes that </w:t>
      </w:r>
      <w:r w:rsidR="00BF7BE4" w:rsidRPr="000F23E0">
        <w:t>r</w:t>
      </w:r>
      <w:r w:rsidR="00872FA9" w:rsidRPr="000F23E0">
        <w:t xml:space="preserve">ebate recipients may have spent more than the </w:t>
      </w:r>
      <w:r w:rsidR="00BF7BE4" w:rsidRPr="000F23E0">
        <w:t>r</w:t>
      </w:r>
      <w:r w:rsidR="00872FA9" w:rsidRPr="000F23E0">
        <w:t>ebate cap on installation of chargers onsite, however DRIVEN does not require visibility over full project expenditure. </w:t>
      </w:r>
    </w:p>
    <w:p w14:paraId="2FBF3C89" w14:textId="179CD925" w:rsidR="0079347A" w:rsidRPr="000F23E0" w:rsidRDefault="0079347A" w:rsidP="0027019D">
      <w:pPr>
        <w:pStyle w:val="Heading4"/>
      </w:pPr>
      <w:r w:rsidRPr="000F23E0">
        <w:t xml:space="preserve">Material </w:t>
      </w:r>
      <w:r w:rsidR="006B1D65" w:rsidRPr="000F23E0">
        <w:t>r</w:t>
      </w:r>
      <w:r w:rsidRPr="000F23E0">
        <w:t>isks</w:t>
      </w:r>
    </w:p>
    <w:p w14:paraId="56822CDC" w14:textId="77777777" w:rsidR="0079347A" w:rsidRPr="000F23E0" w:rsidRDefault="0079347A" w:rsidP="005B5C44">
      <w:r w:rsidRPr="000F23E0">
        <w:t>No material risks have been identified to deliver the Driving the Nation Fund.</w:t>
      </w:r>
    </w:p>
    <w:p w14:paraId="5AFFCCA3" w14:textId="0D392509" w:rsidR="0079347A" w:rsidRPr="000F23E0" w:rsidRDefault="00510157" w:rsidP="00F21DA6">
      <w:r w:rsidRPr="000F23E0">
        <w:t xml:space="preserve">EV charging infrastructure projects are subject to inherent risks and uncertainties, which can impact the time of deployment and cost of EV charging sites. Progress reporting and payments based on actual delivery contribute to mitigating delivery risks for the National EV charging network project. </w:t>
      </w:r>
    </w:p>
    <w:p w14:paraId="0C752904" w14:textId="77430E12" w:rsidR="00EF6A73" w:rsidRPr="000F23E0" w:rsidRDefault="00EF6A73" w:rsidP="00F345B5">
      <w:pPr>
        <w:pStyle w:val="Heading3"/>
        <w:keepLines/>
      </w:pPr>
      <w:r w:rsidRPr="000F23E0">
        <w:t xml:space="preserve">Project </w:t>
      </w:r>
      <w:r w:rsidR="006B1D65" w:rsidRPr="000F23E0">
        <w:t>i</w:t>
      </w:r>
      <w:r w:rsidRPr="000F23E0">
        <w:t>mpacts</w:t>
      </w:r>
    </w:p>
    <w:p w14:paraId="225A6574" w14:textId="5B586347" w:rsidR="0079347A" w:rsidRPr="000F23E0" w:rsidRDefault="0079347A" w:rsidP="00F345B5">
      <w:pPr>
        <w:keepNext/>
        <w:keepLines/>
      </w:pPr>
      <w:r w:rsidRPr="000F23E0">
        <w:t xml:space="preserve">Financing through </w:t>
      </w:r>
      <w:r w:rsidR="00611CEF" w:rsidRPr="000F23E0">
        <w:t>GTB</w:t>
      </w:r>
      <w:r w:rsidRPr="000F23E0">
        <w:t xml:space="preserve">s will contribute to the 117 EV charging sites that will be delivered under the National EV charging network. </w:t>
      </w:r>
      <w:r w:rsidR="00BB6815" w:rsidRPr="000F23E0">
        <w:t>In 2024</w:t>
      </w:r>
      <w:r w:rsidR="00ED5506" w:rsidRPr="000F23E0">
        <w:t>–</w:t>
      </w:r>
      <w:r w:rsidRPr="000F23E0">
        <w:t>2</w:t>
      </w:r>
      <w:r w:rsidR="001A7DFE" w:rsidRPr="000F23E0">
        <w:t>5</w:t>
      </w:r>
      <w:r w:rsidRPr="000F23E0">
        <w:t>, 1</w:t>
      </w:r>
      <w:r w:rsidR="001A7DFE" w:rsidRPr="000F23E0">
        <w:t>7</w:t>
      </w:r>
      <w:r w:rsidRPr="000F23E0">
        <w:t xml:space="preserve"> of these 117 </w:t>
      </w:r>
      <w:r w:rsidR="00007874" w:rsidRPr="000F23E0">
        <w:t xml:space="preserve">were </w:t>
      </w:r>
      <w:r w:rsidRPr="000F23E0">
        <w:t>delivered (</w:t>
      </w:r>
      <w:r w:rsidR="00F345B5" w:rsidRPr="000F23E0">
        <w:t xml:space="preserve">Table </w:t>
      </w:r>
      <w:r w:rsidR="00691BB0" w:rsidRPr="000F23E0">
        <w:t>2</w:t>
      </w:r>
      <w:r w:rsidR="00F345B5" w:rsidRPr="000F23E0">
        <w:t>5</w:t>
      </w:r>
      <w:r w:rsidR="00691BB0" w:rsidRPr="000F23E0">
        <w:t>)</w:t>
      </w:r>
      <w:r w:rsidRPr="000F23E0">
        <w:t>.</w:t>
      </w:r>
    </w:p>
    <w:p w14:paraId="00F2DDA0" w14:textId="789B7F29" w:rsidR="0079347A" w:rsidRPr="000F23E0" w:rsidRDefault="0079347A" w:rsidP="00F345B5">
      <w:pPr>
        <w:keepNext/>
        <w:keepLines/>
      </w:pPr>
      <w:r w:rsidRPr="000F23E0">
        <w:t>Funding for the National EV Charging Network was announced on 26 April 2023, including a list of confirmed and potential locations for charging infrastructure roll</w:t>
      </w:r>
      <w:r w:rsidR="002C4475" w:rsidRPr="000F23E0">
        <w:noBreakHyphen/>
      </w:r>
      <w:r w:rsidRPr="000F23E0">
        <w:t xml:space="preserve">out, with all chargers expected to be rolled out within </w:t>
      </w:r>
      <w:r w:rsidR="00E07FB5" w:rsidRPr="000F23E0">
        <w:t xml:space="preserve">3 </w:t>
      </w:r>
      <w:r w:rsidRPr="000F23E0">
        <w:t>years</w:t>
      </w:r>
      <w:r w:rsidR="00C25441" w:rsidRPr="000F23E0">
        <w:t xml:space="preserve"> of the roll out beginning</w:t>
      </w:r>
      <w:r w:rsidRPr="000F23E0">
        <w:t>.</w:t>
      </w:r>
    </w:p>
    <w:p w14:paraId="002CE55F" w14:textId="3220C840" w:rsidR="0079347A" w:rsidRPr="000F23E0" w:rsidRDefault="0079347A" w:rsidP="00551F72">
      <w:pPr>
        <w:pStyle w:val="TableMainHeading"/>
      </w:pPr>
      <w:bookmarkStart w:id="231" w:name="_Ref215666204"/>
      <w:bookmarkStart w:id="232" w:name="_Toc220662885"/>
      <w:bookmarkStart w:id="233" w:name="_Toc224637825"/>
      <w:bookmarkStart w:id="234" w:name="_Toc224642489"/>
      <w:bookmarkStart w:id="235" w:name="_Toc225153465"/>
      <w:bookmarkStart w:id="236" w:name="_Toc225154511"/>
      <w:bookmarkStart w:id="237" w:name="_Toc225155776"/>
      <w:r w:rsidRPr="000F23E0">
        <w:t xml:space="preserve">Table </w:t>
      </w:r>
      <w:r w:rsidR="00691BB0" w:rsidRPr="000F23E0">
        <w:t>2</w:t>
      </w:r>
      <w:r w:rsidR="00E27A95" w:rsidRPr="000F23E0">
        <w:t>5</w:t>
      </w:r>
      <w:r w:rsidR="0068550D" w:rsidRPr="000F23E0">
        <w:t>:</w:t>
      </w:r>
      <w:r w:rsidRPr="000F23E0">
        <w:t xml:space="preserve"> Impact </w:t>
      </w:r>
      <w:r w:rsidR="00CE4E6E" w:rsidRPr="000F23E0">
        <w:t>d</w:t>
      </w:r>
      <w:r w:rsidRPr="000F23E0">
        <w:t>ata for the Driving the Nation Fund</w:t>
      </w:r>
      <w:bookmarkEnd w:id="231"/>
      <w:bookmarkEnd w:id="232"/>
      <w:bookmarkEnd w:id="233"/>
      <w:bookmarkEnd w:id="234"/>
      <w:bookmarkEnd w:id="235"/>
      <w:bookmarkEnd w:id="236"/>
      <w:bookmarkEnd w:id="237"/>
    </w:p>
    <w:tbl>
      <w:tblPr>
        <w:tblStyle w:val="GridTable4-Accent2"/>
        <w:tblW w:w="5000" w:type="pct"/>
        <w:tblInd w:w="5" w:type="dxa"/>
        <w:tblBorders>
          <w:top w:val="single" w:sz="4" w:space="0" w:color="DFA795"/>
          <w:bottom w:val="single" w:sz="4" w:space="0" w:color="DFA795"/>
          <w:insideH w:val="single" w:sz="4" w:space="0" w:color="DFA795"/>
        </w:tblBorders>
        <w:tblLook w:val="04A0" w:firstRow="1" w:lastRow="0" w:firstColumn="1" w:lastColumn="0" w:noHBand="0" w:noVBand="1"/>
      </w:tblPr>
      <w:tblGrid>
        <w:gridCol w:w="2547"/>
        <w:gridCol w:w="2268"/>
        <w:gridCol w:w="627"/>
        <w:gridCol w:w="1814"/>
        <w:gridCol w:w="1814"/>
      </w:tblGrid>
      <w:tr w:rsidR="00112930" w:rsidRPr="000F23E0" w14:paraId="61139468" w14:textId="77777777" w:rsidTr="00B778E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shd w:val="clear" w:color="auto" w:fill="F1D0C6"/>
          </w:tcPr>
          <w:p w14:paraId="13A3D84B" w14:textId="2E876123" w:rsidR="00112930" w:rsidRPr="000F23E0" w:rsidRDefault="00112930" w:rsidP="008D52F7">
            <w:pPr>
              <w:pStyle w:val="TableColumnHeadingLeft"/>
              <w:rPr>
                <w:b/>
                <w:bCs w:val="0"/>
              </w:rPr>
            </w:pPr>
            <w:bookmarkStart w:id="238" w:name="_Hlk222313295"/>
            <w:r w:rsidRPr="000F23E0">
              <w:rPr>
                <w:b/>
                <w:bCs w:val="0"/>
              </w:rPr>
              <w:t>Project</w:t>
            </w:r>
          </w:p>
        </w:tc>
        <w:tc>
          <w:tcPr>
            <w:tcW w:w="2268" w:type="dxa"/>
            <w:shd w:val="clear" w:color="auto" w:fill="F1D0C6"/>
          </w:tcPr>
          <w:p w14:paraId="5B2856DD" w14:textId="12098E46" w:rsidR="00112930" w:rsidRPr="000F23E0" w:rsidRDefault="00112930" w:rsidP="008D52F7">
            <w:pPr>
              <w:pStyle w:val="TableColumnHeadingLeft"/>
              <w:cnfStyle w:val="100000000000" w:firstRow="1" w:lastRow="0" w:firstColumn="0" w:lastColumn="0" w:oddVBand="0" w:evenVBand="0" w:oddHBand="0" w:evenHBand="0" w:firstRowFirstColumn="0" w:firstRowLastColumn="0" w:lastRowFirstColumn="0" w:lastRowLastColumn="0"/>
              <w:rPr>
                <w:b/>
                <w:bCs w:val="0"/>
              </w:rPr>
            </w:pPr>
            <w:r w:rsidRPr="000F23E0">
              <w:rPr>
                <w:b/>
                <w:bCs w:val="0"/>
              </w:rPr>
              <w:t>Metric</w:t>
            </w:r>
          </w:p>
        </w:tc>
        <w:tc>
          <w:tcPr>
            <w:tcW w:w="627" w:type="dxa"/>
            <w:shd w:val="clear" w:color="auto" w:fill="F1D0C6"/>
          </w:tcPr>
          <w:p w14:paraId="53EBE235" w14:textId="142A186A" w:rsidR="00112930" w:rsidRPr="000F23E0" w:rsidRDefault="00112930" w:rsidP="008D52F7">
            <w:pPr>
              <w:pStyle w:val="TableColumnHeadingRight"/>
              <w:cnfStyle w:val="100000000000" w:firstRow="1" w:lastRow="0" w:firstColumn="0" w:lastColumn="0" w:oddVBand="0" w:evenVBand="0" w:oddHBand="0" w:evenHBand="0" w:firstRowFirstColumn="0" w:firstRowLastColumn="0" w:lastRowFirstColumn="0" w:lastRowLastColumn="0"/>
              <w:rPr>
                <w:b/>
              </w:rPr>
            </w:pPr>
            <w:r w:rsidRPr="000F23E0">
              <w:rPr>
                <w:b/>
              </w:rPr>
              <w:t>Value</w:t>
            </w:r>
          </w:p>
        </w:tc>
        <w:tc>
          <w:tcPr>
            <w:tcW w:w="1814" w:type="dxa"/>
            <w:shd w:val="clear" w:color="auto" w:fill="F1D0C6"/>
          </w:tcPr>
          <w:p w14:paraId="1B51EACA" w14:textId="0B714410" w:rsidR="00112930" w:rsidRPr="000F23E0" w:rsidRDefault="00112930" w:rsidP="008D52F7">
            <w:pPr>
              <w:pStyle w:val="TableColumnHeadingRight"/>
              <w:cnfStyle w:val="100000000000" w:firstRow="1" w:lastRow="0" w:firstColumn="0" w:lastColumn="0" w:oddVBand="0" w:evenVBand="0" w:oddHBand="0" w:evenHBand="0" w:firstRowFirstColumn="0" w:firstRowLastColumn="0" w:lastRowFirstColumn="0" w:lastRowLastColumn="0"/>
              <w:rPr>
                <w:b/>
              </w:rPr>
            </w:pPr>
            <w:r w:rsidRPr="000F23E0">
              <w:rPr>
                <w:b/>
              </w:rPr>
              <w:t>Recorded / Projected</w:t>
            </w:r>
          </w:p>
        </w:tc>
        <w:tc>
          <w:tcPr>
            <w:tcW w:w="1814" w:type="dxa"/>
            <w:shd w:val="clear" w:color="auto" w:fill="F1D0C6"/>
          </w:tcPr>
          <w:p w14:paraId="30A91190" w14:textId="1E83E10C" w:rsidR="00112930" w:rsidRPr="000F23E0" w:rsidRDefault="00112930" w:rsidP="008D52F7">
            <w:pPr>
              <w:pStyle w:val="TableColumnHeadingRight"/>
              <w:cnfStyle w:val="100000000000" w:firstRow="1" w:lastRow="0" w:firstColumn="0" w:lastColumn="0" w:oddVBand="0" w:evenVBand="0" w:oddHBand="0" w:evenHBand="0" w:firstRowFirstColumn="0" w:firstRowLastColumn="0" w:lastRowFirstColumn="0" w:lastRowLastColumn="0"/>
              <w:rPr>
                <w:b/>
              </w:rPr>
            </w:pPr>
            <w:r w:rsidRPr="000F23E0">
              <w:rPr>
                <w:b/>
              </w:rPr>
              <w:t>Time Period</w:t>
            </w:r>
          </w:p>
        </w:tc>
      </w:tr>
      <w:tr w:rsidR="00112930" w:rsidRPr="000F23E0" w14:paraId="7EC45126" w14:textId="77777777" w:rsidTr="00B778E8">
        <w:tc>
          <w:tcPr>
            <w:cnfStyle w:val="001000000000" w:firstRow="0" w:lastRow="0" w:firstColumn="1" w:lastColumn="0" w:oddVBand="0" w:evenVBand="0" w:oddHBand="0" w:evenHBand="0" w:firstRowFirstColumn="0" w:firstRowLastColumn="0" w:lastRowFirstColumn="0" w:lastRowLastColumn="0"/>
            <w:tcW w:w="2547" w:type="dxa"/>
            <w:shd w:val="clear" w:color="auto" w:fill="FDF0E7"/>
          </w:tcPr>
          <w:p w14:paraId="20D437B7" w14:textId="14A91DAC" w:rsidR="00112930" w:rsidRPr="000F23E0" w:rsidRDefault="00112930" w:rsidP="008D52F7">
            <w:pPr>
              <w:pStyle w:val="TableTextLeft"/>
            </w:pPr>
            <w:r w:rsidRPr="000F23E0">
              <w:t>National EV Charging Network</w:t>
            </w:r>
          </w:p>
        </w:tc>
        <w:tc>
          <w:tcPr>
            <w:tcW w:w="2268" w:type="dxa"/>
            <w:shd w:val="clear" w:color="auto" w:fill="FEFAF8"/>
          </w:tcPr>
          <w:p w14:paraId="4731447B" w14:textId="7A260D2C" w:rsidR="00112930" w:rsidRPr="000F23E0" w:rsidRDefault="00112930" w:rsidP="008D52F7">
            <w:pPr>
              <w:pStyle w:val="TableTextLeft"/>
              <w:cnfStyle w:val="000000000000" w:firstRow="0" w:lastRow="0" w:firstColumn="0" w:lastColumn="0" w:oddVBand="0" w:evenVBand="0" w:oddHBand="0" w:evenHBand="0" w:firstRowFirstColumn="0" w:firstRowLastColumn="0" w:lastRowFirstColumn="0" w:lastRowLastColumn="0"/>
            </w:pPr>
            <w:r w:rsidRPr="000F23E0">
              <w:t>EV charging sites delivered</w:t>
            </w:r>
          </w:p>
        </w:tc>
        <w:tc>
          <w:tcPr>
            <w:tcW w:w="627" w:type="dxa"/>
            <w:shd w:val="clear" w:color="auto" w:fill="FEFAF8"/>
          </w:tcPr>
          <w:p w14:paraId="1916891E" w14:textId="2998919C" w:rsidR="00112930" w:rsidRPr="000F23E0" w:rsidRDefault="00112930" w:rsidP="008D52F7">
            <w:pPr>
              <w:pStyle w:val="TableTextRight"/>
              <w:cnfStyle w:val="000000000000" w:firstRow="0" w:lastRow="0" w:firstColumn="0" w:lastColumn="0" w:oddVBand="0" w:evenVBand="0" w:oddHBand="0" w:evenHBand="0" w:firstRowFirstColumn="0" w:firstRowLastColumn="0" w:lastRowFirstColumn="0" w:lastRowLastColumn="0"/>
            </w:pPr>
            <w:r w:rsidRPr="000F23E0">
              <w:t>17</w:t>
            </w:r>
          </w:p>
        </w:tc>
        <w:tc>
          <w:tcPr>
            <w:tcW w:w="1814" w:type="dxa"/>
            <w:shd w:val="clear" w:color="auto" w:fill="FEFAF8"/>
          </w:tcPr>
          <w:p w14:paraId="1096F355" w14:textId="4C5154DF" w:rsidR="00112930" w:rsidRPr="000F23E0" w:rsidRDefault="00112930" w:rsidP="008D52F7">
            <w:pPr>
              <w:pStyle w:val="TableTextRight"/>
              <w:cnfStyle w:val="000000000000" w:firstRow="0" w:lastRow="0" w:firstColumn="0" w:lastColumn="0" w:oddVBand="0" w:evenVBand="0" w:oddHBand="0" w:evenHBand="0" w:firstRowFirstColumn="0" w:firstRowLastColumn="0" w:lastRowFirstColumn="0" w:lastRowLastColumn="0"/>
            </w:pPr>
            <w:r w:rsidRPr="000F23E0">
              <w:t>Recorded</w:t>
            </w:r>
          </w:p>
        </w:tc>
        <w:tc>
          <w:tcPr>
            <w:tcW w:w="1814" w:type="dxa"/>
            <w:shd w:val="clear" w:color="auto" w:fill="FEFAF8"/>
          </w:tcPr>
          <w:p w14:paraId="0A01B689" w14:textId="5E2475BE" w:rsidR="00112930" w:rsidRPr="000F23E0" w:rsidRDefault="00112930" w:rsidP="008D52F7">
            <w:pPr>
              <w:pStyle w:val="TableTextRight"/>
              <w:cnfStyle w:val="000000000000" w:firstRow="0" w:lastRow="0" w:firstColumn="0" w:lastColumn="0" w:oddVBand="0" w:evenVBand="0" w:oddHBand="0" w:evenHBand="0" w:firstRowFirstColumn="0" w:firstRowLastColumn="0" w:lastRowFirstColumn="0" w:lastRowLastColumn="0"/>
            </w:pPr>
            <w:r w:rsidRPr="000F23E0">
              <w:t>FY2024–25</w:t>
            </w:r>
          </w:p>
        </w:tc>
      </w:tr>
      <w:tr w:rsidR="00112930" w:rsidRPr="000F23E0" w14:paraId="003CF155" w14:textId="77777777" w:rsidTr="00B778E8">
        <w:tc>
          <w:tcPr>
            <w:cnfStyle w:val="001000000000" w:firstRow="0" w:lastRow="0" w:firstColumn="1" w:lastColumn="0" w:oddVBand="0" w:evenVBand="0" w:oddHBand="0" w:evenHBand="0" w:firstRowFirstColumn="0" w:firstRowLastColumn="0" w:lastRowFirstColumn="0" w:lastRowLastColumn="0"/>
            <w:tcW w:w="2547" w:type="dxa"/>
            <w:shd w:val="clear" w:color="auto" w:fill="FDF0E7"/>
          </w:tcPr>
          <w:p w14:paraId="4E032DA1" w14:textId="0C136739" w:rsidR="00112930" w:rsidRPr="000F23E0" w:rsidRDefault="00112930" w:rsidP="008D52F7">
            <w:pPr>
              <w:pStyle w:val="TableTextLeft"/>
            </w:pPr>
            <w:r w:rsidRPr="000F23E0">
              <w:t>DRIVEN Charger Rebate Stream Round 1</w:t>
            </w:r>
          </w:p>
        </w:tc>
        <w:tc>
          <w:tcPr>
            <w:tcW w:w="2268" w:type="dxa"/>
            <w:shd w:val="clear" w:color="auto" w:fill="FEFAF8"/>
          </w:tcPr>
          <w:p w14:paraId="3DB39A96" w14:textId="113C367E" w:rsidR="00112930" w:rsidRPr="000F23E0" w:rsidRDefault="00112930" w:rsidP="008D52F7">
            <w:pPr>
              <w:pStyle w:val="TableTextLeft"/>
              <w:cnfStyle w:val="000000000000" w:firstRow="0" w:lastRow="0" w:firstColumn="0" w:lastColumn="0" w:oddVBand="0" w:evenVBand="0" w:oddHBand="0" w:evenHBand="0" w:firstRowFirstColumn="0" w:firstRowLastColumn="0" w:lastRowFirstColumn="0" w:lastRowLastColumn="0"/>
            </w:pPr>
            <w:r w:rsidRPr="000F23E0">
              <w:t>EV charging plugs approved for rebate</w:t>
            </w:r>
          </w:p>
        </w:tc>
        <w:tc>
          <w:tcPr>
            <w:tcW w:w="627" w:type="dxa"/>
            <w:shd w:val="clear" w:color="auto" w:fill="FEFAF8"/>
          </w:tcPr>
          <w:p w14:paraId="269B76DD" w14:textId="509BD9E4" w:rsidR="00112930" w:rsidRPr="000F23E0" w:rsidRDefault="00112930" w:rsidP="008D52F7">
            <w:pPr>
              <w:pStyle w:val="TableTextRight"/>
              <w:cnfStyle w:val="000000000000" w:firstRow="0" w:lastRow="0" w:firstColumn="0" w:lastColumn="0" w:oddVBand="0" w:evenVBand="0" w:oddHBand="0" w:evenHBand="0" w:firstRowFirstColumn="0" w:firstRowLastColumn="0" w:lastRowFirstColumn="0" w:lastRowLastColumn="0"/>
            </w:pPr>
            <w:r w:rsidRPr="000F23E0">
              <w:t>244</w:t>
            </w:r>
          </w:p>
        </w:tc>
        <w:tc>
          <w:tcPr>
            <w:tcW w:w="1814" w:type="dxa"/>
            <w:shd w:val="clear" w:color="auto" w:fill="FEFAF8"/>
          </w:tcPr>
          <w:p w14:paraId="352BB9CD" w14:textId="654120A5" w:rsidR="00112930" w:rsidRPr="000F23E0" w:rsidRDefault="00112930" w:rsidP="008D52F7">
            <w:pPr>
              <w:pStyle w:val="TableTextRight"/>
              <w:cnfStyle w:val="000000000000" w:firstRow="0" w:lastRow="0" w:firstColumn="0" w:lastColumn="0" w:oddVBand="0" w:evenVBand="0" w:oddHBand="0" w:evenHBand="0" w:firstRowFirstColumn="0" w:firstRowLastColumn="0" w:lastRowFirstColumn="0" w:lastRowLastColumn="0"/>
            </w:pPr>
            <w:r w:rsidRPr="000F23E0">
              <w:t>Recorded</w:t>
            </w:r>
          </w:p>
        </w:tc>
        <w:tc>
          <w:tcPr>
            <w:tcW w:w="1814" w:type="dxa"/>
            <w:shd w:val="clear" w:color="auto" w:fill="FEFAF8"/>
          </w:tcPr>
          <w:p w14:paraId="6983CC2E" w14:textId="4AB44DDC" w:rsidR="00112930" w:rsidRPr="000F23E0" w:rsidRDefault="00112930" w:rsidP="008D52F7">
            <w:pPr>
              <w:pStyle w:val="TableTextRight"/>
              <w:cnfStyle w:val="000000000000" w:firstRow="0" w:lastRow="0" w:firstColumn="0" w:lastColumn="0" w:oddVBand="0" w:evenVBand="0" w:oddHBand="0" w:evenHBand="0" w:firstRowFirstColumn="0" w:firstRowLastColumn="0" w:lastRowFirstColumn="0" w:lastRowLastColumn="0"/>
            </w:pPr>
            <w:r w:rsidRPr="000F23E0">
              <w:t>January – April 2025</w:t>
            </w:r>
          </w:p>
        </w:tc>
      </w:tr>
    </w:tbl>
    <w:bookmarkEnd w:id="238"/>
    <w:p w14:paraId="149E1F06" w14:textId="08C4342D" w:rsidR="0079347A" w:rsidRPr="000F23E0" w:rsidRDefault="0079347A" w:rsidP="00B778E8">
      <w:pPr>
        <w:pStyle w:val="Heading4"/>
        <w:keepNext/>
        <w:keepLines/>
      </w:pPr>
      <w:r w:rsidRPr="000F23E0">
        <w:lastRenderedPageBreak/>
        <w:t xml:space="preserve">Social </w:t>
      </w:r>
      <w:r w:rsidR="009C5A40" w:rsidRPr="000F23E0">
        <w:t>c</w:t>
      </w:r>
      <w:r w:rsidRPr="000F23E0">
        <w:t>o</w:t>
      </w:r>
      <w:r w:rsidR="002C4475" w:rsidRPr="000F23E0">
        <w:noBreakHyphen/>
      </w:r>
      <w:r w:rsidRPr="000F23E0">
        <w:t>benefits</w:t>
      </w:r>
    </w:p>
    <w:p w14:paraId="3C748854" w14:textId="56113C54" w:rsidR="0079347A" w:rsidRPr="000F23E0" w:rsidRDefault="0079347A" w:rsidP="00B778E8">
      <w:pPr>
        <w:keepNext/>
        <w:keepLines/>
      </w:pPr>
      <w:r w:rsidRPr="000F23E0">
        <w:t xml:space="preserve">The National EV charging network project will raise current and future EV driver confidence by establishing a nationwide network of chargers. The fast chargers will be compatible with all EVs and accessible by all motorists. </w:t>
      </w:r>
    </w:p>
    <w:p w14:paraId="7CBC329F" w14:textId="2A9DA364" w:rsidR="003F300E" w:rsidRPr="000F23E0" w:rsidRDefault="0079347A" w:rsidP="00B778E8">
      <w:pPr>
        <w:keepNext/>
        <w:keepLines/>
      </w:pPr>
      <w:r w:rsidRPr="000F23E0">
        <w:t>New sites will complement existing and planned EV charging infrastructure. Site selection for new EV</w:t>
      </w:r>
      <w:r w:rsidR="00F345B5" w:rsidRPr="000F23E0">
        <w:t> </w:t>
      </w:r>
      <w:r w:rsidRPr="000F23E0">
        <w:t>chargers will target known blackspots, prioritising regional and remote communities.</w:t>
      </w:r>
    </w:p>
    <w:p w14:paraId="0E4BEE09" w14:textId="00C35D2E" w:rsidR="0079347A" w:rsidRPr="000F23E0" w:rsidRDefault="00C53AB7" w:rsidP="00B778E8">
      <w:pPr>
        <w:keepNext/>
        <w:keepLines/>
      </w:pPr>
      <w:r w:rsidRPr="000F23E0">
        <w:t xml:space="preserve">The DRIVEN Charger </w:t>
      </w:r>
      <w:r w:rsidR="00F91261" w:rsidRPr="000F23E0">
        <w:t>Rebate</w:t>
      </w:r>
      <w:r w:rsidRPr="000F23E0" w:rsidDel="00F91261">
        <w:t xml:space="preserve"> </w:t>
      </w:r>
      <w:r w:rsidR="00F91261" w:rsidRPr="000F23E0">
        <w:t>Stream</w:t>
      </w:r>
      <w:r w:rsidRPr="000F23E0">
        <w:t xml:space="preserve"> </w:t>
      </w:r>
      <w:r w:rsidR="003F300E" w:rsidRPr="000F23E0">
        <w:t xml:space="preserve">supports </w:t>
      </w:r>
      <w:r w:rsidR="00CE6748" w:rsidRPr="000F23E0">
        <w:t>dealerships and EV repairers nationwide</w:t>
      </w:r>
      <w:r w:rsidR="003F300E" w:rsidRPr="000F23E0">
        <w:t xml:space="preserve"> by providing funding for the purchase and installation of smart EV chargers at eligible sites.</w:t>
      </w:r>
      <w:r w:rsidRPr="000F23E0">
        <w:t xml:space="preserve"> </w:t>
      </w:r>
    </w:p>
    <w:p w14:paraId="273228B4" w14:textId="2EAF05AF" w:rsidR="00190D96" w:rsidRPr="000F23E0" w:rsidRDefault="00190D96" w:rsidP="00551F72">
      <w:pPr>
        <w:pStyle w:val="TableMainHeading"/>
      </w:pPr>
      <w:bookmarkStart w:id="239" w:name="_Toc220662886"/>
      <w:bookmarkStart w:id="240" w:name="_Toc224637826"/>
      <w:bookmarkStart w:id="241" w:name="_Toc224642490"/>
      <w:bookmarkStart w:id="242" w:name="_Toc225153466"/>
      <w:bookmarkStart w:id="243" w:name="_Toc225154512"/>
      <w:bookmarkStart w:id="244" w:name="_Toc225155777"/>
      <w:r w:rsidRPr="000F23E0">
        <w:t xml:space="preserve">Table </w:t>
      </w:r>
      <w:r w:rsidR="009F3BB3" w:rsidRPr="000F23E0">
        <w:t>2</w:t>
      </w:r>
      <w:r w:rsidR="00E27A95" w:rsidRPr="000F23E0">
        <w:t>6</w:t>
      </w:r>
      <w:r w:rsidR="0068550D" w:rsidRPr="000F23E0">
        <w:t>:</w:t>
      </w:r>
      <w:r w:rsidRPr="000F23E0">
        <w:t xml:space="preserve"> Social </w:t>
      </w:r>
      <w:r w:rsidR="00FA2E19" w:rsidRPr="000F23E0">
        <w:t xml:space="preserve">impact data for </w:t>
      </w:r>
      <w:r w:rsidR="00E30B60" w:rsidRPr="000F23E0">
        <w:t xml:space="preserve">the </w:t>
      </w:r>
      <w:r w:rsidR="00E92399" w:rsidRPr="000F23E0">
        <w:t>Driving the Nation</w:t>
      </w:r>
      <w:r w:rsidRPr="000F23E0">
        <w:t xml:space="preserve"> </w:t>
      </w:r>
      <w:r w:rsidR="00E30B60" w:rsidRPr="000F23E0">
        <w:t>Fund</w:t>
      </w:r>
      <w:bookmarkEnd w:id="239"/>
      <w:bookmarkEnd w:id="240"/>
      <w:bookmarkEnd w:id="241"/>
      <w:bookmarkEnd w:id="242"/>
      <w:bookmarkEnd w:id="243"/>
      <w:bookmarkEnd w:id="244"/>
      <w:r w:rsidRPr="000F23E0">
        <w:t xml:space="preserve"> </w:t>
      </w:r>
    </w:p>
    <w:tbl>
      <w:tblPr>
        <w:tblStyle w:val="GridTable4-Accent2"/>
        <w:tblW w:w="5000" w:type="pct"/>
        <w:tblInd w:w="5" w:type="dxa"/>
        <w:tblBorders>
          <w:top w:val="single" w:sz="4" w:space="0" w:color="DFA795"/>
          <w:bottom w:val="single" w:sz="4" w:space="0" w:color="DFA795"/>
          <w:insideH w:val="single" w:sz="4" w:space="0" w:color="DFA795"/>
        </w:tblBorders>
        <w:tblLook w:val="04A0" w:firstRow="1" w:lastRow="0" w:firstColumn="1" w:lastColumn="0" w:noHBand="0" w:noVBand="1"/>
      </w:tblPr>
      <w:tblGrid>
        <w:gridCol w:w="2405"/>
        <w:gridCol w:w="2410"/>
        <w:gridCol w:w="627"/>
        <w:gridCol w:w="1814"/>
        <w:gridCol w:w="1814"/>
      </w:tblGrid>
      <w:tr w:rsidR="00B52D04" w:rsidRPr="000F23E0" w14:paraId="16967D87" w14:textId="77777777" w:rsidTr="00C71B7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shd w:val="clear" w:color="auto" w:fill="F1D0C6"/>
          </w:tcPr>
          <w:p w14:paraId="3F426015" w14:textId="51CDBD0D" w:rsidR="00B52D04" w:rsidRPr="000F23E0" w:rsidRDefault="00B52D04" w:rsidP="00B778E8">
            <w:pPr>
              <w:pStyle w:val="TableColumnHeadingLeft"/>
              <w:keepLines/>
              <w:rPr>
                <w:b/>
                <w:bCs w:val="0"/>
              </w:rPr>
            </w:pPr>
            <w:r w:rsidRPr="000F23E0">
              <w:rPr>
                <w:b/>
                <w:bCs w:val="0"/>
              </w:rPr>
              <w:t>Metric</w:t>
            </w:r>
          </w:p>
        </w:tc>
        <w:tc>
          <w:tcPr>
            <w:tcW w:w="2410" w:type="dxa"/>
            <w:shd w:val="clear" w:color="auto" w:fill="F1D0C6"/>
          </w:tcPr>
          <w:p w14:paraId="706CDB32" w14:textId="1D51FB2E" w:rsidR="00B52D04" w:rsidRPr="000F23E0" w:rsidRDefault="00B52D04" w:rsidP="00B778E8">
            <w:pPr>
              <w:pStyle w:val="TableColumnHeadingLeft"/>
              <w:keepLines/>
              <w:cnfStyle w:val="100000000000" w:firstRow="1" w:lastRow="0" w:firstColumn="0" w:lastColumn="0" w:oddVBand="0" w:evenVBand="0" w:oddHBand="0" w:evenHBand="0" w:firstRowFirstColumn="0" w:firstRowLastColumn="0" w:lastRowFirstColumn="0" w:lastRowLastColumn="0"/>
              <w:rPr>
                <w:b/>
                <w:bCs w:val="0"/>
              </w:rPr>
            </w:pPr>
            <w:r w:rsidRPr="000F23E0">
              <w:rPr>
                <w:b/>
                <w:bCs w:val="0"/>
              </w:rPr>
              <w:t>Project</w:t>
            </w:r>
          </w:p>
        </w:tc>
        <w:tc>
          <w:tcPr>
            <w:tcW w:w="627" w:type="dxa"/>
            <w:shd w:val="clear" w:color="auto" w:fill="F1D0C6"/>
          </w:tcPr>
          <w:p w14:paraId="1B21F7A4" w14:textId="77777777" w:rsidR="00B52D04" w:rsidRPr="000F23E0" w:rsidRDefault="00B52D04" w:rsidP="00B778E8">
            <w:pPr>
              <w:pStyle w:val="TableColumnHeadingRight"/>
              <w:keepLines/>
              <w:cnfStyle w:val="100000000000" w:firstRow="1" w:lastRow="0" w:firstColumn="0" w:lastColumn="0" w:oddVBand="0" w:evenVBand="0" w:oddHBand="0" w:evenHBand="0" w:firstRowFirstColumn="0" w:firstRowLastColumn="0" w:lastRowFirstColumn="0" w:lastRowLastColumn="0"/>
              <w:rPr>
                <w:b/>
              </w:rPr>
            </w:pPr>
            <w:r w:rsidRPr="000F23E0">
              <w:rPr>
                <w:b/>
              </w:rPr>
              <w:t>Value</w:t>
            </w:r>
          </w:p>
        </w:tc>
        <w:tc>
          <w:tcPr>
            <w:tcW w:w="1814" w:type="dxa"/>
            <w:shd w:val="clear" w:color="auto" w:fill="F1D0C6"/>
          </w:tcPr>
          <w:p w14:paraId="01260667" w14:textId="77777777" w:rsidR="00B52D04" w:rsidRPr="000F23E0" w:rsidRDefault="00B52D04" w:rsidP="00B778E8">
            <w:pPr>
              <w:pStyle w:val="TableColumnHeadingRight"/>
              <w:keepLines/>
              <w:cnfStyle w:val="100000000000" w:firstRow="1" w:lastRow="0" w:firstColumn="0" w:lastColumn="0" w:oddVBand="0" w:evenVBand="0" w:oddHBand="0" w:evenHBand="0" w:firstRowFirstColumn="0" w:firstRowLastColumn="0" w:lastRowFirstColumn="0" w:lastRowLastColumn="0"/>
              <w:rPr>
                <w:b/>
              </w:rPr>
            </w:pPr>
            <w:r w:rsidRPr="000F23E0">
              <w:rPr>
                <w:b/>
              </w:rPr>
              <w:t>Recorded / Projected</w:t>
            </w:r>
          </w:p>
        </w:tc>
        <w:tc>
          <w:tcPr>
            <w:tcW w:w="1814" w:type="dxa"/>
            <w:shd w:val="clear" w:color="auto" w:fill="F1D0C6"/>
          </w:tcPr>
          <w:p w14:paraId="2AD05D42" w14:textId="77777777" w:rsidR="00B52D04" w:rsidRPr="000F23E0" w:rsidRDefault="00B52D04" w:rsidP="00B778E8">
            <w:pPr>
              <w:pStyle w:val="TableColumnHeadingRight"/>
              <w:keepLines/>
              <w:cnfStyle w:val="100000000000" w:firstRow="1" w:lastRow="0" w:firstColumn="0" w:lastColumn="0" w:oddVBand="0" w:evenVBand="0" w:oddHBand="0" w:evenHBand="0" w:firstRowFirstColumn="0" w:firstRowLastColumn="0" w:lastRowFirstColumn="0" w:lastRowLastColumn="0"/>
              <w:rPr>
                <w:b/>
              </w:rPr>
            </w:pPr>
            <w:r w:rsidRPr="000F23E0">
              <w:rPr>
                <w:b/>
              </w:rPr>
              <w:t>Time Period</w:t>
            </w:r>
          </w:p>
        </w:tc>
      </w:tr>
      <w:tr w:rsidR="00B52D04" w:rsidRPr="000F23E0" w14:paraId="470C4297" w14:textId="77777777" w:rsidTr="00C71B7B">
        <w:tc>
          <w:tcPr>
            <w:cnfStyle w:val="001000000000" w:firstRow="0" w:lastRow="0" w:firstColumn="1" w:lastColumn="0" w:oddVBand="0" w:evenVBand="0" w:oddHBand="0" w:evenHBand="0" w:firstRowFirstColumn="0" w:firstRowLastColumn="0" w:lastRowFirstColumn="0" w:lastRowLastColumn="0"/>
            <w:tcW w:w="2405" w:type="dxa"/>
            <w:shd w:val="clear" w:color="auto" w:fill="FDF0E7"/>
          </w:tcPr>
          <w:p w14:paraId="265A6D23" w14:textId="50E8DD0D" w:rsidR="00B52D04" w:rsidRPr="000F23E0" w:rsidRDefault="00B52D04" w:rsidP="00B778E8">
            <w:pPr>
              <w:pStyle w:val="TableTextLeft"/>
              <w:keepNext/>
              <w:keepLines/>
            </w:pPr>
            <w:r w:rsidRPr="000F23E0">
              <w:t>Regional locations supported</w:t>
            </w:r>
          </w:p>
        </w:tc>
        <w:tc>
          <w:tcPr>
            <w:tcW w:w="2410" w:type="dxa"/>
            <w:shd w:val="clear" w:color="auto" w:fill="FEFAF8"/>
          </w:tcPr>
          <w:p w14:paraId="7619A5AD" w14:textId="24DB06FE" w:rsidR="00B52D04" w:rsidRPr="000F23E0" w:rsidRDefault="00B52D04" w:rsidP="00B778E8">
            <w:pPr>
              <w:pStyle w:val="TableTextLeft"/>
              <w:keepNext/>
              <w:keepLines/>
              <w:cnfStyle w:val="000000000000" w:firstRow="0" w:lastRow="0" w:firstColumn="0" w:lastColumn="0" w:oddVBand="0" w:evenVBand="0" w:oddHBand="0" w:evenHBand="0" w:firstRowFirstColumn="0" w:firstRowLastColumn="0" w:lastRowFirstColumn="0" w:lastRowLastColumn="0"/>
            </w:pPr>
            <w:r w:rsidRPr="000F23E0">
              <w:t>National EV Charging Network</w:t>
            </w:r>
          </w:p>
        </w:tc>
        <w:tc>
          <w:tcPr>
            <w:tcW w:w="627" w:type="dxa"/>
            <w:shd w:val="clear" w:color="auto" w:fill="FEFAF8"/>
          </w:tcPr>
          <w:p w14:paraId="50F5CAC1" w14:textId="77777777" w:rsidR="00B52D04" w:rsidRPr="000F23E0" w:rsidRDefault="00B52D04" w:rsidP="00B778E8">
            <w:pPr>
              <w:pStyle w:val="TableTextRight"/>
              <w:keepNext/>
              <w:keepLines/>
              <w:cnfStyle w:val="000000000000" w:firstRow="0" w:lastRow="0" w:firstColumn="0" w:lastColumn="0" w:oddVBand="0" w:evenVBand="0" w:oddHBand="0" w:evenHBand="0" w:firstRowFirstColumn="0" w:firstRowLastColumn="0" w:lastRowFirstColumn="0" w:lastRowLastColumn="0"/>
            </w:pPr>
            <w:r w:rsidRPr="000F23E0">
              <w:t>17</w:t>
            </w:r>
          </w:p>
        </w:tc>
        <w:tc>
          <w:tcPr>
            <w:tcW w:w="1814" w:type="dxa"/>
            <w:shd w:val="clear" w:color="auto" w:fill="FEFAF8"/>
          </w:tcPr>
          <w:p w14:paraId="00703BBD" w14:textId="77777777" w:rsidR="00B52D04" w:rsidRPr="000F23E0" w:rsidRDefault="00B52D04" w:rsidP="00B778E8">
            <w:pPr>
              <w:pStyle w:val="TableTextRight"/>
              <w:keepNext/>
              <w:keepLines/>
              <w:cnfStyle w:val="000000000000" w:firstRow="0" w:lastRow="0" w:firstColumn="0" w:lastColumn="0" w:oddVBand="0" w:evenVBand="0" w:oddHBand="0" w:evenHBand="0" w:firstRowFirstColumn="0" w:firstRowLastColumn="0" w:lastRowFirstColumn="0" w:lastRowLastColumn="0"/>
            </w:pPr>
            <w:r w:rsidRPr="000F23E0">
              <w:t>Recorded</w:t>
            </w:r>
          </w:p>
        </w:tc>
        <w:tc>
          <w:tcPr>
            <w:tcW w:w="1814" w:type="dxa"/>
            <w:shd w:val="clear" w:color="auto" w:fill="FEFAF8"/>
          </w:tcPr>
          <w:p w14:paraId="6CB06B2B" w14:textId="77777777" w:rsidR="00B52D04" w:rsidRPr="000F23E0" w:rsidRDefault="00B52D04" w:rsidP="00B778E8">
            <w:pPr>
              <w:pStyle w:val="TableTextRight"/>
              <w:keepNext/>
              <w:keepLines/>
              <w:cnfStyle w:val="000000000000" w:firstRow="0" w:lastRow="0" w:firstColumn="0" w:lastColumn="0" w:oddVBand="0" w:evenVBand="0" w:oddHBand="0" w:evenHBand="0" w:firstRowFirstColumn="0" w:firstRowLastColumn="0" w:lastRowFirstColumn="0" w:lastRowLastColumn="0"/>
            </w:pPr>
            <w:r w:rsidRPr="000F23E0">
              <w:t>FY2024–25</w:t>
            </w:r>
          </w:p>
        </w:tc>
      </w:tr>
      <w:tr w:rsidR="00B52D04" w:rsidRPr="000F23E0" w14:paraId="3BD54214" w14:textId="77777777" w:rsidTr="00C71B7B">
        <w:tc>
          <w:tcPr>
            <w:cnfStyle w:val="001000000000" w:firstRow="0" w:lastRow="0" w:firstColumn="1" w:lastColumn="0" w:oddVBand="0" w:evenVBand="0" w:oddHBand="0" w:evenHBand="0" w:firstRowFirstColumn="0" w:firstRowLastColumn="0" w:lastRowFirstColumn="0" w:lastRowLastColumn="0"/>
            <w:tcW w:w="2405" w:type="dxa"/>
            <w:shd w:val="clear" w:color="auto" w:fill="FDF0E7"/>
          </w:tcPr>
          <w:p w14:paraId="3C636483" w14:textId="77F3F988" w:rsidR="00B52D04" w:rsidRPr="000F23E0" w:rsidRDefault="00B52D04" w:rsidP="00B778E8">
            <w:pPr>
              <w:pStyle w:val="TableTextLeft"/>
              <w:keepNext/>
              <w:keepLines/>
            </w:pPr>
            <w:r w:rsidRPr="000F23E0">
              <w:t>Businesses supported</w:t>
            </w:r>
          </w:p>
        </w:tc>
        <w:tc>
          <w:tcPr>
            <w:tcW w:w="2410" w:type="dxa"/>
            <w:shd w:val="clear" w:color="auto" w:fill="FEFAF8"/>
          </w:tcPr>
          <w:p w14:paraId="4C13BE45" w14:textId="245C5421" w:rsidR="00B52D04" w:rsidRPr="000F23E0" w:rsidRDefault="00B52D04" w:rsidP="00B778E8">
            <w:pPr>
              <w:pStyle w:val="TableTextLeft"/>
              <w:keepNext/>
              <w:keepLines/>
              <w:cnfStyle w:val="000000000000" w:firstRow="0" w:lastRow="0" w:firstColumn="0" w:lastColumn="0" w:oddVBand="0" w:evenVBand="0" w:oddHBand="0" w:evenHBand="0" w:firstRowFirstColumn="0" w:firstRowLastColumn="0" w:lastRowFirstColumn="0" w:lastRowLastColumn="0"/>
            </w:pPr>
            <w:r w:rsidRPr="000F23E0">
              <w:t>DRIVEN Charger Rebate Stream Round 1</w:t>
            </w:r>
          </w:p>
        </w:tc>
        <w:tc>
          <w:tcPr>
            <w:tcW w:w="627" w:type="dxa"/>
            <w:shd w:val="clear" w:color="auto" w:fill="FEFAF8"/>
          </w:tcPr>
          <w:p w14:paraId="2C773E40" w14:textId="1A8FF34E" w:rsidR="00B52D04" w:rsidRPr="000F23E0" w:rsidRDefault="00B52D04" w:rsidP="00B778E8">
            <w:pPr>
              <w:pStyle w:val="TableTextRight"/>
              <w:keepNext/>
              <w:keepLines/>
              <w:cnfStyle w:val="000000000000" w:firstRow="0" w:lastRow="0" w:firstColumn="0" w:lastColumn="0" w:oddVBand="0" w:evenVBand="0" w:oddHBand="0" w:evenHBand="0" w:firstRowFirstColumn="0" w:firstRowLastColumn="0" w:lastRowFirstColumn="0" w:lastRowLastColumn="0"/>
            </w:pPr>
            <w:r w:rsidRPr="000F23E0">
              <w:t>110</w:t>
            </w:r>
          </w:p>
        </w:tc>
        <w:tc>
          <w:tcPr>
            <w:tcW w:w="1814" w:type="dxa"/>
            <w:shd w:val="clear" w:color="auto" w:fill="FEFAF8"/>
          </w:tcPr>
          <w:p w14:paraId="759BE747" w14:textId="77777777" w:rsidR="00B52D04" w:rsidRPr="000F23E0" w:rsidRDefault="00B52D04" w:rsidP="00B778E8">
            <w:pPr>
              <w:pStyle w:val="TableTextRight"/>
              <w:keepNext/>
              <w:keepLines/>
              <w:cnfStyle w:val="000000000000" w:firstRow="0" w:lastRow="0" w:firstColumn="0" w:lastColumn="0" w:oddVBand="0" w:evenVBand="0" w:oddHBand="0" w:evenHBand="0" w:firstRowFirstColumn="0" w:firstRowLastColumn="0" w:lastRowFirstColumn="0" w:lastRowLastColumn="0"/>
            </w:pPr>
            <w:r w:rsidRPr="000F23E0">
              <w:t>Recorded</w:t>
            </w:r>
          </w:p>
        </w:tc>
        <w:tc>
          <w:tcPr>
            <w:tcW w:w="1814" w:type="dxa"/>
            <w:shd w:val="clear" w:color="auto" w:fill="FEFAF8"/>
          </w:tcPr>
          <w:p w14:paraId="79047A50" w14:textId="77777777" w:rsidR="00B52D04" w:rsidRPr="000F23E0" w:rsidRDefault="00B52D04" w:rsidP="00B778E8">
            <w:pPr>
              <w:pStyle w:val="TableTextRight"/>
              <w:keepNext/>
              <w:keepLines/>
              <w:cnfStyle w:val="000000000000" w:firstRow="0" w:lastRow="0" w:firstColumn="0" w:lastColumn="0" w:oddVBand="0" w:evenVBand="0" w:oddHBand="0" w:evenHBand="0" w:firstRowFirstColumn="0" w:firstRowLastColumn="0" w:lastRowFirstColumn="0" w:lastRowLastColumn="0"/>
            </w:pPr>
            <w:r w:rsidRPr="000F23E0">
              <w:t>January – April 2025</w:t>
            </w:r>
          </w:p>
        </w:tc>
      </w:tr>
    </w:tbl>
    <w:p w14:paraId="70643BD5" w14:textId="77777777" w:rsidR="00675DBD" w:rsidRPr="000F23E0" w:rsidRDefault="00675DBD" w:rsidP="00BA0320"/>
    <w:tbl>
      <w:tblPr>
        <w:tblW w:w="5000" w:type="pct"/>
        <w:shd w:val="clear" w:color="auto" w:fill="FDF0E7"/>
        <w:tblCellMar>
          <w:top w:w="113" w:type="dxa"/>
          <w:left w:w="284" w:type="dxa"/>
          <w:bottom w:w="113" w:type="dxa"/>
          <w:right w:w="284" w:type="dxa"/>
        </w:tblCellMar>
        <w:tblLook w:val="04A0" w:firstRow="1" w:lastRow="0" w:firstColumn="1" w:lastColumn="0" w:noHBand="0" w:noVBand="1"/>
      </w:tblPr>
      <w:tblGrid>
        <w:gridCol w:w="9070"/>
      </w:tblGrid>
      <w:tr w:rsidR="004E0A94" w:rsidRPr="000F23E0" w14:paraId="7CD75A0C" w14:textId="77777777" w:rsidTr="00BA0320">
        <w:tc>
          <w:tcPr>
            <w:tcW w:w="5000" w:type="pct"/>
            <w:shd w:val="clear" w:color="auto" w:fill="FDF0E7"/>
            <w:hideMark/>
          </w:tcPr>
          <w:p w14:paraId="52687ED7" w14:textId="673C613F" w:rsidR="004E0A94" w:rsidRPr="000F23E0" w:rsidRDefault="004E0A94" w:rsidP="00384DD3">
            <w:pPr>
              <w:pStyle w:val="Caseheading"/>
            </w:pPr>
            <w:bookmarkStart w:id="245" w:name="_Hlk222313682"/>
            <w:r w:rsidRPr="000F23E0">
              <w:t>Case study 8: Driving the nation case studies</w:t>
            </w:r>
          </w:p>
          <w:p w14:paraId="45F18616" w14:textId="77777777" w:rsidR="004E0A94" w:rsidRPr="000F23E0" w:rsidRDefault="004E0A94" w:rsidP="00D05E2B">
            <w:pPr>
              <w:pStyle w:val="BoxText"/>
              <w:rPr>
                <w:b/>
              </w:rPr>
            </w:pPr>
            <w:r w:rsidRPr="000F23E0">
              <w:rPr>
                <w:b/>
              </w:rPr>
              <w:t>Case study 8.1: Accelerating the local government transition to Battery Electric Vehicles in WA</w:t>
            </w:r>
          </w:p>
          <w:p w14:paraId="5DB1D8ED" w14:textId="77777777" w:rsidR="004E0A94" w:rsidRPr="000F23E0" w:rsidRDefault="004E0A94" w:rsidP="00C71B7B">
            <w:pPr>
              <w:pStyle w:val="BoxText"/>
              <w:spacing w:after="240"/>
              <w:rPr>
                <w:b/>
              </w:rPr>
            </w:pPr>
            <w:r w:rsidRPr="000F23E0">
              <w:t xml:space="preserve">The </w:t>
            </w:r>
            <w:hyperlink r:id="rId68" w:history="1">
              <w:r w:rsidRPr="000F23E0">
                <w:rPr>
                  <w:rStyle w:val="Hyperlink"/>
                  <w:bCs/>
                </w:rPr>
                <w:t>Western Australia Local Government Association (WALGA)</w:t>
              </w:r>
            </w:hyperlink>
            <w:r w:rsidRPr="000F23E0">
              <w:t xml:space="preserve"> is addressing the current barriers to Battery Electric Vehicles (BEVs) adoption for local governments (LG) through an aggregated approach, which includes a procurement model providing an ongoing pathway for LG fleet electrification through streamlined and cost-efficient procurement processes. WALGA has successfully rolled out the target 105 chargers and 129 BEVs across 22 LG fleets. </w:t>
            </w:r>
          </w:p>
          <w:p w14:paraId="0ADBDB43" w14:textId="77777777" w:rsidR="004E0A94" w:rsidRPr="000F23E0" w:rsidRDefault="004E0A94" w:rsidP="00D05E2B">
            <w:pPr>
              <w:pStyle w:val="BoxText"/>
              <w:rPr>
                <w:b/>
              </w:rPr>
            </w:pPr>
            <w:r w:rsidRPr="000F23E0">
              <w:rPr>
                <w:b/>
              </w:rPr>
              <w:t>Case study 8.2: Accelerate electric vehicle fleet project through Origin Energy and Custom Fleet</w:t>
            </w:r>
          </w:p>
          <w:p w14:paraId="2F7740AE" w14:textId="77777777" w:rsidR="004E0A94" w:rsidRPr="000F23E0" w:rsidRDefault="004E0A94" w:rsidP="00C71B7B">
            <w:pPr>
              <w:pStyle w:val="BoxText"/>
              <w:spacing w:after="240"/>
              <w:rPr>
                <w:b/>
                <w:bCs/>
              </w:rPr>
            </w:pPr>
            <w:hyperlink r:id="rId69" w:history="1">
              <w:r w:rsidRPr="000F23E0">
                <w:rPr>
                  <w:rStyle w:val="Hyperlink"/>
                </w:rPr>
                <w:t>Origin Energy (Origin) is partnering with Custom Fleet (Custom)</w:t>
              </w:r>
            </w:hyperlink>
            <w:r w:rsidRPr="000F23E0">
              <w:t xml:space="preserve"> to help business customers transition their fleets to BEVs by providing end-to-end fully managed BEV fleet management solutions. Origin and Custom will lease or purchase from manufacturers up to 1,140 light vehicle BEVs for business customers and install a mix of 22kW (3 phase) and 7kW (single phase) chargers. Origin has progressed almost half of this rollout to over 100 separate customers.</w:t>
            </w:r>
          </w:p>
          <w:p w14:paraId="0CF9148D" w14:textId="77777777" w:rsidR="004E0A94" w:rsidRPr="000F23E0" w:rsidRDefault="004E0A94" w:rsidP="00D05E2B">
            <w:pPr>
              <w:pStyle w:val="BoxText"/>
              <w:rPr>
                <w:b/>
              </w:rPr>
            </w:pPr>
            <w:r w:rsidRPr="000F23E0">
              <w:rPr>
                <w:b/>
              </w:rPr>
              <w:t>Case study 8.3: Rigid and prime mover truck electrification project</w:t>
            </w:r>
          </w:p>
          <w:p w14:paraId="7FD0804F" w14:textId="7FA98C5F" w:rsidR="00F345B5" w:rsidRPr="000F23E0" w:rsidRDefault="004E0A94" w:rsidP="00675DBD">
            <w:pPr>
              <w:pStyle w:val="BoxText"/>
              <w:rPr>
                <w:b/>
              </w:rPr>
            </w:pPr>
            <w:hyperlink r:id="rId70" w:history="1">
              <w:r w:rsidRPr="000F23E0">
                <w:rPr>
                  <w:rStyle w:val="Hyperlink"/>
                </w:rPr>
                <w:t>Centurion Transport</w:t>
              </w:r>
            </w:hyperlink>
            <w:r w:rsidRPr="000F23E0">
              <w:t xml:space="preserve"> has completed construction of 15 DC fast chargers (ranging between 50</w:t>
            </w:r>
            <w:r w:rsidR="00BB60BE" w:rsidRPr="000F23E0">
              <w:noBreakHyphen/>
            </w:r>
            <w:r w:rsidRPr="000F23E0">
              <w:t>150 kW) and the installation of a fully off-grid energy system consisting of a 10.32 MWh battery and a 4.35 MW rooftop solar PV array at its largest depot in Hazelmere, Western Australia to support the energy needs of 30 fully operational battery electric trucks.</w:t>
            </w:r>
          </w:p>
        </w:tc>
      </w:tr>
      <w:bookmarkEnd w:id="245"/>
    </w:tbl>
    <w:p w14:paraId="050DD977" w14:textId="3AF6452A" w:rsidR="00384DD3" w:rsidRPr="000F23E0" w:rsidRDefault="00384DD3" w:rsidP="00BA0320">
      <w:r w:rsidRPr="000F23E0">
        <w:br w:type="page"/>
      </w:r>
    </w:p>
    <w:tbl>
      <w:tblPr>
        <w:tblW w:w="5000" w:type="pct"/>
        <w:shd w:val="clear" w:color="auto" w:fill="FDF0E7"/>
        <w:tblCellMar>
          <w:top w:w="113" w:type="dxa"/>
          <w:left w:w="284" w:type="dxa"/>
          <w:bottom w:w="227" w:type="dxa"/>
          <w:right w:w="284" w:type="dxa"/>
        </w:tblCellMar>
        <w:tblLook w:val="04A0" w:firstRow="1" w:lastRow="0" w:firstColumn="1" w:lastColumn="0" w:noHBand="0" w:noVBand="1"/>
      </w:tblPr>
      <w:tblGrid>
        <w:gridCol w:w="9070"/>
      </w:tblGrid>
      <w:tr w:rsidR="00384DD3" w:rsidRPr="000F23E0" w14:paraId="23CCC15D" w14:textId="77777777" w:rsidTr="00A8113C">
        <w:tc>
          <w:tcPr>
            <w:tcW w:w="5000" w:type="pct"/>
            <w:shd w:val="clear" w:color="auto" w:fill="FDF0E7"/>
            <w:hideMark/>
          </w:tcPr>
          <w:p w14:paraId="07CF1A08" w14:textId="77777777" w:rsidR="00675DBD" w:rsidRPr="000F23E0" w:rsidRDefault="00675DBD" w:rsidP="00675DBD">
            <w:pPr>
              <w:pStyle w:val="BoxText"/>
              <w:rPr>
                <w:b/>
              </w:rPr>
            </w:pPr>
            <w:r w:rsidRPr="000F23E0">
              <w:rPr>
                <w:b/>
              </w:rPr>
              <w:lastRenderedPageBreak/>
              <w:t>Case study 8.4: Depot of the future Vehicle Electrification Project</w:t>
            </w:r>
          </w:p>
          <w:p w14:paraId="1FBB9135" w14:textId="2F265C81" w:rsidR="00675DBD" w:rsidRPr="000F23E0" w:rsidRDefault="00675DBD" w:rsidP="00675DBD">
            <w:pPr>
              <w:pStyle w:val="BoxText"/>
              <w:rPr>
                <w:b/>
              </w:rPr>
            </w:pPr>
            <w:r w:rsidRPr="000F23E0">
              <w:t xml:space="preserve">The </w:t>
            </w:r>
            <w:hyperlink r:id="rId71" w:history="1">
              <w:r w:rsidRPr="000F23E0">
                <w:rPr>
                  <w:rStyle w:val="Hyperlink"/>
                </w:rPr>
                <w:t>Depot of the Future Vehicle Electrification Project</w:t>
              </w:r>
            </w:hyperlink>
            <w:r w:rsidRPr="000F23E0">
              <w:t>, led by Team Global Express, will procure and deploy 60 heavy BEVs, the associated depot charging infrastructure, and a battery energy storage system. It will demonstrate the impact of large-scale BEV integration in fleet operations, creating between 50 and 70 jobs in the construction stage.</w:t>
            </w:r>
          </w:p>
          <w:p w14:paraId="3D843824" w14:textId="151D4A64" w:rsidR="00384DD3" w:rsidRPr="000F23E0" w:rsidRDefault="00384DD3" w:rsidP="00A8113C">
            <w:pPr>
              <w:pStyle w:val="BoxText"/>
              <w:rPr>
                <w:b/>
              </w:rPr>
            </w:pPr>
            <w:r w:rsidRPr="000F23E0">
              <w:rPr>
                <w:b/>
              </w:rPr>
              <w:t>Case study 8.5: Automating EV Charging in line with Wholesale Pricing</w:t>
            </w:r>
          </w:p>
          <w:p w14:paraId="146AA0F6" w14:textId="77777777" w:rsidR="00384DD3" w:rsidRPr="000F23E0" w:rsidRDefault="00384DD3" w:rsidP="00A8113C">
            <w:pPr>
              <w:pStyle w:val="BoxText"/>
              <w:rPr>
                <w:bCs/>
              </w:rPr>
            </w:pPr>
            <w:hyperlink r:id="rId72" w:history="1">
              <w:r w:rsidRPr="000F23E0">
                <w:rPr>
                  <w:rStyle w:val="Hyperlink"/>
                </w:rPr>
                <w:t>Amber Electric Pty Ltd</w:t>
              </w:r>
            </w:hyperlink>
            <w:r w:rsidRPr="000F23E0">
              <w:rPr>
                <w:bCs/>
              </w:rPr>
              <w:t xml:space="preserve"> is leading the project which will develop a software solution to facilitate BEV smart charging and vehicle-to-grid (V2G) bi-directional charging in line with wholesale energy prices. The project also includes a subsidy arrangement for the purchase and installation of 100 smart chargers and 50 V2G bi-directional chargers for the project trial participants. This technology, at scale, aims to support grid stability by adapting charging sessions in response to the levels of variable renewable energy in the grid and discharging energy during periods of high demand across distribution networks.</w:t>
            </w:r>
          </w:p>
          <w:p w14:paraId="59ADB5B6" w14:textId="77777777" w:rsidR="00384DD3" w:rsidRPr="000F23E0" w:rsidRDefault="00384DD3" w:rsidP="00A8113C">
            <w:pPr>
              <w:pStyle w:val="BoxText"/>
              <w:spacing w:before="300"/>
              <w:rPr>
                <w:b/>
                <w:bCs/>
              </w:rPr>
            </w:pPr>
            <w:r w:rsidRPr="000F23E0">
              <w:drawing>
                <wp:inline distT="0" distB="0" distL="0" distR="0" wp14:anchorId="2F2505C5" wp14:editId="3A5B1DAD">
                  <wp:extent cx="5390707" cy="3596380"/>
                  <wp:effectExtent l="0" t="0" r="635" b="4445"/>
                  <wp:docPr id="971568945" name="Picture 17" descr="A charger for an EV can be seen in a man’s hand about to be plugged into a tesla. In the other hand, a phone is being held with the price of the electricity for the car being show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330553" name="Picture 17" descr="A charger for an EV can be seen in a man’s hand about to be plugged into a tesla. In the other hand, a phone is being held with the price of the electricity for the car being shown. "/>
                          <pic:cNvPicPr/>
                        </pic:nvPicPr>
                        <pic:blipFill>
                          <a:blip r:embed="rId73">
                            <a:extLst>
                              <a:ext uri="{28A0092B-C50C-407E-A947-70E740481C1C}">
                                <a14:useLocalDpi xmlns:a14="http://schemas.microsoft.com/office/drawing/2010/main" val="0"/>
                              </a:ext>
                            </a:extLst>
                          </a:blip>
                          <a:stretch>
                            <a:fillRect/>
                          </a:stretch>
                        </pic:blipFill>
                        <pic:spPr>
                          <a:xfrm>
                            <a:off x="0" y="0"/>
                            <a:ext cx="5390707" cy="3596380"/>
                          </a:xfrm>
                          <a:prstGeom prst="rect">
                            <a:avLst/>
                          </a:prstGeom>
                        </pic:spPr>
                      </pic:pic>
                    </a:graphicData>
                  </a:graphic>
                </wp:inline>
              </w:drawing>
            </w:r>
          </w:p>
          <w:p w14:paraId="7820F7BB" w14:textId="77777777" w:rsidR="00384DD3" w:rsidRPr="000F23E0" w:rsidRDefault="00384DD3" w:rsidP="00A8113C">
            <w:pPr>
              <w:pStyle w:val="ChartorTableNote"/>
            </w:pPr>
            <w:r w:rsidRPr="000F23E0">
              <w:t>Charging an electric vehicle. Photo courtesy of Amber Electric.</w:t>
            </w:r>
          </w:p>
        </w:tc>
      </w:tr>
    </w:tbl>
    <w:p w14:paraId="2B71C445" w14:textId="7745FD93" w:rsidR="00B778E8" w:rsidRPr="000F23E0" w:rsidRDefault="00B778E8" w:rsidP="00F345B5">
      <w:r w:rsidRPr="000F23E0">
        <w:br w:type="page"/>
      </w:r>
    </w:p>
    <w:p w14:paraId="3A2DA15D" w14:textId="189BC8C4" w:rsidR="00D74A6F" w:rsidRPr="000F23E0" w:rsidRDefault="00B6225D" w:rsidP="00B778E8">
      <w:pPr>
        <w:pStyle w:val="Heading2"/>
        <w:keepLines/>
      </w:pPr>
      <w:bookmarkStart w:id="246" w:name="_Toc225155778"/>
      <w:r w:rsidRPr="000F23E0">
        <w:lastRenderedPageBreak/>
        <w:t>Electric bus charging infrastructure</w:t>
      </w:r>
      <w:bookmarkEnd w:id="246"/>
    </w:p>
    <w:p w14:paraId="2B7FE49D" w14:textId="399CC50C" w:rsidR="0042389A" w:rsidRPr="000F23E0" w:rsidRDefault="0042389A" w:rsidP="00B778E8">
      <w:pPr>
        <w:keepNext/>
        <w:keepLines/>
      </w:pPr>
      <w:r w:rsidRPr="000F23E0">
        <w:t xml:space="preserve">The Australian Government has committed $125 million to support the delivery of </w:t>
      </w:r>
      <w:r w:rsidR="00B6225D" w:rsidRPr="000F23E0">
        <w:t>Electric bus charging infrastructure</w:t>
      </w:r>
      <w:r w:rsidRPr="000F23E0">
        <w:t xml:space="preserve"> in Perth, matched by the Western Australian (WA) Government</w:t>
      </w:r>
      <w:r w:rsidR="002C4475" w:rsidRPr="000F23E0">
        <w:t>’</w:t>
      </w:r>
      <w:r w:rsidRPr="000F23E0">
        <w:t>s acquisition of</w:t>
      </w:r>
      <w:r w:rsidR="00C71B7B" w:rsidRPr="000F23E0">
        <w:t> </w:t>
      </w:r>
      <w:r w:rsidRPr="000F23E0">
        <w:t>130 locally manufactured electric buses.</w:t>
      </w:r>
    </w:p>
    <w:p w14:paraId="7B6871ED" w14:textId="4B47D9C8" w:rsidR="006718FD" w:rsidRPr="000F23E0" w:rsidRDefault="006718FD" w:rsidP="00B778E8">
      <w:pPr>
        <w:keepNext/>
        <w:keepLines/>
      </w:pPr>
      <w:r w:rsidRPr="000F23E0">
        <w:t xml:space="preserve">The </w:t>
      </w:r>
      <w:r w:rsidR="00B6225D" w:rsidRPr="000F23E0">
        <w:t>Electric bus charging infrastructure</w:t>
      </w:r>
      <w:r w:rsidRPr="000F23E0">
        <w:t xml:space="preserve"> project will support the WA Government</w:t>
      </w:r>
      <w:r w:rsidR="002C4475" w:rsidRPr="000F23E0">
        <w:t>’</w:t>
      </w:r>
      <w:r w:rsidRPr="000F23E0">
        <w:t>s delivery of a new electric bus network for Perth through upgrades to bus depots and the installation of solar panels, batteries and bus charging infrastructure.</w:t>
      </w:r>
      <w:r w:rsidR="00050896" w:rsidRPr="000F23E0">
        <w:t xml:space="preserve"> </w:t>
      </w:r>
    </w:p>
    <w:p w14:paraId="0127F9F6" w14:textId="0EDA6193" w:rsidR="00D74A6F" w:rsidRPr="000F23E0" w:rsidRDefault="00D74A6F" w:rsidP="00B778E8">
      <w:pPr>
        <w:pStyle w:val="Heading3"/>
        <w:keepLines/>
      </w:pPr>
      <w:r w:rsidRPr="000F23E0">
        <w:t xml:space="preserve">Green Treasury Bond </w:t>
      </w:r>
      <w:r w:rsidR="00B52056" w:rsidRPr="000F23E0">
        <w:t>a</w:t>
      </w:r>
      <w:r w:rsidRPr="000F23E0">
        <w:t>llocation</w:t>
      </w:r>
    </w:p>
    <w:p w14:paraId="0A167D86" w14:textId="3690A5D6" w:rsidR="00D74A6F" w:rsidRPr="000F23E0" w:rsidRDefault="00F85E94" w:rsidP="00B778E8">
      <w:pPr>
        <w:keepNext/>
        <w:keepLines/>
      </w:pPr>
      <w:r w:rsidRPr="000F23E0">
        <w:t xml:space="preserve">The Australian Government </w:t>
      </w:r>
      <w:r w:rsidR="00B1524A" w:rsidRPr="000F23E0">
        <w:t>has allocated $</w:t>
      </w:r>
      <w:r w:rsidR="0000380D" w:rsidRPr="000F23E0">
        <w:t>18.9</w:t>
      </w:r>
      <w:r w:rsidR="00B1524A" w:rsidRPr="000F23E0">
        <w:t xml:space="preserve"> million of </w:t>
      </w:r>
      <w:r w:rsidR="00611CEF" w:rsidRPr="000F23E0">
        <w:t>GTB</w:t>
      </w:r>
      <w:r w:rsidR="00B1524A" w:rsidRPr="000F23E0">
        <w:t xml:space="preserve"> proceeds to the project in 2024</w:t>
      </w:r>
      <w:r w:rsidR="00ED5506" w:rsidRPr="000F23E0">
        <w:t>–</w:t>
      </w:r>
      <w:r w:rsidR="00B1524A" w:rsidRPr="000F23E0">
        <w:t>25</w:t>
      </w:r>
      <w:r w:rsidR="00E97D8D" w:rsidRPr="000F23E0">
        <w:t xml:space="preserve"> (</w:t>
      </w:r>
      <w:r w:rsidR="009F3BB3" w:rsidRPr="000F23E0">
        <w:t>Table 2</w:t>
      </w:r>
      <w:r w:rsidR="00190BBA" w:rsidRPr="000F23E0">
        <w:t>7</w:t>
      </w:r>
      <w:r w:rsidR="00E97D8D" w:rsidRPr="000F23E0">
        <w:t>)</w:t>
      </w:r>
      <w:r w:rsidR="002408DE" w:rsidRPr="000F23E0">
        <w:t>.</w:t>
      </w:r>
    </w:p>
    <w:p w14:paraId="1BDA3BF3" w14:textId="35306A80" w:rsidR="00D74A6F" w:rsidRPr="000F23E0" w:rsidRDefault="00D74A6F" w:rsidP="00551F72">
      <w:pPr>
        <w:pStyle w:val="TableMainHeading"/>
      </w:pPr>
      <w:bookmarkStart w:id="247" w:name="_Toc220662887"/>
      <w:bookmarkStart w:id="248" w:name="_Toc224637828"/>
      <w:bookmarkStart w:id="249" w:name="_Toc224642492"/>
      <w:bookmarkStart w:id="250" w:name="_Toc225153468"/>
      <w:bookmarkStart w:id="251" w:name="_Toc225154514"/>
      <w:bookmarkStart w:id="252" w:name="_Toc225155779"/>
      <w:r w:rsidRPr="000F23E0">
        <w:t xml:space="preserve">Table </w:t>
      </w:r>
      <w:r w:rsidR="009F3BB3" w:rsidRPr="000F23E0">
        <w:t>2</w:t>
      </w:r>
      <w:r w:rsidR="00E27A95" w:rsidRPr="000F23E0">
        <w:t>7</w:t>
      </w:r>
      <w:r w:rsidR="0068550D" w:rsidRPr="000F23E0">
        <w:t>:</w:t>
      </w:r>
      <w:r w:rsidRPr="000F23E0">
        <w:t xml:space="preserve"> Allocation Data for </w:t>
      </w:r>
      <w:r w:rsidR="00B6225D" w:rsidRPr="000F23E0">
        <w:t>Electric bus charging infrastructure</w:t>
      </w:r>
      <w:r w:rsidRPr="000F23E0">
        <w:t xml:space="preserve"> ($ million)</w:t>
      </w:r>
      <w:bookmarkEnd w:id="247"/>
      <w:bookmarkEnd w:id="248"/>
      <w:bookmarkEnd w:id="249"/>
      <w:bookmarkEnd w:id="250"/>
      <w:bookmarkEnd w:id="251"/>
      <w:bookmarkEnd w:id="252"/>
    </w:p>
    <w:tbl>
      <w:tblPr>
        <w:tblStyle w:val="GridTable4-Accent2"/>
        <w:tblW w:w="5000" w:type="pct"/>
        <w:tblInd w:w="5" w:type="dxa"/>
        <w:tblBorders>
          <w:top w:val="single" w:sz="4" w:space="0" w:color="DFA795"/>
          <w:bottom w:val="single" w:sz="4" w:space="0" w:color="DFA795"/>
          <w:insideH w:val="single" w:sz="4" w:space="0" w:color="DFA795"/>
        </w:tblBorders>
        <w:tblLayout w:type="fixed"/>
        <w:tblLook w:val="04A0" w:firstRow="1" w:lastRow="0" w:firstColumn="1" w:lastColumn="0" w:noHBand="0" w:noVBand="1"/>
      </w:tblPr>
      <w:tblGrid>
        <w:gridCol w:w="3256"/>
        <w:gridCol w:w="1275"/>
        <w:gridCol w:w="1276"/>
        <w:gridCol w:w="1506"/>
        <w:gridCol w:w="1757"/>
      </w:tblGrid>
      <w:tr w:rsidR="006151FA" w:rsidRPr="000F23E0" w14:paraId="419459E9" w14:textId="77777777" w:rsidTr="0048145F">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3256" w:type="dxa"/>
            <w:shd w:val="clear" w:color="auto" w:fill="F1D0C6"/>
          </w:tcPr>
          <w:p w14:paraId="688F9C78" w14:textId="784123B0" w:rsidR="006151FA" w:rsidRPr="000F23E0" w:rsidRDefault="00B92F27" w:rsidP="00B778E8">
            <w:pPr>
              <w:pStyle w:val="TableColumnHeadingLeft"/>
              <w:keepLines/>
              <w:rPr>
                <w:b/>
                <w:bCs w:val="0"/>
              </w:rPr>
            </w:pPr>
            <w:r w:rsidRPr="000F23E0">
              <w:rPr>
                <w:b/>
                <w:bCs w:val="0"/>
              </w:rPr>
              <w:t>Eligible Green Expenditure</w:t>
            </w:r>
          </w:p>
        </w:tc>
        <w:tc>
          <w:tcPr>
            <w:tcW w:w="1275" w:type="dxa"/>
            <w:shd w:val="clear" w:color="auto" w:fill="F1D0C6"/>
          </w:tcPr>
          <w:p w14:paraId="34EB6889" w14:textId="0362CA39" w:rsidR="006151FA" w:rsidRPr="000F23E0" w:rsidRDefault="006151FA" w:rsidP="00B778E8">
            <w:pPr>
              <w:pStyle w:val="TableColumnHeadingRight"/>
              <w:keepLines/>
              <w:cnfStyle w:val="100000000000" w:firstRow="1" w:lastRow="0" w:firstColumn="0" w:lastColumn="0" w:oddVBand="0" w:evenVBand="0" w:oddHBand="0" w:evenHBand="0" w:firstRowFirstColumn="0" w:firstRowLastColumn="0" w:lastRowFirstColumn="0" w:lastRowLastColumn="0"/>
              <w:rPr>
                <w:b/>
                <w:bCs w:val="0"/>
              </w:rPr>
            </w:pPr>
            <w:r w:rsidRPr="000F23E0">
              <w:rPr>
                <w:b/>
                <w:bCs w:val="0"/>
              </w:rPr>
              <w:t>2024</w:t>
            </w:r>
            <w:r w:rsidR="00ED5506" w:rsidRPr="000F23E0">
              <w:rPr>
                <w:b/>
                <w:bCs w:val="0"/>
              </w:rPr>
              <w:t>–</w:t>
            </w:r>
            <w:r w:rsidRPr="000F23E0">
              <w:rPr>
                <w:b/>
                <w:bCs w:val="0"/>
              </w:rPr>
              <w:t xml:space="preserve">25 </w:t>
            </w:r>
            <w:r w:rsidR="0048145F" w:rsidRPr="000F23E0">
              <w:rPr>
                <w:b/>
                <w:bCs w:val="0"/>
              </w:rPr>
              <w:br/>
            </w:r>
            <w:r w:rsidRPr="000F23E0">
              <w:rPr>
                <w:b/>
                <w:bCs w:val="0"/>
              </w:rPr>
              <w:t xml:space="preserve">Expenditure </w:t>
            </w:r>
          </w:p>
        </w:tc>
        <w:tc>
          <w:tcPr>
            <w:tcW w:w="1276" w:type="dxa"/>
            <w:shd w:val="clear" w:color="auto" w:fill="F1D0C6"/>
          </w:tcPr>
          <w:p w14:paraId="109D5858" w14:textId="56DC459A" w:rsidR="006151FA" w:rsidRPr="000F23E0" w:rsidRDefault="00EA0F10" w:rsidP="00B778E8">
            <w:pPr>
              <w:pStyle w:val="TableColumnHeadingRight"/>
              <w:keepLines/>
              <w:cnfStyle w:val="100000000000" w:firstRow="1" w:lastRow="0" w:firstColumn="0" w:lastColumn="0" w:oddVBand="0" w:evenVBand="0" w:oddHBand="0" w:evenHBand="0" w:firstRowFirstColumn="0" w:firstRowLastColumn="0" w:lastRowFirstColumn="0" w:lastRowLastColumn="0"/>
              <w:rPr>
                <w:b/>
                <w:bCs w:val="0"/>
              </w:rPr>
            </w:pPr>
            <w:r w:rsidRPr="000F23E0">
              <w:rPr>
                <w:b/>
                <w:bCs w:val="0"/>
              </w:rPr>
              <w:t>Allocation 2026</w:t>
            </w:r>
            <w:r w:rsidR="0048145F" w:rsidRPr="000F23E0">
              <w:rPr>
                <w:b/>
                <w:bCs w:val="0"/>
              </w:rPr>
              <w:t> </w:t>
            </w:r>
            <w:r w:rsidRPr="000F23E0">
              <w:rPr>
                <w:b/>
                <w:bCs w:val="0"/>
              </w:rPr>
              <w:t>Report</w:t>
            </w:r>
            <w:r w:rsidR="006151FA" w:rsidRPr="000F23E0">
              <w:rPr>
                <w:b/>
                <w:bCs w:val="0"/>
              </w:rPr>
              <w:t xml:space="preserve"> </w:t>
            </w:r>
          </w:p>
        </w:tc>
        <w:tc>
          <w:tcPr>
            <w:tcW w:w="1506" w:type="dxa"/>
            <w:shd w:val="clear" w:color="auto" w:fill="F1D0C6"/>
          </w:tcPr>
          <w:p w14:paraId="10E13731" w14:textId="68917A10" w:rsidR="006151FA" w:rsidRPr="000F23E0" w:rsidRDefault="006151FA" w:rsidP="00B778E8">
            <w:pPr>
              <w:pStyle w:val="TableColumnHeadingRight"/>
              <w:keepLines/>
              <w:cnfStyle w:val="100000000000" w:firstRow="1" w:lastRow="0" w:firstColumn="0" w:lastColumn="0" w:oddVBand="0" w:evenVBand="0" w:oddHBand="0" w:evenHBand="0" w:firstRowFirstColumn="0" w:firstRowLastColumn="0" w:lastRowFirstColumn="0" w:lastRowLastColumn="0"/>
              <w:rPr>
                <w:b/>
                <w:bCs w:val="0"/>
              </w:rPr>
            </w:pPr>
            <w:r w:rsidRPr="000F23E0">
              <w:rPr>
                <w:b/>
                <w:bCs w:val="0"/>
              </w:rPr>
              <w:t xml:space="preserve">Total Australian Government Contribution </w:t>
            </w:r>
          </w:p>
        </w:tc>
        <w:tc>
          <w:tcPr>
            <w:tcW w:w="1757" w:type="dxa"/>
            <w:shd w:val="clear" w:color="auto" w:fill="F1D0C6"/>
          </w:tcPr>
          <w:p w14:paraId="2B0F0527" w14:textId="68345B07" w:rsidR="006151FA" w:rsidRPr="000F23E0" w:rsidRDefault="006151FA" w:rsidP="00B778E8">
            <w:pPr>
              <w:pStyle w:val="TableColumnHeadingRight"/>
              <w:keepLines/>
              <w:cnfStyle w:val="100000000000" w:firstRow="1" w:lastRow="0" w:firstColumn="0" w:lastColumn="0" w:oddVBand="0" w:evenVBand="0" w:oddHBand="0" w:evenHBand="0" w:firstRowFirstColumn="0" w:firstRowLastColumn="0" w:lastRowFirstColumn="0" w:lastRowLastColumn="0"/>
              <w:rPr>
                <w:b/>
                <w:bCs w:val="0"/>
              </w:rPr>
            </w:pPr>
            <w:r w:rsidRPr="000F23E0">
              <w:rPr>
                <w:b/>
                <w:bCs w:val="0"/>
              </w:rPr>
              <w:t xml:space="preserve">Total Cost of Project </w:t>
            </w:r>
          </w:p>
        </w:tc>
      </w:tr>
      <w:tr w:rsidR="00905F0A" w:rsidRPr="000F23E0" w14:paraId="3ED0E6A0" w14:textId="77777777" w:rsidTr="0048145F">
        <w:trPr>
          <w:trHeight w:val="297"/>
        </w:trPr>
        <w:tc>
          <w:tcPr>
            <w:cnfStyle w:val="001000000000" w:firstRow="0" w:lastRow="0" w:firstColumn="1" w:lastColumn="0" w:oddVBand="0" w:evenVBand="0" w:oddHBand="0" w:evenHBand="0" w:firstRowFirstColumn="0" w:firstRowLastColumn="0" w:lastRowFirstColumn="0" w:lastRowLastColumn="0"/>
            <w:tcW w:w="3256" w:type="dxa"/>
            <w:shd w:val="clear" w:color="auto" w:fill="FDF0E7"/>
          </w:tcPr>
          <w:p w14:paraId="2EF2271F" w14:textId="4A8327B2" w:rsidR="00905F0A" w:rsidRPr="000F23E0" w:rsidRDefault="00B6225D" w:rsidP="00B778E8">
            <w:pPr>
              <w:pStyle w:val="TableTextLeft"/>
              <w:keepNext/>
              <w:keepLines/>
            </w:pPr>
            <w:r w:rsidRPr="000F23E0">
              <w:t>Electric bus charging infrastructure</w:t>
            </w:r>
          </w:p>
        </w:tc>
        <w:tc>
          <w:tcPr>
            <w:tcW w:w="1275" w:type="dxa"/>
            <w:shd w:val="clear" w:color="auto" w:fill="FEFAF8"/>
          </w:tcPr>
          <w:p w14:paraId="1ED143ED" w14:textId="6C90FD83" w:rsidR="00905F0A" w:rsidRPr="000F23E0" w:rsidRDefault="00905F0A" w:rsidP="00B778E8">
            <w:pPr>
              <w:pStyle w:val="TableTextRight"/>
              <w:keepNext/>
              <w:keepLines/>
              <w:cnfStyle w:val="000000000000" w:firstRow="0" w:lastRow="0" w:firstColumn="0" w:lastColumn="0" w:oddVBand="0" w:evenVBand="0" w:oddHBand="0" w:evenHBand="0" w:firstRowFirstColumn="0" w:firstRowLastColumn="0" w:lastRowFirstColumn="0" w:lastRowLastColumn="0"/>
            </w:pPr>
            <w:r w:rsidRPr="000F23E0">
              <w:t>35.0</w:t>
            </w:r>
          </w:p>
        </w:tc>
        <w:tc>
          <w:tcPr>
            <w:tcW w:w="1276" w:type="dxa"/>
            <w:shd w:val="clear" w:color="auto" w:fill="FEFAF8"/>
          </w:tcPr>
          <w:p w14:paraId="006ABF8F" w14:textId="18D0ECD5" w:rsidR="00905F0A" w:rsidRPr="000F23E0" w:rsidRDefault="003C5FE5" w:rsidP="00B778E8">
            <w:pPr>
              <w:pStyle w:val="TableTextRight"/>
              <w:keepNext/>
              <w:keepLines/>
              <w:cnfStyle w:val="000000000000" w:firstRow="0" w:lastRow="0" w:firstColumn="0" w:lastColumn="0" w:oddVBand="0" w:evenVBand="0" w:oddHBand="0" w:evenHBand="0" w:firstRowFirstColumn="0" w:firstRowLastColumn="0" w:lastRowFirstColumn="0" w:lastRowLastColumn="0"/>
            </w:pPr>
            <w:r w:rsidRPr="000F23E0">
              <w:t>18.9</w:t>
            </w:r>
          </w:p>
        </w:tc>
        <w:tc>
          <w:tcPr>
            <w:tcW w:w="1506" w:type="dxa"/>
            <w:shd w:val="clear" w:color="auto" w:fill="FEFAF8"/>
          </w:tcPr>
          <w:p w14:paraId="45C41286" w14:textId="263DE19C" w:rsidR="00905F0A" w:rsidRPr="000F23E0" w:rsidRDefault="00905F0A" w:rsidP="00B778E8">
            <w:pPr>
              <w:pStyle w:val="TableTextRight"/>
              <w:keepNext/>
              <w:keepLines/>
              <w:cnfStyle w:val="000000000000" w:firstRow="0" w:lastRow="0" w:firstColumn="0" w:lastColumn="0" w:oddVBand="0" w:evenVBand="0" w:oddHBand="0" w:evenHBand="0" w:firstRowFirstColumn="0" w:firstRowLastColumn="0" w:lastRowFirstColumn="0" w:lastRowLastColumn="0"/>
            </w:pPr>
            <w:r w:rsidRPr="000F23E0">
              <w:t>125.0</w:t>
            </w:r>
          </w:p>
        </w:tc>
        <w:tc>
          <w:tcPr>
            <w:tcW w:w="1757" w:type="dxa"/>
            <w:shd w:val="clear" w:color="auto" w:fill="FEFAF8"/>
          </w:tcPr>
          <w:p w14:paraId="0E0765B7" w14:textId="072288F6" w:rsidR="00905F0A" w:rsidRPr="000F23E0" w:rsidRDefault="00905F0A" w:rsidP="00B778E8">
            <w:pPr>
              <w:pStyle w:val="TableTextRight"/>
              <w:keepNext/>
              <w:keepLines/>
              <w:cnfStyle w:val="000000000000" w:firstRow="0" w:lastRow="0" w:firstColumn="0" w:lastColumn="0" w:oddVBand="0" w:evenVBand="0" w:oddHBand="0" w:evenHBand="0" w:firstRowFirstColumn="0" w:firstRowLastColumn="0" w:lastRowFirstColumn="0" w:lastRowLastColumn="0"/>
            </w:pPr>
            <w:r w:rsidRPr="000F23E0">
              <w:t>125.0</w:t>
            </w:r>
          </w:p>
        </w:tc>
      </w:tr>
    </w:tbl>
    <w:p w14:paraId="0714C9E8" w14:textId="5E30E8C7" w:rsidR="00D74A6F" w:rsidRPr="000F23E0" w:rsidRDefault="00D74A6F" w:rsidP="00B778E8">
      <w:pPr>
        <w:pStyle w:val="Heading4"/>
        <w:keepNext/>
        <w:keepLines/>
      </w:pPr>
      <w:r w:rsidRPr="000F23E0">
        <w:t>Co</w:t>
      </w:r>
      <w:r w:rsidR="002C4475" w:rsidRPr="000F23E0">
        <w:noBreakHyphen/>
      </w:r>
      <w:r w:rsidRPr="000F23E0">
        <w:t xml:space="preserve">financing </w:t>
      </w:r>
      <w:r w:rsidR="00F8464E" w:rsidRPr="000F23E0">
        <w:t>a</w:t>
      </w:r>
      <w:r w:rsidRPr="000F23E0">
        <w:t>rrangements</w:t>
      </w:r>
    </w:p>
    <w:p w14:paraId="439281A1" w14:textId="7AED3E4D" w:rsidR="00D74A6F" w:rsidRPr="000F23E0" w:rsidRDefault="001E03E3" w:rsidP="00B778E8">
      <w:pPr>
        <w:keepNext/>
        <w:keepLines/>
      </w:pPr>
      <w:r w:rsidRPr="000F23E0">
        <w:t>There is no co</w:t>
      </w:r>
      <w:r w:rsidR="002C4475" w:rsidRPr="000F23E0">
        <w:noBreakHyphen/>
      </w:r>
      <w:r w:rsidRPr="000F23E0">
        <w:t xml:space="preserve">financing for </w:t>
      </w:r>
      <w:r w:rsidR="007F1F4A" w:rsidRPr="000F23E0">
        <w:t xml:space="preserve">the </w:t>
      </w:r>
      <w:r w:rsidR="00B6225D" w:rsidRPr="000F23E0">
        <w:t>Electric bus charging infrastructure</w:t>
      </w:r>
      <w:r w:rsidRPr="000F23E0">
        <w:t xml:space="preserve"> project as it is fully funded by the Australian Government.</w:t>
      </w:r>
      <w:r w:rsidR="007F1F4A" w:rsidRPr="000F23E0">
        <w:t xml:space="preserve"> The Western Australian Government funded the</w:t>
      </w:r>
      <w:r w:rsidR="0028034D" w:rsidRPr="000F23E0">
        <w:t xml:space="preserve"> acquisition of 130</w:t>
      </w:r>
      <w:r w:rsidR="00E667CD" w:rsidRPr="000F23E0">
        <w:t> </w:t>
      </w:r>
      <w:r w:rsidR="0028034D" w:rsidRPr="000F23E0">
        <w:t>locally manufactured electric buses</w:t>
      </w:r>
      <w:r w:rsidR="001D6DFD" w:rsidRPr="000F23E0">
        <w:t>.</w:t>
      </w:r>
    </w:p>
    <w:p w14:paraId="6F6AE986" w14:textId="62257109" w:rsidR="00D74A6F" w:rsidRPr="000F23E0" w:rsidRDefault="00D74A6F" w:rsidP="004C2258">
      <w:pPr>
        <w:pStyle w:val="Heading4"/>
      </w:pPr>
      <w:r w:rsidRPr="000F23E0">
        <w:t xml:space="preserve">Material </w:t>
      </w:r>
      <w:r w:rsidR="00EA7CB6" w:rsidRPr="000F23E0">
        <w:t>r</w:t>
      </w:r>
      <w:r w:rsidRPr="000F23E0">
        <w:t>isks</w:t>
      </w:r>
    </w:p>
    <w:p w14:paraId="738DA13A" w14:textId="00C82B3D" w:rsidR="00D74A6F" w:rsidRPr="000F23E0" w:rsidRDefault="00DD5DBE" w:rsidP="00C0440F">
      <w:r w:rsidRPr="000F23E0">
        <w:t xml:space="preserve">No material risks have been identified for the </w:t>
      </w:r>
      <w:r w:rsidR="00C0440F" w:rsidRPr="000F23E0">
        <w:t>project</w:t>
      </w:r>
      <w:r w:rsidRPr="000F23E0">
        <w:t xml:space="preserve">. </w:t>
      </w:r>
      <w:r w:rsidR="00B6225D" w:rsidRPr="000F23E0">
        <w:t>Electric bus charging infrastructure</w:t>
      </w:r>
      <w:r w:rsidRPr="000F23E0">
        <w:t xml:space="preserve"> has commenced construction. As with all large</w:t>
      </w:r>
      <w:r w:rsidR="002C4475" w:rsidRPr="000F23E0">
        <w:noBreakHyphen/>
      </w:r>
      <w:r w:rsidRPr="000F23E0">
        <w:t xml:space="preserve">scale infrastructure projects, funding for </w:t>
      </w:r>
      <w:r w:rsidR="00C0440F" w:rsidRPr="000F23E0">
        <w:t>this</w:t>
      </w:r>
      <w:r w:rsidRPr="000F23E0">
        <w:t xml:space="preserve"> </w:t>
      </w:r>
      <w:r w:rsidR="0062303C" w:rsidRPr="000F23E0">
        <w:t>project</w:t>
      </w:r>
      <w:r w:rsidRPr="000F23E0">
        <w:t xml:space="preserve"> may change in </w:t>
      </w:r>
      <w:r w:rsidR="00EA7CB6" w:rsidRPr="000F23E0">
        <w:t xml:space="preserve">the </w:t>
      </w:r>
      <w:r w:rsidRPr="000F23E0">
        <w:t>future to align with construction market conditions and project delivery timeframes.</w:t>
      </w:r>
    </w:p>
    <w:p w14:paraId="503A7A70" w14:textId="19CF9CE0" w:rsidR="00241DE3" w:rsidRPr="000F23E0" w:rsidRDefault="00241DE3" w:rsidP="00C0440F">
      <w:r w:rsidRPr="000F23E0">
        <w:t>Should cost pressures be realised, it will be a decision of the Australian Government to consider and commit additional funding.</w:t>
      </w:r>
    </w:p>
    <w:p w14:paraId="1B6F2F79" w14:textId="228F5CBC" w:rsidR="00D74A6F" w:rsidRPr="000F23E0" w:rsidRDefault="00D74A6F" w:rsidP="00FD3F58">
      <w:pPr>
        <w:pStyle w:val="Heading3"/>
        <w:keepLines/>
      </w:pPr>
      <w:r w:rsidRPr="000F23E0">
        <w:lastRenderedPageBreak/>
        <w:t xml:space="preserve">Project </w:t>
      </w:r>
      <w:r w:rsidR="00864E6E" w:rsidRPr="000F23E0">
        <w:t>i</w:t>
      </w:r>
      <w:r w:rsidRPr="000F23E0">
        <w:t>mpacts</w:t>
      </w:r>
    </w:p>
    <w:p w14:paraId="2AD105F4" w14:textId="27CF3323" w:rsidR="00D74A6F" w:rsidRPr="000F23E0" w:rsidRDefault="004D7CCC" w:rsidP="00FD3F58">
      <w:pPr>
        <w:keepNext/>
        <w:keepLines/>
      </w:pPr>
      <w:r w:rsidRPr="000F23E0">
        <w:t>N</w:t>
      </w:r>
      <w:r w:rsidR="001A532A" w:rsidRPr="000F23E0">
        <w:t>ew electric bus</w:t>
      </w:r>
      <w:r w:rsidRPr="000F23E0">
        <w:t xml:space="preserve"> infrastructure</w:t>
      </w:r>
      <w:r w:rsidR="001A532A" w:rsidRPr="000F23E0">
        <w:t xml:space="preserve"> to Perth</w:t>
      </w:r>
      <w:r w:rsidR="002C4475" w:rsidRPr="000F23E0">
        <w:t>’</w:t>
      </w:r>
      <w:r w:rsidR="001A532A" w:rsidRPr="000F23E0">
        <w:t xml:space="preserve">s public transport </w:t>
      </w:r>
      <w:r w:rsidRPr="000F23E0">
        <w:t>n</w:t>
      </w:r>
      <w:r w:rsidR="001A532A" w:rsidRPr="000F23E0">
        <w:t>et</w:t>
      </w:r>
      <w:r w:rsidRPr="000F23E0">
        <w:t>work</w:t>
      </w:r>
      <w:r w:rsidR="001A532A" w:rsidRPr="000F23E0">
        <w:t xml:space="preserve"> will support the Western Australian Government</w:t>
      </w:r>
      <w:r w:rsidR="002C4475" w:rsidRPr="000F23E0">
        <w:t>’</w:t>
      </w:r>
      <w:r w:rsidR="00595809" w:rsidRPr="000F23E0">
        <w:t xml:space="preserve">s </w:t>
      </w:r>
      <w:r w:rsidR="001A532A" w:rsidRPr="000F23E0">
        <w:t>commitment of net zero emissions by 2050 for public transport in Western</w:t>
      </w:r>
      <w:r w:rsidR="00BB60BE" w:rsidRPr="000F23E0">
        <w:t> </w:t>
      </w:r>
      <w:r w:rsidR="001A532A" w:rsidRPr="000F23E0">
        <w:t>Australia.</w:t>
      </w:r>
      <w:r w:rsidR="00467999" w:rsidRPr="000F23E0">
        <w:t xml:space="preserve"> </w:t>
      </w:r>
    </w:p>
    <w:p w14:paraId="48DC4AFE" w14:textId="6C53C36B" w:rsidR="00F45578" w:rsidRPr="000F23E0" w:rsidRDefault="00824B6F" w:rsidP="00FD3F58">
      <w:pPr>
        <w:keepNext/>
        <w:keepLines/>
      </w:pPr>
      <w:r w:rsidRPr="000F23E0">
        <w:t xml:space="preserve">The </w:t>
      </w:r>
      <w:r w:rsidR="0074677F" w:rsidRPr="000F23E0">
        <w:t xml:space="preserve">project will support the full phase out of diesel buses from the Perth public transport network. </w:t>
      </w:r>
      <w:r w:rsidR="00F45578" w:rsidRPr="000F23E0">
        <w:t>Each electric bus has the capability to travel up to 300 km on a single charge</w:t>
      </w:r>
      <w:r w:rsidR="0005421E" w:rsidRPr="000F23E0">
        <w:t>.</w:t>
      </w:r>
    </w:p>
    <w:p w14:paraId="2FDE39AF" w14:textId="1D060815" w:rsidR="00D74A6F" w:rsidRPr="000F23E0" w:rsidRDefault="00D74A6F" w:rsidP="00551F72">
      <w:pPr>
        <w:pStyle w:val="TableMainHeading"/>
        <w:rPr>
          <w:rStyle w:val="Strong"/>
          <w:b/>
        </w:rPr>
      </w:pPr>
      <w:bookmarkStart w:id="253" w:name="_Toc220662888"/>
      <w:bookmarkStart w:id="254" w:name="_Toc224637829"/>
      <w:bookmarkStart w:id="255" w:name="_Toc224642493"/>
      <w:bookmarkStart w:id="256" w:name="_Toc225153469"/>
      <w:bookmarkStart w:id="257" w:name="_Toc225154515"/>
      <w:bookmarkStart w:id="258" w:name="_Toc225155780"/>
      <w:r w:rsidRPr="000F23E0">
        <w:t xml:space="preserve">Table </w:t>
      </w:r>
      <w:r w:rsidR="009F3BB3" w:rsidRPr="000F23E0">
        <w:t>2</w:t>
      </w:r>
      <w:r w:rsidR="00E27A95" w:rsidRPr="000F23E0">
        <w:t>8</w:t>
      </w:r>
      <w:r w:rsidR="0068550D" w:rsidRPr="000F23E0">
        <w:t>:</w:t>
      </w:r>
      <w:r w:rsidRPr="000F23E0">
        <w:rPr>
          <w:rStyle w:val="Strong"/>
          <w:b/>
        </w:rPr>
        <w:t xml:space="preserve"> Impact </w:t>
      </w:r>
      <w:r w:rsidR="00D543D1" w:rsidRPr="000F23E0">
        <w:rPr>
          <w:rStyle w:val="Strong"/>
          <w:b/>
        </w:rPr>
        <w:t>d</w:t>
      </w:r>
      <w:r w:rsidRPr="000F23E0">
        <w:rPr>
          <w:rStyle w:val="Strong"/>
          <w:b/>
        </w:rPr>
        <w:t xml:space="preserve">ata for </w:t>
      </w:r>
      <w:bookmarkEnd w:id="253"/>
      <w:r w:rsidR="00B6225D" w:rsidRPr="000F23E0">
        <w:rPr>
          <w:rStyle w:val="Strong"/>
          <w:b/>
        </w:rPr>
        <w:t>Electric bus charging infrastructure</w:t>
      </w:r>
      <w:bookmarkEnd w:id="254"/>
      <w:bookmarkEnd w:id="255"/>
      <w:bookmarkEnd w:id="256"/>
      <w:bookmarkEnd w:id="257"/>
      <w:bookmarkEnd w:id="258"/>
    </w:p>
    <w:tbl>
      <w:tblPr>
        <w:tblStyle w:val="GridTable4-Accent2"/>
        <w:tblW w:w="5000" w:type="pct"/>
        <w:tblInd w:w="5" w:type="dxa"/>
        <w:tblBorders>
          <w:top w:val="single" w:sz="4" w:space="0" w:color="DFA795"/>
          <w:bottom w:val="single" w:sz="4" w:space="0" w:color="DFA795"/>
          <w:insideH w:val="single" w:sz="4" w:space="0" w:color="DFA795"/>
        </w:tblBorders>
        <w:tblLook w:val="04A0" w:firstRow="1" w:lastRow="0" w:firstColumn="1" w:lastColumn="0" w:noHBand="0" w:noVBand="1"/>
      </w:tblPr>
      <w:tblGrid>
        <w:gridCol w:w="3539"/>
        <w:gridCol w:w="995"/>
        <w:gridCol w:w="2268"/>
        <w:gridCol w:w="2268"/>
      </w:tblGrid>
      <w:tr w:rsidR="00F1109B" w:rsidRPr="000F23E0" w14:paraId="7B2938CD" w14:textId="77777777" w:rsidTr="0048145F">
        <w:trPr>
          <w:cnfStyle w:val="100000000000" w:firstRow="1" w:lastRow="0" w:firstColumn="0" w:lastColumn="0" w:oddVBand="0" w:evenVBand="0" w:oddHBand="0" w:evenHBand="0" w:firstRowFirstColumn="0" w:firstRowLastColumn="0" w:lastRowFirstColumn="0" w:lastRowLastColumn="0"/>
          <w:trHeight w:val="85"/>
        </w:trPr>
        <w:tc>
          <w:tcPr>
            <w:cnfStyle w:val="001000000000" w:firstRow="0" w:lastRow="0" w:firstColumn="1" w:lastColumn="0" w:oddVBand="0" w:evenVBand="0" w:oddHBand="0" w:evenHBand="0" w:firstRowFirstColumn="0" w:firstRowLastColumn="0" w:lastRowFirstColumn="0" w:lastRowLastColumn="0"/>
            <w:tcW w:w="3539" w:type="dxa"/>
            <w:shd w:val="clear" w:color="auto" w:fill="F1D0C6"/>
          </w:tcPr>
          <w:p w14:paraId="0205B7C4" w14:textId="77777777" w:rsidR="00F1109B" w:rsidRPr="000F23E0" w:rsidRDefault="00F1109B" w:rsidP="00F30E2C">
            <w:pPr>
              <w:pStyle w:val="TableColumnHeadingLeft"/>
              <w:rPr>
                <w:b/>
                <w:bCs w:val="0"/>
              </w:rPr>
            </w:pPr>
            <w:r w:rsidRPr="000F23E0">
              <w:rPr>
                <w:b/>
                <w:bCs w:val="0"/>
              </w:rPr>
              <w:t>Metric</w:t>
            </w:r>
          </w:p>
        </w:tc>
        <w:tc>
          <w:tcPr>
            <w:tcW w:w="995" w:type="dxa"/>
            <w:shd w:val="clear" w:color="auto" w:fill="F1D0C6"/>
          </w:tcPr>
          <w:p w14:paraId="0D6E7803" w14:textId="3072E896" w:rsidR="00F1109B" w:rsidRPr="000F23E0" w:rsidRDefault="00F1109B" w:rsidP="00F30E2C">
            <w:pPr>
              <w:pStyle w:val="TableColumnHeadingRight"/>
              <w:cnfStyle w:val="100000000000" w:firstRow="1" w:lastRow="0" w:firstColumn="0" w:lastColumn="0" w:oddVBand="0" w:evenVBand="0" w:oddHBand="0" w:evenHBand="0" w:firstRowFirstColumn="0" w:firstRowLastColumn="0" w:lastRowFirstColumn="0" w:lastRowLastColumn="0"/>
              <w:rPr>
                <w:b/>
              </w:rPr>
            </w:pPr>
            <w:r w:rsidRPr="000F23E0">
              <w:rPr>
                <w:b/>
              </w:rPr>
              <w:t>Value</w:t>
            </w:r>
          </w:p>
        </w:tc>
        <w:tc>
          <w:tcPr>
            <w:tcW w:w="2268" w:type="dxa"/>
            <w:shd w:val="clear" w:color="auto" w:fill="F1D0C6"/>
          </w:tcPr>
          <w:p w14:paraId="61FEC994" w14:textId="77777777" w:rsidR="00F1109B" w:rsidRPr="000F23E0" w:rsidRDefault="00F1109B" w:rsidP="00F30E2C">
            <w:pPr>
              <w:pStyle w:val="TableColumnHeadingRight"/>
              <w:cnfStyle w:val="100000000000" w:firstRow="1" w:lastRow="0" w:firstColumn="0" w:lastColumn="0" w:oddVBand="0" w:evenVBand="0" w:oddHBand="0" w:evenHBand="0" w:firstRowFirstColumn="0" w:firstRowLastColumn="0" w:lastRowFirstColumn="0" w:lastRowLastColumn="0"/>
              <w:rPr>
                <w:b/>
              </w:rPr>
            </w:pPr>
            <w:r w:rsidRPr="000F23E0">
              <w:rPr>
                <w:b/>
              </w:rPr>
              <w:t>Recorded / Projected</w:t>
            </w:r>
          </w:p>
        </w:tc>
        <w:tc>
          <w:tcPr>
            <w:tcW w:w="2268" w:type="dxa"/>
            <w:shd w:val="clear" w:color="auto" w:fill="F1D0C6"/>
          </w:tcPr>
          <w:p w14:paraId="06881F57" w14:textId="77777777" w:rsidR="00F1109B" w:rsidRPr="000F23E0" w:rsidRDefault="00F1109B" w:rsidP="00F30E2C">
            <w:pPr>
              <w:pStyle w:val="TableColumnHeadingRight"/>
              <w:cnfStyle w:val="100000000000" w:firstRow="1" w:lastRow="0" w:firstColumn="0" w:lastColumn="0" w:oddVBand="0" w:evenVBand="0" w:oddHBand="0" w:evenHBand="0" w:firstRowFirstColumn="0" w:firstRowLastColumn="0" w:lastRowFirstColumn="0" w:lastRowLastColumn="0"/>
              <w:rPr>
                <w:b/>
              </w:rPr>
            </w:pPr>
            <w:r w:rsidRPr="000F23E0">
              <w:rPr>
                <w:b/>
              </w:rPr>
              <w:t>Time Period</w:t>
            </w:r>
          </w:p>
        </w:tc>
      </w:tr>
      <w:tr w:rsidR="00F1109B" w:rsidRPr="000F23E0" w14:paraId="4E4F475B" w14:textId="77777777" w:rsidTr="0048145F">
        <w:trPr>
          <w:trHeight w:val="85"/>
        </w:trPr>
        <w:tc>
          <w:tcPr>
            <w:cnfStyle w:val="001000000000" w:firstRow="0" w:lastRow="0" w:firstColumn="1" w:lastColumn="0" w:oddVBand="0" w:evenVBand="0" w:oddHBand="0" w:evenHBand="0" w:firstRowFirstColumn="0" w:firstRowLastColumn="0" w:lastRowFirstColumn="0" w:lastRowLastColumn="0"/>
            <w:tcW w:w="3539" w:type="dxa"/>
            <w:shd w:val="clear" w:color="auto" w:fill="FDF0E7"/>
            <w:vAlign w:val="center"/>
          </w:tcPr>
          <w:p w14:paraId="075D4A3E" w14:textId="7EDF8835" w:rsidR="00F1109B" w:rsidRPr="000F23E0" w:rsidRDefault="00F1109B" w:rsidP="00F30E2C">
            <w:pPr>
              <w:pStyle w:val="TableTextLeft"/>
            </w:pPr>
            <w:r w:rsidRPr="000F23E0">
              <w:t>Number of electric bus chargers installed</w:t>
            </w:r>
          </w:p>
        </w:tc>
        <w:tc>
          <w:tcPr>
            <w:tcW w:w="995" w:type="dxa"/>
            <w:shd w:val="clear" w:color="auto" w:fill="FEFAF8"/>
          </w:tcPr>
          <w:p w14:paraId="146B487E" w14:textId="5BE88CC7" w:rsidR="00F1109B" w:rsidRPr="000F23E0" w:rsidRDefault="00F1109B" w:rsidP="00F30E2C">
            <w:pPr>
              <w:pStyle w:val="TableTextRight"/>
              <w:cnfStyle w:val="000000000000" w:firstRow="0" w:lastRow="0" w:firstColumn="0" w:lastColumn="0" w:oddVBand="0" w:evenVBand="0" w:oddHBand="0" w:evenHBand="0" w:firstRowFirstColumn="0" w:firstRowLastColumn="0" w:lastRowFirstColumn="0" w:lastRowLastColumn="0"/>
            </w:pPr>
            <w:r w:rsidRPr="000F23E0">
              <w:t>16</w:t>
            </w:r>
          </w:p>
        </w:tc>
        <w:tc>
          <w:tcPr>
            <w:tcW w:w="2268" w:type="dxa"/>
            <w:shd w:val="clear" w:color="auto" w:fill="FEFAF8"/>
          </w:tcPr>
          <w:p w14:paraId="72C8CB1C" w14:textId="15B78D6E" w:rsidR="00F1109B" w:rsidRPr="000F23E0" w:rsidRDefault="00F1109B" w:rsidP="00F30E2C">
            <w:pPr>
              <w:pStyle w:val="TableTextRight"/>
              <w:cnfStyle w:val="000000000000" w:firstRow="0" w:lastRow="0" w:firstColumn="0" w:lastColumn="0" w:oddVBand="0" w:evenVBand="0" w:oddHBand="0" w:evenHBand="0" w:firstRowFirstColumn="0" w:firstRowLastColumn="0" w:lastRowFirstColumn="0" w:lastRowLastColumn="0"/>
            </w:pPr>
            <w:r w:rsidRPr="000F23E0">
              <w:t>Recorded</w:t>
            </w:r>
          </w:p>
        </w:tc>
        <w:tc>
          <w:tcPr>
            <w:tcW w:w="2268" w:type="dxa"/>
            <w:shd w:val="clear" w:color="auto" w:fill="FEFAF8"/>
          </w:tcPr>
          <w:p w14:paraId="1C24DA00" w14:textId="7D385CE5" w:rsidR="00F1109B" w:rsidRPr="000F23E0" w:rsidRDefault="00F1109B" w:rsidP="00F30E2C">
            <w:pPr>
              <w:pStyle w:val="TableTextRight"/>
              <w:cnfStyle w:val="000000000000" w:firstRow="0" w:lastRow="0" w:firstColumn="0" w:lastColumn="0" w:oddVBand="0" w:evenVBand="0" w:oddHBand="0" w:evenHBand="0" w:firstRowFirstColumn="0" w:firstRowLastColumn="0" w:lastRowFirstColumn="0" w:lastRowLastColumn="0"/>
            </w:pPr>
            <w:r w:rsidRPr="000F23E0">
              <w:t>2024</w:t>
            </w:r>
            <w:r w:rsidR="00BB60BE" w:rsidRPr="000F23E0">
              <w:t>–</w:t>
            </w:r>
            <w:r w:rsidRPr="000F23E0">
              <w:t>25</w:t>
            </w:r>
          </w:p>
        </w:tc>
      </w:tr>
      <w:tr w:rsidR="00F1109B" w:rsidRPr="000F23E0" w14:paraId="02AAB192" w14:textId="77777777" w:rsidTr="0048145F">
        <w:trPr>
          <w:trHeight w:val="85"/>
        </w:trPr>
        <w:tc>
          <w:tcPr>
            <w:cnfStyle w:val="001000000000" w:firstRow="0" w:lastRow="0" w:firstColumn="1" w:lastColumn="0" w:oddVBand="0" w:evenVBand="0" w:oddHBand="0" w:evenHBand="0" w:firstRowFirstColumn="0" w:firstRowLastColumn="0" w:lastRowFirstColumn="0" w:lastRowLastColumn="0"/>
            <w:tcW w:w="3539" w:type="dxa"/>
            <w:shd w:val="clear" w:color="auto" w:fill="FDF0E7"/>
            <w:vAlign w:val="center"/>
          </w:tcPr>
          <w:p w14:paraId="733958A3" w14:textId="4138F0AE" w:rsidR="00F1109B" w:rsidRPr="000F23E0" w:rsidRDefault="00F1109B" w:rsidP="00F30E2C">
            <w:pPr>
              <w:pStyle w:val="TableTextLeft"/>
            </w:pPr>
            <w:r w:rsidRPr="000F23E0">
              <w:t>Emissions avoided (</w:t>
            </w:r>
            <w:r w:rsidR="008C7B3F" w:rsidRPr="000F23E0">
              <w:t>k</w:t>
            </w:r>
            <w:r w:rsidRPr="000F23E0">
              <w:t>t CO2-e p.a.)</w:t>
            </w:r>
          </w:p>
        </w:tc>
        <w:tc>
          <w:tcPr>
            <w:tcW w:w="995" w:type="dxa"/>
            <w:shd w:val="clear" w:color="auto" w:fill="FEFAF8"/>
          </w:tcPr>
          <w:p w14:paraId="7B51D215" w14:textId="3B92DC55" w:rsidR="00F1109B" w:rsidRPr="000F23E0" w:rsidRDefault="008C7B3F" w:rsidP="00F30E2C">
            <w:pPr>
              <w:pStyle w:val="TableTextRight"/>
              <w:cnfStyle w:val="000000000000" w:firstRow="0" w:lastRow="0" w:firstColumn="0" w:lastColumn="0" w:oddVBand="0" w:evenVBand="0" w:oddHBand="0" w:evenHBand="0" w:firstRowFirstColumn="0" w:firstRowLastColumn="0" w:lastRowFirstColumn="0" w:lastRowLastColumn="0"/>
            </w:pPr>
            <w:r w:rsidRPr="000F23E0">
              <w:t>0.</w:t>
            </w:r>
            <w:r w:rsidR="00F1109B" w:rsidRPr="000F23E0">
              <w:t>440</w:t>
            </w:r>
          </w:p>
        </w:tc>
        <w:tc>
          <w:tcPr>
            <w:tcW w:w="2268" w:type="dxa"/>
            <w:shd w:val="clear" w:color="auto" w:fill="FEFAF8"/>
          </w:tcPr>
          <w:p w14:paraId="0CF55E4D" w14:textId="41363941" w:rsidR="00F1109B" w:rsidRPr="000F23E0" w:rsidRDefault="00F1109B" w:rsidP="00F30E2C">
            <w:pPr>
              <w:pStyle w:val="TableTextRight"/>
              <w:cnfStyle w:val="000000000000" w:firstRow="0" w:lastRow="0" w:firstColumn="0" w:lastColumn="0" w:oddVBand="0" w:evenVBand="0" w:oddHBand="0" w:evenHBand="0" w:firstRowFirstColumn="0" w:firstRowLastColumn="0" w:lastRowFirstColumn="0" w:lastRowLastColumn="0"/>
            </w:pPr>
            <w:r w:rsidRPr="000F23E0">
              <w:t>Recorded</w:t>
            </w:r>
          </w:p>
        </w:tc>
        <w:tc>
          <w:tcPr>
            <w:tcW w:w="2268" w:type="dxa"/>
            <w:shd w:val="clear" w:color="auto" w:fill="FEFAF8"/>
          </w:tcPr>
          <w:p w14:paraId="3C2F6E63" w14:textId="7FF39D85" w:rsidR="00F1109B" w:rsidRPr="000F23E0" w:rsidRDefault="00F1109B" w:rsidP="00F30E2C">
            <w:pPr>
              <w:pStyle w:val="TableTextRight"/>
              <w:cnfStyle w:val="000000000000" w:firstRow="0" w:lastRow="0" w:firstColumn="0" w:lastColumn="0" w:oddVBand="0" w:evenVBand="0" w:oddHBand="0" w:evenHBand="0" w:firstRowFirstColumn="0" w:firstRowLastColumn="0" w:lastRowFirstColumn="0" w:lastRowLastColumn="0"/>
            </w:pPr>
            <w:r w:rsidRPr="000F23E0">
              <w:t>2024–25</w:t>
            </w:r>
          </w:p>
        </w:tc>
      </w:tr>
    </w:tbl>
    <w:p w14:paraId="6DC64C44" w14:textId="2A9F149D" w:rsidR="00D74A6F" w:rsidRPr="000F23E0" w:rsidRDefault="00D74A6F" w:rsidP="004C2258">
      <w:pPr>
        <w:pStyle w:val="Heading4"/>
      </w:pPr>
      <w:r w:rsidRPr="000F23E0">
        <w:t xml:space="preserve">Social </w:t>
      </w:r>
      <w:r w:rsidR="00D543D1" w:rsidRPr="000F23E0">
        <w:t>c</w:t>
      </w:r>
      <w:r w:rsidRPr="000F23E0">
        <w:t>o</w:t>
      </w:r>
      <w:r w:rsidR="002C4475" w:rsidRPr="000F23E0">
        <w:noBreakHyphen/>
      </w:r>
      <w:r w:rsidRPr="000F23E0">
        <w:t>benefits</w:t>
      </w:r>
    </w:p>
    <w:p w14:paraId="2C450C27" w14:textId="0B70D0C5" w:rsidR="00D74A6F" w:rsidRPr="000F23E0" w:rsidRDefault="00D543D1" w:rsidP="005F43A9">
      <w:r w:rsidRPr="000F23E0">
        <w:t>I</w:t>
      </w:r>
      <w:r w:rsidR="00DF16FE" w:rsidRPr="000F23E0">
        <w:t xml:space="preserve">nvestment </w:t>
      </w:r>
      <w:r w:rsidRPr="000F23E0">
        <w:t>for</w:t>
      </w:r>
      <w:r w:rsidR="00DF16FE" w:rsidRPr="000F23E0">
        <w:t xml:space="preserve"> new </w:t>
      </w:r>
      <w:r w:rsidR="00B6225D" w:rsidRPr="000F23E0">
        <w:t>Electric bus charging infrastructure</w:t>
      </w:r>
      <w:r w:rsidR="00DF16FE" w:rsidRPr="000F23E0">
        <w:t xml:space="preserve"> in Western Australia is directly supporting more than 100 local jobs, including </w:t>
      </w:r>
      <w:r w:rsidR="00731F0A" w:rsidRPr="000F23E0">
        <w:t xml:space="preserve">9 </w:t>
      </w:r>
      <w:r w:rsidR="00DF16FE" w:rsidRPr="000F23E0">
        <w:t xml:space="preserve">apprenticeships. </w:t>
      </w:r>
    </w:p>
    <w:p w14:paraId="5C7A788F" w14:textId="7743BDDC" w:rsidR="00B87248" w:rsidRPr="000F23E0" w:rsidRDefault="00D74A6F" w:rsidP="00551F72">
      <w:pPr>
        <w:pStyle w:val="TableMainHeading"/>
      </w:pPr>
      <w:bookmarkStart w:id="259" w:name="_Toc220662889"/>
      <w:bookmarkStart w:id="260" w:name="_Toc224637830"/>
      <w:bookmarkStart w:id="261" w:name="_Toc224642494"/>
      <w:bookmarkStart w:id="262" w:name="_Toc225153470"/>
      <w:bookmarkStart w:id="263" w:name="_Toc225154516"/>
      <w:bookmarkStart w:id="264" w:name="_Toc225155781"/>
      <w:r w:rsidRPr="000F23E0">
        <w:t xml:space="preserve">Table </w:t>
      </w:r>
      <w:r w:rsidR="009F3BB3" w:rsidRPr="000F23E0">
        <w:t>2</w:t>
      </w:r>
      <w:r w:rsidR="0068550D" w:rsidRPr="000F23E0">
        <w:t>9:</w:t>
      </w:r>
      <w:r w:rsidR="000F5EFA" w:rsidRPr="000F23E0">
        <w:t xml:space="preserve"> </w:t>
      </w:r>
      <w:r w:rsidRPr="000F23E0">
        <w:t xml:space="preserve">Social </w:t>
      </w:r>
      <w:r w:rsidR="00685E46" w:rsidRPr="000F23E0">
        <w:t>i</w:t>
      </w:r>
      <w:r w:rsidRPr="000F23E0">
        <w:t xml:space="preserve">mpact </w:t>
      </w:r>
      <w:r w:rsidR="00685E46" w:rsidRPr="000F23E0">
        <w:t>d</w:t>
      </w:r>
      <w:r w:rsidRPr="000F23E0">
        <w:t xml:space="preserve">ata for </w:t>
      </w:r>
      <w:bookmarkEnd w:id="259"/>
      <w:r w:rsidR="00B6225D" w:rsidRPr="000F23E0">
        <w:t>Electric bus charging infrastructure</w:t>
      </w:r>
      <w:bookmarkEnd w:id="260"/>
      <w:bookmarkEnd w:id="261"/>
      <w:bookmarkEnd w:id="262"/>
      <w:bookmarkEnd w:id="263"/>
      <w:bookmarkEnd w:id="264"/>
    </w:p>
    <w:tbl>
      <w:tblPr>
        <w:tblStyle w:val="GridTable4-Accent2"/>
        <w:tblW w:w="5000" w:type="pct"/>
        <w:tblInd w:w="5" w:type="dxa"/>
        <w:tblBorders>
          <w:top w:val="single" w:sz="4" w:space="0" w:color="DFA795"/>
          <w:bottom w:val="single" w:sz="4" w:space="0" w:color="DFA795"/>
          <w:insideH w:val="single" w:sz="4" w:space="0" w:color="DFA795"/>
        </w:tblBorders>
        <w:tblLook w:val="04A0" w:firstRow="1" w:lastRow="0" w:firstColumn="1" w:lastColumn="0" w:noHBand="0" w:noVBand="1"/>
      </w:tblPr>
      <w:tblGrid>
        <w:gridCol w:w="2122"/>
        <w:gridCol w:w="2835"/>
        <w:gridCol w:w="992"/>
        <w:gridCol w:w="1984"/>
        <w:gridCol w:w="1137"/>
      </w:tblGrid>
      <w:tr w:rsidR="00552ADE" w:rsidRPr="000F23E0" w14:paraId="078308DC" w14:textId="77777777" w:rsidTr="0048145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shd w:val="clear" w:color="auto" w:fill="F1D0C6"/>
          </w:tcPr>
          <w:p w14:paraId="781D055E" w14:textId="77777777" w:rsidR="00B87248" w:rsidRPr="000F23E0" w:rsidRDefault="00B87248" w:rsidP="00F30E2C">
            <w:pPr>
              <w:pStyle w:val="TableColumnHeadingLeft"/>
              <w:rPr>
                <w:b/>
                <w:bCs w:val="0"/>
              </w:rPr>
            </w:pPr>
            <w:r w:rsidRPr="000F23E0">
              <w:rPr>
                <w:b/>
                <w:bCs w:val="0"/>
              </w:rPr>
              <w:t>Metric</w:t>
            </w:r>
          </w:p>
        </w:tc>
        <w:tc>
          <w:tcPr>
            <w:tcW w:w="2835" w:type="dxa"/>
            <w:shd w:val="clear" w:color="auto" w:fill="F1D0C6"/>
          </w:tcPr>
          <w:p w14:paraId="0C63D79F" w14:textId="77777777" w:rsidR="00B87248" w:rsidRPr="000F23E0" w:rsidRDefault="00B87248" w:rsidP="00F30E2C">
            <w:pPr>
              <w:pStyle w:val="TableColumnHeadingLeft"/>
              <w:cnfStyle w:val="100000000000" w:firstRow="1" w:lastRow="0" w:firstColumn="0" w:lastColumn="0" w:oddVBand="0" w:evenVBand="0" w:oddHBand="0" w:evenHBand="0" w:firstRowFirstColumn="0" w:firstRowLastColumn="0" w:lastRowFirstColumn="0" w:lastRowLastColumn="0"/>
              <w:rPr>
                <w:b/>
                <w:bCs w:val="0"/>
              </w:rPr>
            </w:pPr>
            <w:r w:rsidRPr="000F23E0">
              <w:rPr>
                <w:b/>
                <w:bCs w:val="0"/>
              </w:rPr>
              <w:t>Project</w:t>
            </w:r>
          </w:p>
        </w:tc>
        <w:tc>
          <w:tcPr>
            <w:tcW w:w="992" w:type="dxa"/>
            <w:shd w:val="clear" w:color="auto" w:fill="F1D0C6"/>
          </w:tcPr>
          <w:p w14:paraId="6D53A023" w14:textId="49493AF3" w:rsidR="00B87248" w:rsidRPr="000F23E0" w:rsidRDefault="00B87248" w:rsidP="00F30E2C">
            <w:pPr>
              <w:pStyle w:val="TableColumnHeadingRight"/>
              <w:cnfStyle w:val="100000000000" w:firstRow="1" w:lastRow="0" w:firstColumn="0" w:lastColumn="0" w:oddVBand="0" w:evenVBand="0" w:oddHBand="0" w:evenHBand="0" w:firstRowFirstColumn="0" w:firstRowLastColumn="0" w:lastRowFirstColumn="0" w:lastRowLastColumn="0"/>
              <w:rPr>
                <w:b/>
                <w:bCs w:val="0"/>
              </w:rPr>
            </w:pPr>
            <w:r w:rsidRPr="000F23E0">
              <w:rPr>
                <w:b/>
                <w:bCs w:val="0"/>
              </w:rPr>
              <w:t>Value</w:t>
            </w:r>
          </w:p>
        </w:tc>
        <w:tc>
          <w:tcPr>
            <w:tcW w:w="1984" w:type="dxa"/>
            <w:shd w:val="clear" w:color="auto" w:fill="F1D0C6"/>
          </w:tcPr>
          <w:p w14:paraId="3C335374" w14:textId="77777777" w:rsidR="00B87248" w:rsidRPr="000F23E0" w:rsidRDefault="00B87248" w:rsidP="00F30E2C">
            <w:pPr>
              <w:pStyle w:val="TableColumnHeadingRight"/>
              <w:cnfStyle w:val="100000000000" w:firstRow="1" w:lastRow="0" w:firstColumn="0" w:lastColumn="0" w:oddVBand="0" w:evenVBand="0" w:oddHBand="0" w:evenHBand="0" w:firstRowFirstColumn="0" w:firstRowLastColumn="0" w:lastRowFirstColumn="0" w:lastRowLastColumn="0"/>
              <w:rPr>
                <w:b/>
                <w:bCs w:val="0"/>
              </w:rPr>
            </w:pPr>
            <w:r w:rsidRPr="000F23E0">
              <w:rPr>
                <w:b/>
                <w:bCs w:val="0"/>
              </w:rPr>
              <w:t>Recorded / Projected</w:t>
            </w:r>
          </w:p>
        </w:tc>
        <w:tc>
          <w:tcPr>
            <w:tcW w:w="1137" w:type="dxa"/>
            <w:shd w:val="clear" w:color="auto" w:fill="F1D0C6"/>
          </w:tcPr>
          <w:p w14:paraId="181562FB" w14:textId="77777777" w:rsidR="00B87248" w:rsidRPr="000F23E0" w:rsidRDefault="00B87248" w:rsidP="00F30E2C">
            <w:pPr>
              <w:pStyle w:val="TableColumnHeadingRight"/>
              <w:cnfStyle w:val="100000000000" w:firstRow="1" w:lastRow="0" w:firstColumn="0" w:lastColumn="0" w:oddVBand="0" w:evenVBand="0" w:oddHBand="0" w:evenHBand="0" w:firstRowFirstColumn="0" w:firstRowLastColumn="0" w:lastRowFirstColumn="0" w:lastRowLastColumn="0"/>
              <w:rPr>
                <w:b/>
                <w:bCs w:val="0"/>
              </w:rPr>
            </w:pPr>
            <w:r w:rsidRPr="000F23E0">
              <w:rPr>
                <w:b/>
                <w:bCs w:val="0"/>
              </w:rPr>
              <w:t>Time Period</w:t>
            </w:r>
          </w:p>
        </w:tc>
      </w:tr>
      <w:tr w:rsidR="004A2C77" w:rsidRPr="000F23E0" w14:paraId="1DBCC100" w14:textId="77777777" w:rsidTr="0048145F">
        <w:tc>
          <w:tcPr>
            <w:cnfStyle w:val="001000000000" w:firstRow="0" w:lastRow="0" w:firstColumn="1" w:lastColumn="0" w:oddVBand="0" w:evenVBand="0" w:oddHBand="0" w:evenHBand="0" w:firstRowFirstColumn="0" w:firstRowLastColumn="0" w:lastRowFirstColumn="0" w:lastRowLastColumn="0"/>
            <w:tcW w:w="2122" w:type="dxa"/>
            <w:shd w:val="clear" w:color="auto" w:fill="FDF0E7"/>
          </w:tcPr>
          <w:p w14:paraId="48F792F3" w14:textId="5DA45AF6" w:rsidR="00B87248" w:rsidRPr="000F23E0" w:rsidRDefault="00B87248" w:rsidP="00F30E2C">
            <w:pPr>
              <w:pStyle w:val="TableTextLeft"/>
              <w:rPr>
                <w:bCs w:val="0"/>
              </w:rPr>
            </w:pPr>
            <w:r w:rsidRPr="000F23E0">
              <w:t>Local jobs supported</w:t>
            </w:r>
          </w:p>
        </w:tc>
        <w:tc>
          <w:tcPr>
            <w:tcW w:w="2835" w:type="dxa"/>
            <w:shd w:val="clear" w:color="auto" w:fill="FEFAF8"/>
            <w:vAlign w:val="center"/>
          </w:tcPr>
          <w:p w14:paraId="5CCD4280" w14:textId="7824B0BF" w:rsidR="00B87248" w:rsidRPr="000F23E0" w:rsidRDefault="00B6225D" w:rsidP="00F30E2C">
            <w:pPr>
              <w:pStyle w:val="TableTextLeft"/>
              <w:cnfStyle w:val="000000000000" w:firstRow="0" w:lastRow="0" w:firstColumn="0" w:lastColumn="0" w:oddVBand="0" w:evenVBand="0" w:oddHBand="0" w:evenHBand="0" w:firstRowFirstColumn="0" w:firstRowLastColumn="0" w:lastRowFirstColumn="0" w:lastRowLastColumn="0"/>
            </w:pPr>
            <w:r w:rsidRPr="000F23E0">
              <w:t>Electric bus charging infrastructure</w:t>
            </w:r>
          </w:p>
        </w:tc>
        <w:tc>
          <w:tcPr>
            <w:tcW w:w="992" w:type="dxa"/>
            <w:shd w:val="clear" w:color="auto" w:fill="FEFAF8"/>
          </w:tcPr>
          <w:p w14:paraId="497D1A9E" w14:textId="48D8B7E6" w:rsidR="00B87248" w:rsidRPr="000F23E0" w:rsidRDefault="00B87248" w:rsidP="00F30E2C">
            <w:pPr>
              <w:pStyle w:val="TableTextRight"/>
              <w:cnfStyle w:val="000000000000" w:firstRow="0" w:lastRow="0" w:firstColumn="0" w:lastColumn="0" w:oddVBand="0" w:evenVBand="0" w:oddHBand="0" w:evenHBand="0" w:firstRowFirstColumn="0" w:firstRowLastColumn="0" w:lastRowFirstColumn="0" w:lastRowLastColumn="0"/>
            </w:pPr>
            <w:r w:rsidRPr="000F23E0">
              <w:t>100</w:t>
            </w:r>
          </w:p>
        </w:tc>
        <w:tc>
          <w:tcPr>
            <w:tcW w:w="1984" w:type="dxa"/>
            <w:shd w:val="clear" w:color="auto" w:fill="FEFAF8"/>
          </w:tcPr>
          <w:p w14:paraId="5F72EB60" w14:textId="77777777" w:rsidR="00B87248" w:rsidRPr="000F23E0" w:rsidRDefault="00B87248" w:rsidP="00F30E2C">
            <w:pPr>
              <w:pStyle w:val="TableTextRight"/>
              <w:cnfStyle w:val="000000000000" w:firstRow="0" w:lastRow="0" w:firstColumn="0" w:lastColumn="0" w:oddVBand="0" w:evenVBand="0" w:oddHBand="0" w:evenHBand="0" w:firstRowFirstColumn="0" w:firstRowLastColumn="0" w:lastRowFirstColumn="0" w:lastRowLastColumn="0"/>
            </w:pPr>
            <w:r w:rsidRPr="000F23E0">
              <w:t>Recorded</w:t>
            </w:r>
          </w:p>
        </w:tc>
        <w:tc>
          <w:tcPr>
            <w:tcW w:w="1137" w:type="dxa"/>
            <w:shd w:val="clear" w:color="auto" w:fill="FEFAF8"/>
          </w:tcPr>
          <w:p w14:paraId="56BCA2C2" w14:textId="1B06227F" w:rsidR="00B87248" w:rsidRPr="000F23E0" w:rsidRDefault="00B87248" w:rsidP="00F30E2C">
            <w:pPr>
              <w:pStyle w:val="TableTextRight"/>
              <w:cnfStyle w:val="000000000000" w:firstRow="0" w:lastRow="0" w:firstColumn="0" w:lastColumn="0" w:oddVBand="0" w:evenVBand="0" w:oddHBand="0" w:evenHBand="0" w:firstRowFirstColumn="0" w:firstRowLastColumn="0" w:lastRowFirstColumn="0" w:lastRowLastColumn="0"/>
            </w:pPr>
            <w:r w:rsidRPr="000F23E0">
              <w:t>June 2024</w:t>
            </w:r>
          </w:p>
        </w:tc>
      </w:tr>
    </w:tbl>
    <w:p w14:paraId="13663A30" w14:textId="77777777" w:rsidR="006A1B4E" w:rsidRPr="000F23E0" w:rsidRDefault="006A1B4E">
      <w:pPr>
        <w:spacing w:before="0" w:after="160" w:line="259" w:lineRule="auto"/>
      </w:pPr>
    </w:p>
    <w:tbl>
      <w:tblPr>
        <w:tblW w:w="5000" w:type="pct"/>
        <w:shd w:val="clear" w:color="auto" w:fill="FDF0E7"/>
        <w:tblCellMar>
          <w:top w:w="113" w:type="dxa"/>
          <w:left w:w="284" w:type="dxa"/>
          <w:bottom w:w="284" w:type="dxa"/>
          <w:right w:w="284" w:type="dxa"/>
        </w:tblCellMar>
        <w:tblLook w:val="04A0" w:firstRow="1" w:lastRow="0" w:firstColumn="1" w:lastColumn="0" w:noHBand="0" w:noVBand="1"/>
      </w:tblPr>
      <w:tblGrid>
        <w:gridCol w:w="9070"/>
      </w:tblGrid>
      <w:tr w:rsidR="006A1B4E" w:rsidRPr="000F23E0" w14:paraId="3AFA827E" w14:textId="77777777" w:rsidTr="0048145F">
        <w:tc>
          <w:tcPr>
            <w:tcW w:w="5000" w:type="pct"/>
            <w:shd w:val="clear" w:color="auto" w:fill="FDF0E7"/>
            <w:hideMark/>
          </w:tcPr>
          <w:p w14:paraId="2FDC9BC7" w14:textId="11035BF8" w:rsidR="006A1B4E" w:rsidRPr="000F23E0" w:rsidRDefault="006A1B4E" w:rsidP="006A1B4E">
            <w:pPr>
              <w:pStyle w:val="Caseheading"/>
            </w:pPr>
            <w:bookmarkStart w:id="265" w:name="_Hlk222314264"/>
            <w:r w:rsidRPr="000F23E0">
              <w:lastRenderedPageBreak/>
              <w:t xml:space="preserve">Case Study 9: </w:t>
            </w:r>
            <w:r w:rsidR="00B6225D" w:rsidRPr="000F23E0">
              <w:t>Electric bus charging infrastructure</w:t>
            </w:r>
            <w:r w:rsidRPr="000F23E0">
              <w:t xml:space="preserve"> in Perth, Western</w:t>
            </w:r>
            <w:r w:rsidR="0048145F" w:rsidRPr="000F23E0">
              <w:t> </w:t>
            </w:r>
            <w:r w:rsidRPr="000F23E0">
              <w:t>Australia</w:t>
            </w:r>
          </w:p>
          <w:p w14:paraId="3873ACF3" w14:textId="77777777" w:rsidR="006A1B4E" w:rsidRPr="000F23E0" w:rsidRDefault="006A1B4E" w:rsidP="00D05E2B">
            <w:pPr>
              <w:pStyle w:val="BoxText"/>
            </w:pPr>
            <w:r w:rsidRPr="000F23E0">
              <w:t>The expansion of Western Australia’s electric bus fleet will see charging infrastructure installed at key depots.</w:t>
            </w:r>
          </w:p>
          <w:p w14:paraId="48BEC9B5" w14:textId="77777777" w:rsidR="006A1B4E" w:rsidRPr="000F23E0" w:rsidRDefault="006A1B4E" w:rsidP="00D05E2B">
            <w:pPr>
              <w:pStyle w:val="BoxText"/>
              <w:rPr>
                <w:b/>
              </w:rPr>
            </w:pPr>
            <w:r w:rsidRPr="000F23E0">
              <w:t>This investment from the Australian and State Government is enabling WA urban network buses to transition to a cleaner, quieter, and more sustainable public transport network, aligned with Western Australia’s Climate Policy and the Public Transport Authority’s Net Zero Emissions by 2050 target.</w:t>
            </w:r>
          </w:p>
          <w:p w14:paraId="5A4D0004" w14:textId="4FBE8555" w:rsidR="006A1B4E" w:rsidRPr="000F23E0" w:rsidRDefault="006A1B4E" w:rsidP="00D05E2B">
            <w:pPr>
              <w:pStyle w:val="BoxText"/>
              <w:rPr>
                <w:b/>
              </w:rPr>
            </w:pPr>
            <w:r w:rsidRPr="000F23E0">
              <w:t>The project focuses upgrades to existing bus depots in metropolitan Perth. Upgrades include the installation of solar panels, battery storage, and smart charging systems to support overnight charging of electric buses during off-peak electricity periods. These upgrades reduce</w:t>
            </w:r>
            <w:r w:rsidR="0048145F" w:rsidRPr="000F23E0">
              <w:t> </w:t>
            </w:r>
            <w:r w:rsidRPr="000F23E0">
              <w:t>reliance on diesel, lower operational costs, and stimulate local energy generation and storage</w:t>
            </w:r>
            <w:r w:rsidR="0048145F" w:rsidRPr="000F23E0">
              <w:t> </w:t>
            </w:r>
            <w:r w:rsidRPr="000F23E0">
              <w:t>industries.</w:t>
            </w:r>
          </w:p>
          <w:p w14:paraId="57067C6F" w14:textId="77777777" w:rsidR="006A1B4E" w:rsidRPr="000F23E0" w:rsidRDefault="006A1B4E" w:rsidP="00D05E2B">
            <w:pPr>
              <w:pStyle w:val="BoxText"/>
              <w:rPr>
                <w:b/>
              </w:rPr>
            </w:pPr>
            <w:r w:rsidRPr="000F23E0">
              <w:t>The project has achieved key milestones including the completion of the Malaga Bus Depot upgrade. Malaga is now operational with capacity for up to 110 electric buses and 16 charging units. The commencement of construction works at the Karrinyup Bus Depot, which will be the first suburban depot outside the CBD to operate electric buses. These achievements mark the first deployment of electric buses into Perth’s suburban routes.</w:t>
            </w:r>
          </w:p>
          <w:p w14:paraId="2EE08624" w14:textId="3AEEECD1" w:rsidR="006A1B4E" w:rsidRPr="000F23E0" w:rsidRDefault="006A1B4E" w:rsidP="00D05E2B">
            <w:pPr>
              <w:pStyle w:val="BoxText"/>
              <w:rPr>
                <w:b/>
              </w:rPr>
            </w:pPr>
            <w:r w:rsidRPr="000F23E0">
              <w:t>The project is supporting local employment through construction contracts, depot upgrades,</w:t>
            </w:r>
            <w:r w:rsidR="0048145F" w:rsidRPr="000F23E0">
              <w:t> </w:t>
            </w:r>
            <w:r w:rsidRPr="000F23E0">
              <w:t>and the local manufacturing of electric buses, contributing to job creation across Western Australia’s transport and energy sectors.</w:t>
            </w:r>
          </w:p>
          <w:p w14:paraId="6FA92F90" w14:textId="77777777" w:rsidR="006A1B4E" w:rsidRPr="000F23E0" w:rsidRDefault="006A1B4E" w:rsidP="0048145F">
            <w:pPr>
              <w:pStyle w:val="BoxText"/>
              <w:spacing w:after="240"/>
              <w:rPr>
                <w:bCs/>
              </w:rPr>
            </w:pPr>
            <w:r w:rsidRPr="000F23E0">
              <w:rPr>
                <w:bCs/>
              </w:rPr>
              <w:t xml:space="preserve">Further information can be found on the </w:t>
            </w:r>
            <w:hyperlink r:id="rId74" w:history="1">
              <w:r w:rsidRPr="000F23E0">
                <w:rPr>
                  <w:rStyle w:val="Hyperlink"/>
                  <w:bCs/>
                </w:rPr>
                <w:t xml:space="preserve">Western Australian Government website </w:t>
              </w:r>
            </w:hyperlink>
            <w:r w:rsidRPr="000F23E0">
              <w:rPr>
                <w:bCs/>
              </w:rPr>
              <w:t>or</w:t>
            </w:r>
            <w:hyperlink r:id="rId75" w:history="1">
              <w:r w:rsidRPr="000F23E0">
                <w:rPr>
                  <w:rStyle w:val="Hyperlink"/>
                  <w:bCs/>
                </w:rPr>
                <w:t xml:space="preserve"> Infrastructure Investment website</w:t>
              </w:r>
            </w:hyperlink>
            <w:r w:rsidRPr="000F23E0">
              <w:rPr>
                <w:bCs/>
              </w:rPr>
              <w:t>.</w:t>
            </w:r>
          </w:p>
          <w:p w14:paraId="23B3E1A1" w14:textId="77777777" w:rsidR="006A1B4E" w:rsidRPr="000F23E0" w:rsidRDefault="006A1B4E" w:rsidP="00D05E2B">
            <w:pPr>
              <w:pStyle w:val="BoxText"/>
            </w:pPr>
            <w:r w:rsidRPr="000F23E0">
              <w:drawing>
                <wp:inline distT="0" distB="0" distL="0" distR="0" wp14:anchorId="6103E6AA" wp14:editId="66D4C3B3">
                  <wp:extent cx="5390084" cy="3062377"/>
                  <wp:effectExtent l="0" t="0" r="1270" b="5080"/>
                  <wp:docPr id="88919107" name="Picture 1" descr="A bus station with three buses. There are electric charges shown alongside the bus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19107" name="Picture 1" descr="A bus station with three buses. There are electric charges shown alongside the buses. "/>
                          <pic:cNvPicPr/>
                        </pic:nvPicPr>
                        <pic:blipFill rotWithShape="1">
                          <a:blip r:embed="rId76" cstate="print">
                            <a:extLst>
                              <a:ext uri="{28A0092B-C50C-407E-A947-70E740481C1C}">
                                <a14:useLocalDpi xmlns:a14="http://schemas.microsoft.com/office/drawing/2010/main" val="0"/>
                              </a:ext>
                            </a:extLst>
                          </a:blip>
                          <a:srcRect/>
                          <a:stretch>
                            <a:fillRect/>
                          </a:stretch>
                        </pic:blipFill>
                        <pic:spPr bwMode="auto">
                          <a:xfrm>
                            <a:off x="0" y="0"/>
                            <a:ext cx="5390515" cy="3062622"/>
                          </a:xfrm>
                          <a:prstGeom prst="rect">
                            <a:avLst/>
                          </a:prstGeom>
                          <a:ln>
                            <a:noFill/>
                          </a:ln>
                          <a:extLst>
                            <a:ext uri="{53640926-AAD7-44D8-BBD7-CCE9431645EC}">
                              <a14:shadowObscured xmlns:a14="http://schemas.microsoft.com/office/drawing/2010/main"/>
                            </a:ext>
                          </a:extLst>
                        </pic:spPr>
                      </pic:pic>
                    </a:graphicData>
                  </a:graphic>
                </wp:inline>
              </w:drawing>
            </w:r>
          </w:p>
          <w:p w14:paraId="30800988" w14:textId="7AD01B61" w:rsidR="006A1B4E" w:rsidRPr="000F23E0" w:rsidRDefault="006A1B4E" w:rsidP="006A1B4E">
            <w:pPr>
              <w:pStyle w:val="ChartorTableNote"/>
              <w:rPr>
                <w:bCs/>
              </w:rPr>
            </w:pPr>
            <w:r w:rsidRPr="000F23E0">
              <w:t>Malaga Bus Depot, Perth, WA, courtesy of the Public Transport Authority of Western Australia</w:t>
            </w:r>
          </w:p>
        </w:tc>
      </w:tr>
    </w:tbl>
    <w:p w14:paraId="7C8B371F" w14:textId="6380F7C9" w:rsidR="0087094B" w:rsidRPr="000F23E0" w:rsidRDefault="00D3586C" w:rsidP="00557D2D">
      <w:pPr>
        <w:pStyle w:val="Heading1"/>
      </w:pPr>
      <w:bookmarkStart w:id="266" w:name="_Toc225155782"/>
      <w:bookmarkStart w:id="267" w:name="_Toc188028326"/>
      <w:bookmarkEnd w:id="67"/>
      <w:bookmarkEnd w:id="68"/>
      <w:bookmarkEnd w:id="265"/>
      <w:r w:rsidRPr="000F23E0">
        <w:lastRenderedPageBreak/>
        <w:t xml:space="preserve">Chapter 5: </w:t>
      </w:r>
      <w:r w:rsidR="00D33067" w:rsidRPr="000F23E0">
        <w:t xml:space="preserve">Climate </w:t>
      </w:r>
      <w:r w:rsidR="00652736" w:rsidRPr="000F23E0">
        <w:t>c</w:t>
      </w:r>
      <w:r w:rsidR="00D33067" w:rsidRPr="000F23E0">
        <w:t xml:space="preserve">hange </w:t>
      </w:r>
      <w:r w:rsidR="00652736" w:rsidRPr="000F23E0">
        <w:t>a</w:t>
      </w:r>
      <w:r w:rsidR="00D33067" w:rsidRPr="000F23E0">
        <w:t>daptation</w:t>
      </w:r>
      <w:bookmarkEnd w:id="266"/>
      <w:r w:rsidR="00D33067" w:rsidRPr="000F23E0">
        <w:t xml:space="preserve"> </w:t>
      </w:r>
      <w:bookmarkEnd w:id="267"/>
    </w:p>
    <w:p w14:paraId="46B6499C" w14:textId="50AF1EB4" w:rsidR="00B327CC" w:rsidRPr="000F23E0" w:rsidRDefault="00F312AD">
      <w:pPr>
        <w:spacing w:before="0" w:after="160" w:line="259" w:lineRule="auto"/>
      </w:pPr>
      <w:r w:rsidRPr="000F23E0">
        <w:t>Climate change has become a real and present threat</w:t>
      </w:r>
      <w:r w:rsidR="003B051D" w:rsidRPr="000F23E0">
        <w:t xml:space="preserve">. </w:t>
      </w:r>
      <w:r w:rsidR="005970C2" w:rsidRPr="000F23E0">
        <w:t>The effects of climate change</w:t>
      </w:r>
      <w:r w:rsidR="00025893" w:rsidRPr="000F23E0">
        <w:t xml:space="preserve"> will continue to</w:t>
      </w:r>
      <w:r w:rsidRPr="000F23E0">
        <w:t xml:space="preserve"> impact lives and livelihoods</w:t>
      </w:r>
      <w:r w:rsidR="00EE2D51" w:rsidRPr="000F23E0">
        <w:t xml:space="preserve"> </w:t>
      </w:r>
      <w:r w:rsidR="00ED266A" w:rsidRPr="000F23E0">
        <w:t xml:space="preserve">unless </w:t>
      </w:r>
      <w:r w:rsidR="009D50C4" w:rsidRPr="000F23E0">
        <w:t xml:space="preserve">adaptation </w:t>
      </w:r>
      <w:r w:rsidR="00B327CC" w:rsidRPr="000F23E0">
        <w:t>measures</w:t>
      </w:r>
      <w:r w:rsidR="00ED266A" w:rsidRPr="000F23E0">
        <w:t xml:space="preserve"> are taken.</w:t>
      </w:r>
    </w:p>
    <w:p w14:paraId="79C6099E" w14:textId="1DEAC409" w:rsidR="00E57604" w:rsidRPr="000F23E0" w:rsidRDefault="00B327CC">
      <w:pPr>
        <w:spacing w:before="0" w:after="160" w:line="259" w:lineRule="auto"/>
      </w:pPr>
      <w:r w:rsidRPr="000F23E0">
        <w:t>The Australian Government</w:t>
      </w:r>
      <w:r w:rsidR="007C36B6" w:rsidRPr="000F23E0">
        <w:t xml:space="preserve"> is </w:t>
      </w:r>
      <w:r w:rsidR="00B9373A" w:rsidRPr="000F23E0">
        <w:t>preparing</w:t>
      </w:r>
      <w:r w:rsidR="007C36B6" w:rsidRPr="000F23E0">
        <w:t xml:space="preserve"> for </w:t>
      </w:r>
      <w:r w:rsidR="00BB2672" w:rsidRPr="000F23E0">
        <w:t xml:space="preserve">higher average temperatures by </w:t>
      </w:r>
      <w:r w:rsidR="00745734" w:rsidRPr="000F23E0">
        <w:t xml:space="preserve">planning </w:t>
      </w:r>
      <w:r w:rsidR="003357DC" w:rsidRPr="000F23E0">
        <w:t xml:space="preserve">and </w:t>
      </w:r>
      <w:r w:rsidR="00745734" w:rsidRPr="000F23E0">
        <w:t xml:space="preserve">implementing </w:t>
      </w:r>
      <w:r w:rsidR="001C451C" w:rsidRPr="000F23E0">
        <w:t>adaptation</w:t>
      </w:r>
      <w:r w:rsidR="001A1CB6" w:rsidRPr="000F23E0">
        <w:t xml:space="preserve"> measures</w:t>
      </w:r>
      <w:r w:rsidR="003357DC" w:rsidRPr="000F23E0">
        <w:t xml:space="preserve"> domestically and internationally. </w:t>
      </w:r>
      <w:r w:rsidR="00CD4AAE" w:rsidRPr="000F23E0">
        <w:t xml:space="preserve">Australia is well placed </w:t>
      </w:r>
      <w:r w:rsidR="001E19B2" w:rsidRPr="000F23E0">
        <w:t xml:space="preserve">to </w:t>
      </w:r>
      <w:r w:rsidR="00824BD7" w:rsidRPr="000F23E0">
        <w:t xml:space="preserve">adapt </w:t>
      </w:r>
      <w:r w:rsidR="000727DF" w:rsidRPr="000F23E0">
        <w:t xml:space="preserve">to climate challenges </w:t>
      </w:r>
      <w:r w:rsidR="00824BD7" w:rsidRPr="000F23E0">
        <w:t>given our</w:t>
      </w:r>
      <w:r w:rsidR="001E19B2" w:rsidRPr="000F23E0">
        <w:t xml:space="preserve"> </w:t>
      </w:r>
      <w:r w:rsidR="00D62309" w:rsidRPr="000F23E0">
        <w:t xml:space="preserve">natural </w:t>
      </w:r>
      <w:r w:rsidR="0096573B" w:rsidRPr="000F23E0">
        <w:t>resources</w:t>
      </w:r>
      <w:r w:rsidR="00D62309" w:rsidRPr="000F23E0">
        <w:t>, world</w:t>
      </w:r>
      <w:r w:rsidR="002C4475" w:rsidRPr="000F23E0">
        <w:noBreakHyphen/>
      </w:r>
      <w:r w:rsidR="00D62309" w:rsidRPr="000F23E0">
        <w:t xml:space="preserve">class institutions, stable </w:t>
      </w:r>
      <w:r w:rsidR="0096573B" w:rsidRPr="000F23E0">
        <w:t>economy</w:t>
      </w:r>
      <w:r w:rsidR="00D62309" w:rsidRPr="000F23E0">
        <w:t xml:space="preserve"> and </w:t>
      </w:r>
      <w:r w:rsidR="00585641" w:rsidRPr="000F23E0">
        <w:t xml:space="preserve">strong </w:t>
      </w:r>
      <w:r w:rsidR="00745734" w:rsidRPr="000F23E0">
        <w:t>sense of community</w:t>
      </w:r>
      <w:r w:rsidR="00D62309" w:rsidRPr="000F23E0">
        <w:t>.</w:t>
      </w:r>
    </w:p>
    <w:p w14:paraId="54B5E33F" w14:textId="3A7ED950" w:rsidR="00E57604" w:rsidRPr="000F23E0" w:rsidRDefault="00E57604" w:rsidP="00E57604">
      <w:r w:rsidRPr="000F23E0">
        <w:t>The Australian Government</w:t>
      </w:r>
      <w:r w:rsidR="002C4475" w:rsidRPr="000F23E0">
        <w:t>’</w:t>
      </w:r>
      <w:r w:rsidRPr="000F23E0">
        <w:t>s role in assisting Australians to build resilience to the impacts of climate change includes:</w:t>
      </w:r>
    </w:p>
    <w:p w14:paraId="60DBBFA0" w14:textId="449888D8" w:rsidR="00E57604" w:rsidRPr="000F23E0" w:rsidRDefault="00E57604" w:rsidP="00E57604">
      <w:pPr>
        <w:pStyle w:val="Bullet"/>
      </w:pPr>
      <w:r w:rsidRPr="000F23E0">
        <w:t xml:space="preserve">providing national leadership on </w:t>
      </w:r>
      <w:r w:rsidR="00445AD4" w:rsidRPr="000F23E0">
        <w:t>climate change adaptation</w:t>
      </w:r>
      <w:r w:rsidRPr="000F23E0">
        <w:t xml:space="preserve"> </w:t>
      </w:r>
    </w:p>
    <w:p w14:paraId="695351DC" w14:textId="21C63AB7" w:rsidR="00E57604" w:rsidRPr="000F23E0" w:rsidRDefault="00E57604" w:rsidP="00E57604">
      <w:pPr>
        <w:pStyle w:val="Bullet"/>
      </w:pPr>
      <w:r w:rsidRPr="000F23E0">
        <w:t xml:space="preserve">ensuring the availability of nationally authoritative climate science and information </w:t>
      </w:r>
    </w:p>
    <w:p w14:paraId="2B86F77A" w14:textId="27C2F818" w:rsidR="00A803F8" w:rsidRPr="000F23E0" w:rsidRDefault="00E57604" w:rsidP="00CB51B7">
      <w:pPr>
        <w:pStyle w:val="Bullet"/>
      </w:pPr>
      <w:r w:rsidRPr="000F23E0">
        <w:t>managing climate risks to government assets and services.</w:t>
      </w:r>
      <w:r w:rsidRPr="000F23E0">
        <w:rPr>
          <w:rStyle w:val="EndnoteReference"/>
        </w:rPr>
        <w:endnoteReference w:id="66"/>
      </w:r>
    </w:p>
    <w:p w14:paraId="42A4E85D" w14:textId="5191C979" w:rsidR="00D91363" w:rsidRPr="000F23E0" w:rsidRDefault="00D91363" w:rsidP="005F45A1">
      <w:r w:rsidRPr="000F23E0">
        <w:t>The Australian Government</w:t>
      </w:r>
      <w:r w:rsidR="002C4475" w:rsidRPr="000F23E0">
        <w:t>’</w:t>
      </w:r>
      <w:r w:rsidRPr="000F23E0">
        <w:t>s National Adaptation Plan (NAP) was released in 2025 and responds to the findings of the National Climate Risk Assessment (NCRA). The NAP is a significant step towards climate change preparedness. It outlines the Australian Government</w:t>
      </w:r>
      <w:r w:rsidR="002C4475" w:rsidRPr="000F23E0">
        <w:t>’</w:t>
      </w:r>
      <w:r w:rsidRPr="000F23E0">
        <w:t xml:space="preserve">s national leadership role, complementing plans prepared by other jurisdictions and sectors. </w:t>
      </w:r>
    </w:p>
    <w:p w14:paraId="4B7318D1" w14:textId="65368D28" w:rsidR="00D91363" w:rsidRPr="000F23E0" w:rsidRDefault="00D91363" w:rsidP="005F45A1">
      <w:r w:rsidRPr="000F23E0">
        <w:t>Action to address priorities identified in the NCRA and NAP are currently funded through the Australian Government</w:t>
      </w:r>
      <w:r w:rsidR="002C4475" w:rsidRPr="000F23E0">
        <w:t>’</w:t>
      </w:r>
      <w:r w:rsidR="003E5F5B" w:rsidRPr="000F23E0">
        <w:t>s</w:t>
      </w:r>
      <w:r w:rsidRPr="000F23E0">
        <w:t xml:space="preserve"> Disaster Ready Program. Activities delivered under the D</w:t>
      </w:r>
      <w:r w:rsidR="00622153" w:rsidRPr="000F23E0">
        <w:t xml:space="preserve">isaster Ready Fund </w:t>
      </w:r>
      <w:r w:rsidRPr="000F23E0">
        <w:t>are not able to be financed through proceeds from Green Treasury Bonds as they are financed through Australia</w:t>
      </w:r>
      <w:r w:rsidR="002C4475" w:rsidRPr="000F23E0">
        <w:t>’</w:t>
      </w:r>
      <w:r w:rsidRPr="000F23E0">
        <w:t>s Future Fund.</w:t>
      </w:r>
    </w:p>
    <w:p w14:paraId="198BEC62" w14:textId="4A3CF97A" w:rsidR="00D91363" w:rsidRPr="000F23E0" w:rsidRDefault="00D91363" w:rsidP="005F45A1">
      <w:r w:rsidRPr="000F23E0">
        <w:t>The Government recognises that climate change is a shared challenge for all countries and is supporting the Indo</w:t>
      </w:r>
      <w:r w:rsidR="002C4475" w:rsidRPr="000F23E0">
        <w:noBreakHyphen/>
      </w:r>
      <w:r w:rsidRPr="000F23E0">
        <w:t>Pacific region to increase its adaptive capacity in line with Australia</w:t>
      </w:r>
      <w:r w:rsidR="002C4475" w:rsidRPr="000F23E0">
        <w:t>’</w:t>
      </w:r>
      <w:r w:rsidRPr="000F23E0">
        <w:t xml:space="preserve">s </w:t>
      </w:r>
      <w:hyperlink r:id="rId77" w:history="1">
        <w:r w:rsidRPr="000F23E0">
          <w:rPr>
            <w:rStyle w:val="Hyperlink"/>
          </w:rPr>
          <w:t>international climate change commitments</w:t>
        </w:r>
      </w:hyperlink>
      <w:r w:rsidRPr="000F23E0">
        <w:t xml:space="preserve">, including the Paris Agreement. GTBs are financing </w:t>
      </w:r>
      <w:r w:rsidR="00445AD4" w:rsidRPr="000F23E0">
        <w:t>climate change adaptation</w:t>
      </w:r>
      <w:r w:rsidRPr="000F23E0">
        <w:t xml:space="preserve"> projects in the Pacific and Southeast Asia, along with Australia</w:t>
      </w:r>
      <w:r w:rsidR="002C4475" w:rsidRPr="000F23E0">
        <w:t>’</w:t>
      </w:r>
      <w:r w:rsidRPr="000F23E0">
        <w:t>s contributions to multilateral climate funds.</w:t>
      </w:r>
    </w:p>
    <w:p w14:paraId="7EC049E0" w14:textId="77777777" w:rsidR="002D33EA" w:rsidRPr="000F23E0" w:rsidRDefault="002D33EA" w:rsidP="002D33EA">
      <w:bookmarkStart w:id="268" w:name="_Toc188028327"/>
      <w:r w:rsidRPr="000F23E0">
        <w:br w:type="page"/>
      </w:r>
    </w:p>
    <w:p w14:paraId="505FDDD6" w14:textId="5DC236E1" w:rsidR="00C23902" w:rsidRPr="000F23E0" w:rsidRDefault="00511A13" w:rsidP="00BE5E05">
      <w:pPr>
        <w:pStyle w:val="Heading2"/>
      </w:pPr>
      <w:bookmarkStart w:id="269" w:name="_Toc225155783"/>
      <w:r w:rsidRPr="000F23E0">
        <w:lastRenderedPageBreak/>
        <w:t xml:space="preserve">International </w:t>
      </w:r>
      <w:r w:rsidR="00C20617" w:rsidRPr="000F23E0">
        <w:t>c</w:t>
      </w:r>
      <w:r w:rsidRPr="000F23E0">
        <w:t xml:space="preserve">limate </w:t>
      </w:r>
      <w:r w:rsidR="00C20617" w:rsidRPr="000F23E0">
        <w:t>f</w:t>
      </w:r>
      <w:r w:rsidRPr="000F23E0">
        <w:t xml:space="preserve">inance </w:t>
      </w:r>
      <w:r w:rsidR="00BE5E05" w:rsidRPr="000F23E0">
        <w:t>p</w:t>
      </w:r>
      <w:r w:rsidRPr="000F23E0">
        <w:t>rojects</w:t>
      </w:r>
      <w:bookmarkEnd w:id="268"/>
      <w:bookmarkEnd w:id="269"/>
    </w:p>
    <w:p w14:paraId="2F6A1296" w14:textId="732857F6" w:rsidR="0036596B" w:rsidRPr="000F23E0" w:rsidRDefault="0036596B" w:rsidP="002D67D7">
      <w:r w:rsidRPr="000F23E0">
        <w:t>Australia</w:t>
      </w:r>
      <w:r w:rsidR="002C4475" w:rsidRPr="000F23E0">
        <w:t>’</w:t>
      </w:r>
      <w:r w:rsidRPr="000F23E0">
        <w:t>s international climate finance supports countries in the Indo</w:t>
      </w:r>
      <w:r w:rsidR="002C4475" w:rsidRPr="000F23E0">
        <w:noBreakHyphen/>
      </w:r>
      <w:r w:rsidRPr="000F23E0">
        <w:t xml:space="preserve">Pacific region to adapt to the increasing impacts of climate change and to reduce their emissions by investing in renewable </w:t>
      </w:r>
      <w:r w:rsidR="008D37CB" w:rsidRPr="000F23E0">
        <w:t>energy</w:t>
      </w:r>
      <w:r w:rsidRPr="000F23E0">
        <w:t xml:space="preserve"> and clean technologies to meet their net zero transition goals. </w:t>
      </w:r>
    </w:p>
    <w:p w14:paraId="2D9A2D4F" w14:textId="219F447E" w:rsidR="00C630C4" w:rsidRPr="000F23E0" w:rsidRDefault="0036596B" w:rsidP="002D67D7">
      <w:r w:rsidRPr="000F23E0">
        <w:t>Australia</w:t>
      </w:r>
      <w:r w:rsidR="002C4475" w:rsidRPr="000F23E0">
        <w:t>’</w:t>
      </w:r>
      <w:r w:rsidRPr="000F23E0">
        <w:t xml:space="preserve">s climate finance </w:t>
      </w:r>
      <w:r w:rsidR="00C630C4" w:rsidRPr="000F23E0">
        <w:t xml:space="preserve">is focused on the Pacific and Southeast Asia </w:t>
      </w:r>
      <w:r w:rsidRPr="000F23E0">
        <w:t>(</w:t>
      </w:r>
      <w:r w:rsidR="00AB41A7" w:rsidRPr="000F23E0">
        <w:t>Figure 8</w:t>
      </w:r>
      <w:r w:rsidRPr="000F23E0">
        <w:t>).</w:t>
      </w:r>
      <w:r w:rsidR="00C630C4" w:rsidRPr="000F23E0">
        <w:t xml:space="preserve"> </w:t>
      </w:r>
      <w:r w:rsidR="001859F4" w:rsidRPr="000F23E0">
        <w:t>It</w:t>
      </w:r>
      <w:r w:rsidR="00C630C4" w:rsidRPr="000F23E0">
        <w:t xml:space="preserve"> includes bilateral and regional programs, along with contributions to multilateral development </w:t>
      </w:r>
      <w:r w:rsidRPr="000F23E0">
        <w:t>banks</w:t>
      </w:r>
      <w:r w:rsidR="002C4475" w:rsidRPr="000F23E0">
        <w:t>’</w:t>
      </w:r>
      <w:r w:rsidRPr="000F23E0">
        <w:t xml:space="preserve"> climate programming, and multilateral climate funds. </w:t>
      </w:r>
      <w:r w:rsidR="00C630C4" w:rsidRPr="000F23E0">
        <w:t xml:space="preserve">Australia also mobilises private finance into new climate investments in developing countries. </w:t>
      </w:r>
    </w:p>
    <w:p w14:paraId="1B3CB56D" w14:textId="0EAAB263" w:rsidR="000E23D2" w:rsidRPr="000F23E0" w:rsidRDefault="00AC2FD2" w:rsidP="002D67D7">
      <w:r w:rsidRPr="000F23E0">
        <w:t>P</w:t>
      </w:r>
      <w:r w:rsidR="00C630C4" w:rsidRPr="000F23E0">
        <w:t xml:space="preserve">rojects selected for the </w:t>
      </w:r>
      <w:r w:rsidR="004A3946" w:rsidRPr="000F23E0">
        <w:t>GTB</w:t>
      </w:r>
      <w:r w:rsidR="00C630C4" w:rsidRPr="000F23E0">
        <w:t xml:space="preserve"> project pool are a subset of Australia</w:t>
      </w:r>
      <w:r w:rsidR="002C4475" w:rsidRPr="000F23E0">
        <w:t>’</w:t>
      </w:r>
      <w:r w:rsidR="00C630C4" w:rsidRPr="000F23E0">
        <w:t xml:space="preserve">s climate finance investments. Australia reports climate finance to the UNFCCC in </w:t>
      </w:r>
      <w:r w:rsidR="004E5CD6" w:rsidRPr="000F23E0">
        <w:t xml:space="preserve">its </w:t>
      </w:r>
      <w:r w:rsidR="0036596B" w:rsidRPr="000F23E0">
        <w:t>Biennial Transparency Report</w:t>
      </w:r>
      <w:r w:rsidR="00C630C4" w:rsidRPr="000F23E0">
        <w:t>, in line with its</w:t>
      </w:r>
      <w:r w:rsidR="00C71B7B" w:rsidRPr="000F23E0">
        <w:t> </w:t>
      </w:r>
      <w:r w:rsidR="00C630C4" w:rsidRPr="000F23E0">
        <w:t xml:space="preserve">obligations. The selected investments have been counted in accordance with the Green Bond Framework </w:t>
      </w:r>
      <w:r w:rsidR="00567D9F" w:rsidRPr="000F23E0">
        <w:t xml:space="preserve">– </w:t>
      </w:r>
      <w:r w:rsidR="00C630C4" w:rsidRPr="000F23E0">
        <w:t>the amount of adaptation and mitigation finance reported to the UNFCCC may differ due</w:t>
      </w:r>
      <w:r w:rsidR="00C71B7B" w:rsidRPr="000F23E0">
        <w:t> </w:t>
      </w:r>
      <w:r w:rsidR="00C630C4" w:rsidRPr="000F23E0">
        <w:t>to methodological differences for accounting</w:t>
      </w:r>
      <w:r w:rsidR="0036596B" w:rsidRPr="000F23E0">
        <w:t>.</w:t>
      </w:r>
    </w:p>
    <w:p w14:paraId="2C113659" w14:textId="47102C72" w:rsidR="00725C32" w:rsidRPr="000F23E0" w:rsidRDefault="004340C3" w:rsidP="00551F72">
      <w:pPr>
        <w:pStyle w:val="ChartMainHeading"/>
      </w:pPr>
      <w:bookmarkStart w:id="270" w:name="_Toc220610588"/>
      <w:bookmarkStart w:id="271" w:name="_Toc220597358"/>
      <w:bookmarkStart w:id="272" w:name="_Toc224637833"/>
      <w:bookmarkStart w:id="273" w:name="_Toc224642497"/>
      <w:bookmarkStart w:id="274" w:name="_Toc225153473"/>
      <w:bookmarkStart w:id="275" w:name="_Toc225154519"/>
      <w:bookmarkStart w:id="276" w:name="_Toc225155784"/>
      <w:r w:rsidRPr="000F23E0">
        <w:t xml:space="preserve">Figure </w:t>
      </w:r>
      <w:r w:rsidR="006940DE" w:rsidRPr="000F23E0">
        <w:t>8:</w:t>
      </w:r>
      <w:r w:rsidR="00725C32" w:rsidRPr="000F23E0">
        <w:t xml:space="preserve"> </w:t>
      </w:r>
      <w:r w:rsidR="008F5103" w:rsidRPr="000F23E0">
        <w:t xml:space="preserve">Australian </w:t>
      </w:r>
      <w:r w:rsidR="00DA46FE" w:rsidRPr="000F23E0">
        <w:t>c</w:t>
      </w:r>
      <w:r w:rsidR="008F5103" w:rsidRPr="000F23E0">
        <w:t xml:space="preserve">limate </w:t>
      </w:r>
      <w:r w:rsidR="00DA46FE" w:rsidRPr="000F23E0">
        <w:t>f</w:t>
      </w:r>
      <w:r w:rsidR="008F5103" w:rsidRPr="000F23E0">
        <w:t>inance in the Indo</w:t>
      </w:r>
      <w:r w:rsidR="002C4475" w:rsidRPr="000F23E0">
        <w:noBreakHyphen/>
      </w:r>
      <w:r w:rsidR="008F5103" w:rsidRPr="000F23E0">
        <w:t>Pacific</w:t>
      </w:r>
      <w:bookmarkEnd w:id="270"/>
      <w:bookmarkEnd w:id="271"/>
      <w:bookmarkEnd w:id="272"/>
      <w:bookmarkEnd w:id="273"/>
      <w:bookmarkEnd w:id="274"/>
      <w:bookmarkEnd w:id="275"/>
      <w:bookmarkEnd w:id="276"/>
    </w:p>
    <w:p w14:paraId="571E1120" w14:textId="7B732B4E" w:rsidR="00552DBC" w:rsidRPr="000F23E0" w:rsidRDefault="0048145F" w:rsidP="002D33EA">
      <w:pPr>
        <w:pStyle w:val="ChartGraphic"/>
        <w:keepNext w:val="0"/>
      </w:pPr>
      <w:r w:rsidRPr="000F23E0">
        <w:drawing>
          <wp:inline distT="0" distB="0" distL="0" distR="0" wp14:anchorId="0C513A90" wp14:editId="09072223">
            <wp:extent cx="5744845" cy="3656011"/>
            <wp:effectExtent l="19050" t="19050" r="27305" b="20955"/>
            <wp:docPr id="1011908304" name="Picture 13" descr="Figure 8 is a map of the Indo‑Pacific region showing where Australia provides climate finance. Countries across South‑East Asia and the Pacific are highlighted, including Indonesia, Vietnam, Cambodia, Laos, Malaysia, the Philippines, Papua New Guinea, and Pacific island countries such as Fiji, Vanuatu, Solomon Islands, Tuvalu, Kiribati, and Samoa. The map illustrates the geographic spread of Australia’s climate finance engagement across the Indo‑Pacific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908304" name="Picture 13" descr="Figure 8 is a map of the Indo‑Pacific region showing where Australia provides climate finance. Countries across South‑East Asia and the Pacific are highlighted, including Indonesia, Vietnam, Cambodia, Laos, Malaysia, the Philippines, Papua New Guinea, and Pacific island countries such as Fiji, Vanuatu, Solomon Islands, Tuvalu, Kiribati, and Samoa. The map illustrates the geographic spread of Australia’s climate finance engagement across the Indo‑Pacific region."/>
                    <pic:cNvPicPr/>
                  </pic:nvPicPr>
                  <pic:blipFill rotWithShape="1">
                    <a:blip r:embed="rId78" cstate="print">
                      <a:extLst>
                        <a:ext uri="{28A0092B-C50C-407E-A947-70E740481C1C}">
                          <a14:useLocalDpi xmlns:a14="http://schemas.microsoft.com/office/drawing/2010/main" val="0"/>
                        </a:ext>
                      </a:extLst>
                    </a:blip>
                    <a:srcRect/>
                    <a:stretch>
                      <a:fillRect/>
                    </a:stretch>
                  </pic:blipFill>
                  <pic:spPr bwMode="auto">
                    <a:xfrm>
                      <a:off x="0" y="0"/>
                      <a:ext cx="5751992" cy="3660559"/>
                    </a:xfrm>
                    <a:prstGeom prst="rect">
                      <a:avLst/>
                    </a:prstGeom>
                    <a:ln w="3175">
                      <a:solidFill>
                        <a:srgbClr val="B54A26"/>
                      </a:solidFill>
                    </a:ln>
                    <a:extLst>
                      <a:ext uri="{53640926-AAD7-44D8-BBD7-CCE9431645EC}">
                        <a14:shadowObscured xmlns:a14="http://schemas.microsoft.com/office/drawing/2010/main"/>
                      </a:ext>
                    </a:extLst>
                  </pic:spPr>
                </pic:pic>
              </a:graphicData>
            </a:graphic>
          </wp:inline>
        </w:drawing>
      </w:r>
    </w:p>
    <w:p w14:paraId="09FDE854" w14:textId="15647D3F" w:rsidR="00E872AB" w:rsidRPr="000F23E0" w:rsidRDefault="00A0629E" w:rsidP="002D33EA">
      <w:pPr>
        <w:pStyle w:val="Heading3"/>
        <w:keepLines/>
      </w:pPr>
      <w:r w:rsidRPr="000F23E0">
        <w:lastRenderedPageBreak/>
        <w:t xml:space="preserve">Green Treasury Bond </w:t>
      </w:r>
      <w:r w:rsidR="00C20617" w:rsidRPr="000F23E0">
        <w:t>a</w:t>
      </w:r>
      <w:r w:rsidRPr="000F23E0">
        <w:t>llocation</w:t>
      </w:r>
    </w:p>
    <w:p w14:paraId="6BA44B65" w14:textId="2F7DD38A" w:rsidR="00672C95" w:rsidRPr="000F23E0" w:rsidRDefault="00611CEF" w:rsidP="002D33EA">
      <w:pPr>
        <w:keepNext/>
        <w:keepLines/>
      </w:pPr>
      <w:r w:rsidRPr="000F23E0">
        <w:t>GTB</w:t>
      </w:r>
      <w:r w:rsidR="00672C95" w:rsidRPr="000F23E0">
        <w:t>s contributed $</w:t>
      </w:r>
      <w:r w:rsidR="00D369CE" w:rsidRPr="000F23E0">
        <w:t>108.3</w:t>
      </w:r>
      <w:r w:rsidR="00672C95" w:rsidRPr="000F23E0">
        <w:t xml:space="preserve"> million to </w:t>
      </w:r>
      <w:r w:rsidR="008B21A4" w:rsidRPr="000F23E0">
        <w:t>2</w:t>
      </w:r>
      <w:r w:rsidR="006830A3" w:rsidRPr="000F23E0">
        <w:t>1</w:t>
      </w:r>
      <w:r w:rsidR="00672C95" w:rsidRPr="000F23E0">
        <w:t xml:space="preserve"> sub</w:t>
      </w:r>
      <w:r w:rsidR="002C4475" w:rsidRPr="000F23E0">
        <w:noBreakHyphen/>
      </w:r>
      <w:r w:rsidR="00672C95" w:rsidRPr="000F23E0">
        <w:t xml:space="preserve">projects under International Climate Finance over </w:t>
      </w:r>
      <w:r w:rsidR="008B21A4" w:rsidRPr="000F23E0">
        <w:t>2024</w:t>
      </w:r>
      <w:r w:rsidR="00ED5506" w:rsidRPr="000F23E0">
        <w:t>–</w:t>
      </w:r>
      <w:r w:rsidR="008B21A4" w:rsidRPr="000F23E0">
        <w:t>25</w:t>
      </w:r>
      <w:r w:rsidR="000876FE" w:rsidRPr="000F23E0">
        <w:t xml:space="preserve"> </w:t>
      </w:r>
      <w:r w:rsidR="00694969" w:rsidRPr="000F23E0">
        <w:t>(</w:t>
      </w:r>
      <w:r w:rsidR="006A32D7" w:rsidRPr="000F23E0">
        <w:fldChar w:fldCharType="begin"/>
      </w:r>
      <w:r w:rsidR="006A32D7" w:rsidRPr="000F23E0">
        <w:instrText xml:space="preserve"> REF _Ref214983064 \h </w:instrText>
      </w:r>
      <w:r w:rsidR="006A32D7" w:rsidRPr="000F23E0">
        <w:fldChar w:fldCharType="separate"/>
      </w:r>
      <w:r w:rsidR="00011A85" w:rsidRPr="000F23E0">
        <w:t>Table</w:t>
      </w:r>
      <w:r w:rsidR="006A32D7" w:rsidRPr="000F23E0">
        <w:fldChar w:fldCharType="end"/>
      </w:r>
      <w:r w:rsidR="00462336" w:rsidRPr="000F23E0">
        <w:t xml:space="preserve"> </w:t>
      </w:r>
      <w:r w:rsidR="00190BBA" w:rsidRPr="000F23E0">
        <w:t>30</w:t>
      </w:r>
      <w:r w:rsidR="000876FE" w:rsidRPr="000F23E0">
        <w:t>)</w:t>
      </w:r>
      <w:r w:rsidR="00672C95" w:rsidRPr="000F23E0">
        <w:t>.</w:t>
      </w:r>
    </w:p>
    <w:p w14:paraId="18ED42F3" w14:textId="04991BE8" w:rsidR="00672C95" w:rsidRPr="000F23E0" w:rsidRDefault="00672C95" w:rsidP="002D33EA">
      <w:pPr>
        <w:keepNext/>
        <w:keepLines/>
      </w:pPr>
      <w:r w:rsidRPr="000F23E0">
        <w:t>Government contributions for individual sub</w:t>
      </w:r>
      <w:r w:rsidR="002C4475" w:rsidRPr="000F23E0">
        <w:noBreakHyphen/>
      </w:r>
      <w:r w:rsidRPr="000F23E0">
        <w:t xml:space="preserve">projects are not fixed and are subject to change. Please refer to the </w:t>
      </w:r>
      <w:hyperlink r:id="rId79" w:history="1">
        <w:r w:rsidRPr="000F23E0">
          <w:rPr>
            <w:rStyle w:val="Hyperlink"/>
          </w:rPr>
          <w:t>AusDevPortal</w:t>
        </w:r>
      </w:hyperlink>
      <w:r w:rsidRPr="000F23E0">
        <w:t xml:space="preserve"> for the total estimated Government funding for each project based on current available data. </w:t>
      </w:r>
    </w:p>
    <w:p w14:paraId="0C73B584" w14:textId="610226EF" w:rsidR="00A0629E" w:rsidRPr="000F23E0" w:rsidRDefault="00672C95" w:rsidP="002D33EA">
      <w:pPr>
        <w:keepNext/>
        <w:keepLines/>
      </w:pPr>
      <w:r w:rsidRPr="000F23E0">
        <w:t>Due to the nature of international climate financing, it is not possible to determine the total cost of projects including co</w:t>
      </w:r>
      <w:r w:rsidR="002C4475" w:rsidRPr="000F23E0">
        <w:noBreakHyphen/>
      </w:r>
      <w:r w:rsidRPr="000F23E0">
        <w:t xml:space="preserve">contributions from other parties, </w:t>
      </w:r>
      <w:r w:rsidR="00F4716E" w:rsidRPr="000F23E0">
        <w:t xml:space="preserve">such as </w:t>
      </w:r>
      <w:r w:rsidRPr="000F23E0">
        <w:t>foreign governments and international organisations. The co</w:t>
      </w:r>
      <w:r w:rsidR="002C4475" w:rsidRPr="000F23E0">
        <w:noBreakHyphen/>
      </w:r>
      <w:r w:rsidRPr="000F23E0">
        <w:t xml:space="preserve">financing arrangements section below </w:t>
      </w:r>
      <w:r w:rsidR="00F4716E" w:rsidRPr="000F23E0">
        <w:t xml:space="preserve">details </w:t>
      </w:r>
      <w:r w:rsidRPr="000F23E0">
        <w:t>where the Australia</w:t>
      </w:r>
      <w:r w:rsidR="001E7CD5" w:rsidRPr="000F23E0">
        <w:t>n</w:t>
      </w:r>
      <w:r w:rsidRPr="000F23E0">
        <w:t xml:space="preserve"> Government is co</w:t>
      </w:r>
      <w:r w:rsidR="002C4475" w:rsidRPr="000F23E0">
        <w:noBreakHyphen/>
      </w:r>
      <w:r w:rsidRPr="000F23E0">
        <w:t>financing or co</w:t>
      </w:r>
      <w:r w:rsidR="002C4475" w:rsidRPr="000F23E0">
        <w:noBreakHyphen/>
      </w:r>
      <w:r w:rsidRPr="000F23E0">
        <w:t>delivering a project.</w:t>
      </w:r>
    </w:p>
    <w:p w14:paraId="6C1F2EDF" w14:textId="24251131" w:rsidR="00A05137" w:rsidRPr="000F23E0" w:rsidRDefault="00FA055E" w:rsidP="00551F72">
      <w:pPr>
        <w:pStyle w:val="TableMainHeading"/>
      </w:pPr>
      <w:bookmarkStart w:id="277" w:name="_Toc220662890"/>
      <w:bookmarkStart w:id="278" w:name="_Toc224637834"/>
      <w:bookmarkStart w:id="279" w:name="_Toc224642498"/>
      <w:bookmarkStart w:id="280" w:name="_Toc225153474"/>
      <w:bookmarkStart w:id="281" w:name="_Toc225154520"/>
      <w:bookmarkStart w:id="282" w:name="_Toc225155785"/>
      <w:r w:rsidRPr="000F23E0">
        <w:t xml:space="preserve">Table </w:t>
      </w:r>
      <w:r w:rsidR="0068550D" w:rsidRPr="000F23E0">
        <w:t>30:</w:t>
      </w:r>
      <w:r w:rsidR="00DA616D" w:rsidRPr="000F23E0">
        <w:t xml:space="preserve"> Allocation </w:t>
      </w:r>
      <w:r w:rsidR="001E7CD5" w:rsidRPr="000F23E0">
        <w:t>d</w:t>
      </w:r>
      <w:r w:rsidR="00DA616D" w:rsidRPr="000F23E0">
        <w:t xml:space="preserve">ata for </w:t>
      </w:r>
      <w:r w:rsidR="001E7CD5" w:rsidRPr="000F23E0">
        <w:t>i</w:t>
      </w:r>
      <w:r w:rsidR="00DA616D" w:rsidRPr="000F23E0">
        <w:t xml:space="preserve">nternational </w:t>
      </w:r>
      <w:r w:rsidR="001E7CD5" w:rsidRPr="000F23E0">
        <w:t>c</w:t>
      </w:r>
      <w:r w:rsidR="00DA616D" w:rsidRPr="000F23E0">
        <w:t xml:space="preserve">limate </w:t>
      </w:r>
      <w:r w:rsidR="001E7CD5" w:rsidRPr="000F23E0">
        <w:t>f</w:t>
      </w:r>
      <w:r w:rsidR="00DA616D" w:rsidRPr="000F23E0">
        <w:t>inance projects ($ million)</w:t>
      </w:r>
      <w:bookmarkEnd w:id="277"/>
      <w:bookmarkEnd w:id="278"/>
      <w:bookmarkEnd w:id="279"/>
      <w:bookmarkEnd w:id="280"/>
      <w:bookmarkEnd w:id="281"/>
      <w:bookmarkEnd w:id="282"/>
    </w:p>
    <w:tbl>
      <w:tblPr>
        <w:tblStyle w:val="GridTable4-Accent2"/>
        <w:tblW w:w="5000" w:type="pct"/>
        <w:tblInd w:w="-3" w:type="dxa"/>
        <w:tblBorders>
          <w:top w:val="single" w:sz="4" w:space="0" w:color="DFA795"/>
          <w:bottom w:val="single" w:sz="4" w:space="0" w:color="DFA795"/>
          <w:insideH w:val="single" w:sz="4" w:space="0" w:color="DFA795"/>
        </w:tblBorders>
        <w:tblLayout w:type="fixed"/>
        <w:tblLook w:val="04A0" w:firstRow="1" w:lastRow="0" w:firstColumn="1" w:lastColumn="0" w:noHBand="0" w:noVBand="1"/>
      </w:tblPr>
      <w:tblGrid>
        <w:gridCol w:w="1131"/>
        <w:gridCol w:w="3267"/>
        <w:gridCol w:w="1128"/>
        <w:gridCol w:w="1049"/>
        <w:gridCol w:w="1512"/>
        <w:gridCol w:w="983"/>
      </w:tblGrid>
      <w:tr w:rsidR="00EB7950" w:rsidRPr="000F23E0" w14:paraId="14626797" w14:textId="77777777" w:rsidTr="0048145F">
        <w:trPr>
          <w:cnfStyle w:val="100000000000" w:firstRow="1" w:lastRow="0" w:firstColumn="0" w:lastColumn="0" w:oddVBand="0" w:evenVBand="0" w:oddHBand="0" w:evenHBand="0" w:firstRowFirstColumn="0" w:firstRowLastColumn="0" w:lastRowFirstColumn="0" w:lastRowLastColumn="0"/>
          <w:trHeight w:val="308"/>
          <w:tblHeader/>
        </w:trPr>
        <w:tc>
          <w:tcPr>
            <w:cnfStyle w:val="001000000000" w:firstRow="0" w:lastRow="0" w:firstColumn="1" w:lastColumn="0" w:oddVBand="0" w:evenVBand="0" w:oddHBand="0" w:evenHBand="0" w:firstRowFirstColumn="0" w:firstRowLastColumn="0" w:lastRowFirstColumn="0" w:lastRowLastColumn="0"/>
            <w:tcW w:w="1130" w:type="dxa"/>
            <w:shd w:val="clear" w:color="auto" w:fill="F1D0C6"/>
          </w:tcPr>
          <w:p w14:paraId="3AC4DC5D" w14:textId="0768ABB8" w:rsidR="004015C7" w:rsidRPr="000F23E0" w:rsidRDefault="004015C7" w:rsidP="0055685D">
            <w:pPr>
              <w:pStyle w:val="TableColumnHeadingLeft"/>
              <w:rPr>
                <w:b/>
                <w:bCs w:val="0"/>
              </w:rPr>
            </w:pPr>
            <w:r w:rsidRPr="000F23E0">
              <w:rPr>
                <w:b/>
                <w:bCs w:val="0"/>
              </w:rPr>
              <w:t>Eligible Green Expenditure</w:t>
            </w:r>
          </w:p>
        </w:tc>
        <w:tc>
          <w:tcPr>
            <w:tcW w:w="3263" w:type="dxa"/>
            <w:shd w:val="clear" w:color="auto" w:fill="F1D0C6"/>
          </w:tcPr>
          <w:p w14:paraId="607F9851" w14:textId="2E602DAC" w:rsidR="004015C7" w:rsidRPr="000F23E0" w:rsidRDefault="004015C7" w:rsidP="0055685D">
            <w:pPr>
              <w:pStyle w:val="TableColumnHeadingLeft"/>
              <w:cnfStyle w:val="100000000000" w:firstRow="1" w:lastRow="0" w:firstColumn="0" w:lastColumn="0" w:oddVBand="0" w:evenVBand="0" w:oddHBand="0" w:evenHBand="0" w:firstRowFirstColumn="0" w:firstRowLastColumn="0" w:lastRowFirstColumn="0" w:lastRowLastColumn="0"/>
              <w:rPr>
                <w:rFonts w:cstheme="minorHAnsi"/>
                <w:b/>
                <w:bCs w:val="0"/>
                <w:szCs w:val="18"/>
              </w:rPr>
            </w:pPr>
            <w:r w:rsidRPr="000F23E0">
              <w:rPr>
                <w:b/>
                <w:bCs w:val="0"/>
              </w:rPr>
              <w:t>Projects supported</w:t>
            </w:r>
          </w:p>
        </w:tc>
        <w:tc>
          <w:tcPr>
            <w:tcW w:w="1127" w:type="dxa"/>
            <w:shd w:val="clear" w:color="auto" w:fill="F1D0C6"/>
          </w:tcPr>
          <w:p w14:paraId="479A76CC" w14:textId="2906B06B" w:rsidR="004015C7" w:rsidRPr="000F23E0" w:rsidRDefault="004015C7" w:rsidP="0055685D">
            <w:pPr>
              <w:pStyle w:val="TableColumnHeadingRight"/>
              <w:cnfStyle w:val="100000000000" w:firstRow="1" w:lastRow="0" w:firstColumn="0" w:lastColumn="0" w:oddVBand="0" w:evenVBand="0" w:oddHBand="0" w:evenHBand="0" w:firstRowFirstColumn="0" w:firstRowLastColumn="0" w:lastRowFirstColumn="0" w:lastRowLastColumn="0"/>
              <w:rPr>
                <w:rFonts w:cstheme="minorHAnsi"/>
                <w:b/>
                <w:bCs w:val="0"/>
                <w:szCs w:val="18"/>
              </w:rPr>
            </w:pPr>
            <w:r w:rsidRPr="000F23E0">
              <w:rPr>
                <w:b/>
                <w:bCs w:val="0"/>
              </w:rPr>
              <w:t xml:space="preserve">2024–25 Expenditure </w:t>
            </w:r>
          </w:p>
        </w:tc>
        <w:tc>
          <w:tcPr>
            <w:tcW w:w="1048" w:type="dxa"/>
            <w:shd w:val="clear" w:color="auto" w:fill="F1D0C6"/>
          </w:tcPr>
          <w:p w14:paraId="1A0341B5" w14:textId="60CD24AB" w:rsidR="004015C7" w:rsidRPr="000F23E0" w:rsidRDefault="004015C7" w:rsidP="0055685D">
            <w:pPr>
              <w:pStyle w:val="TableColumnHeadingRight"/>
              <w:cnfStyle w:val="100000000000" w:firstRow="1" w:lastRow="0" w:firstColumn="0" w:lastColumn="0" w:oddVBand="0" w:evenVBand="0" w:oddHBand="0" w:evenHBand="0" w:firstRowFirstColumn="0" w:firstRowLastColumn="0" w:lastRowFirstColumn="0" w:lastRowLastColumn="0"/>
              <w:rPr>
                <w:rFonts w:cstheme="minorHAnsi"/>
                <w:b/>
                <w:bCs w:val="0"/>
                <w:szCs w:val="18"/>
              </w:rPr>
            </w:pPr>
            <w:r w:rsidRPr="000F23E0">
              <w:rPr>
                <w:b/>
                <w:bCs w:val="0"/>
              </w:rPr>
              <w:t xml:space="preserve">2024–25 Allocation </w:t>
            </w:r>
          </w:p>
        </w:tc>
        <w:tc>
          <w:tcPr>
            <w:tcW w:w="1510" w:type="dxa"/>
            <w:shd w:val="clear" w:color="auto" w:fill="F1D0C6"/>
          </w:tcPr>
          <w:p w14:paraId="09FC6DE9" w14:textId="641A086F" w:rsidR="004015C7" w:rsidRPr="000F23E0" w:rsidRDefault="004015C7" w:rsidP="0055685D">
            <w:pPr>
              <w:pStyle w:val="TableColumnHeadingRight"/>
              <w:cnfStyle w:val="100000000000" w:firstRow="1" w:lastRow="0" w:firstColumn="0" w:lastColumn="0" w:oddVBand="0" w:evenVBand="0" w:oddHBand="0" w:evenHBand="0" w:firstRowFirstColumn="0" w:firstRowLastColumn="0" w:lastRowFirstColumn="0" w:lastRowLastColumn="0"/>
              <w:rPr>
                <w:rFonts w:cstheme="minorHAnsi"/>
                <w:b/>
                <w:bCs w:val="0"/>
                <w:szCs w:val="18"/>
              </w:rPr>
            </w:pPr>
            <w:r w:rsidRPr="000F23E0">
              <w:rPr>
                <w:b/>
                <w:bCs w:val="0"/>
              </w:rPr>
              <w:t xml:space="preserve">Total Australian Government Contribution </w:t>
            </w:r>
          </w:p>
        </w:tc>
        <w:tc>
          <w:tcPr>
            <w:tcW w:w="982" w:type="dxa"/>
            <w:shd w:val="clear" w:color="auto" w:fill="F1D0C6"/>
          </w:tcPr>
          <w:p w14:paraId="34113D1E" w14:textId="31126ECD" w:rsidR="004015C7" w:rsidRPr="000F23E0" w:rsidRDefault="004015C7" w:rsidP="0055685D">
            <w:pPr>
              <w:pStyle w:val="TableColumnHeadingRight"/>
              <w:cnfStyle w:val="100000000000" w:firstRow="1" w:lastRow="0" w:firstColumn="0" w:lastColumn="0" w:oddVBand="0" w:evenVBand="0" w:oddHBand="0" w:evenHBand="0" w:firstRowFirstColumn="0" w:firstRowLastColumn="0" w:lastRowFirstColumn="0" w:lastRowLastColumn="0"/>
              <w:rPr>
                <w:rFonts w:cstheme="minorHAnsi"/>
                <w:b/>
                <w:bCs w:val="0"/>
                <w:szCs w:val="18"/>
              </w:rPr>
            </w:pPr>
            <w:r w:rsidRPr="000F23E0">
              <w:rPr>
                <w:b/>
                <w:bCs w:val="0"/>
              </w:rPr>
              <w:t xml:space="preserve">Total Cost of Project </w:t>
            </w:r>
          </w:p>
        </w:tc>
      </w:tr>
      <w:tr w:rsidR="00EB7950" w:rsidRPr="000F23E0" w14:paraId="780A8058" w14:textId="77777777" w:rsidTr="0048145F">
        <w:trPr>
          <w:trHeight w:val="258"/>
        </w:trPr>
        <w:tc>
          <w:tcPr>
            <w:cnfStyle w:val="001000000000" w:firstRow="0" w:lastRow="0" w:firstColumn="1" w:lastColumn="0" w:oddVBand="0" w:evenVBand="0" w:oddHBand="0" w:evenHBand="0" w:firstRowFirstColumn="0" w:firstRowLastColumn="0" w:lastRowFirstColumn="0" w:lastRowLastColumn="0"/>
            <w:tcW w:w="1130" w:type="dxa"/>
            <w:vMerge w:val="restart"/>
            <w:shd w:val="clear" w:color="auto" w:fill="FDF0E7"/>
          </w:tcPr>
          <w:p w14:paraId="3E5BE366" w14:textId="09A9B0CA" w:rsidR="004015C7" w:rsidRPr="000F23E0" w:rsidRDefault="004015C7" w:rsidP="0055685D">
            <w:pPr>
              <w:pStyle w:val="TableTextLeft"/>
              <w:rPr>
                <w:rFonts w:cstheme="minorHAnsi"/>
                <w:b/>
                <w:bCs w:val="0"/>
                <w:color w:val="000000"/>
                <w:szCs w:val="18"/>
              </w:rPr>
            </w:pPr>
            <w:r w:rsidRPr="000F23E0">
              <w:t>International climate finance projects</w:t>
            </w:r>
          </w:p>
        </w:tc>
        <w:tc>
          <w:tcPr>
            <w:tcW w:w="3263" w:type="dxa"/>
            <w:shd w:val="clear" w:color="auto" w:fill="FEFAF8"/>
          </w:tcPr>
          <w:p w14:paraId="008C3DA2" w14:textId="077F6BEC" w:rsidR="004015C7" w:rsidRPr="000F23E0" w:rsidRDefault="004015C7" w:rsidP="0055685D">
            <w:pPr>
              <w:pStyle w:val="TableTextLeft"/>
              <w:cnfStyle w:val="000000000000" w:firstRow="0" w:lastRow="0" w:firstColumn="0" w:lastColumn="0" w:oddVBand="0" w:evenVBand="0" w:oddHBand="0" w:evenHBand="0" w:firstRowFirstColumn="0" w:firstRowLastColumn="0" w:lastRowFirstColumn="0" w:lastRowLastColumn="0"/>
              <w:rPr>
                <w:rFonts w:eastAsiaTheme="majorEastAsia"/>
              </w:rPr>
            </w:pPr>
            <w:r w:rsidRPr="000F23E0">
              <w:t>Climate Resilient Communities (CRC)</w:t>
            </w:r>
          </w:p>
        </w:tc>
        <w:tc>
          <w:tcPr>
            <w:tcW w:w="1127" w:type="dxa"/>
            <w:shd w:val="clear" w:color="auto" w:fill="FEFAF8"/>
          </w:tcPr>
          <w:p w14:paraId="4183B11B" w14:textId="123C7DDF" w:rsidR="004015C7" w:rsidRPr="000F23E0" w:rsidRDefault="004015C7" w:rsidP="00D95811">
            <w:pPr>
              <w:pStyle w:val="TableTextRight"/>
              <w:cnfStyle w:val="000000000000" w:firstRow="0" w:lastRow="0" w:firstColumn="0" w:lastColumn="0" w:oddVBand="0" w:evenVBand="0" w:oddHBand="0" w:evenHBand="0" w:firstRowFirstColumn="0" w:firstRowLastColumn="0" w:lastRowFirstColumn="0" w:lastRowLastColumn="0"/>
            </w:pPr>
            <w:r w:rsidRPr="000F23E0">
              <w:t>26.5</w:t>
            </w:r>
          </w:p>
        </w:tc>
        <w:tc>
          <w:tcPr>
            <w:tcW w:w="1048" w:type="dxa"/>
            <w:shd w:val="clear" w:color="auto" w:fill="FEFAF8"/>
          </w:tcPr>
          <w:p w14:paraId="38E978C7" w14:textId="6602E0AD" w:rsidR="004015C7" w:rsidRPr="000F23E0" w:rsidRDefault="004015C7" w:rsidP="00D95811">
            <w:pPr>
              <w:pStyle w:val="TableTextRight"/>
              <w:cnfStyle w:val="000000000000" w:firstRow="0" w:lastRow="0" w:firstColumn="0" w:lastColumn="0" w:oddVBand="0" w:evenVBand="0" w:oddHBand="0" w:evenHBand="0" w:firstRowFirstColumn="0" w:firstRowLastColumn="0" w:lastRowFirstColumn="0" w:lastRowLastColumn="0"/>
            </w:pPr>
            <w:r w:rsidRPr="000F23E0">
              <w:t>14.3</w:t>
            </w:r>
          </w:p>
        </w:tc>
        <w:tc>
          <w:tcPr>
            <w:tcW w:w="1510" w:type="dxa"/>
            <w:shd w:val="clear" w:color="auto" w:fill="FEFAF8"/>
          </w:tcPr>
          <w:p w14:paraId="6FCB3F7C" w14:textId="77777777" w:rsidR="004015C7" w:rsidRPr="000F23E0" w:rsidRDefault="004015C7" w:rsidP="00D95811">
            <w:pPr>
              <w:pStyle w:val="TableTextRight"/>
              <w:cnfStyle w:val="000000000000" w:firstRow="0" w:lastRow="0" w:firstColumn="0" w:lastColumn="0" w:oddVBand="0" w:evenVBand="0" w:oddHBand="0" w:evenHBand="0" w:firstRowFirstColumn="0" w:firstRowLastColumn="0" w:lastRowFirstColumn="0" w:lastRowLastColumn="0"/>
            </w:pPr>
            <w:r w:rsidRPr="000F23E0">
              <w:t>N/A</w:t>
            </w:r>
          </w:p>
        </w:tc>
        <w:tc>
          <w:tcPr>
            <w:tcW w:w="982" w:type="dxa"/>
            <w:shd w:val="clear" w:color="auto" w:fill="FEFAF8"/>
          </w:tcPr>
          <w:p w14:paraId="634F660A" w14:textId="77777777" w:rsidR="004015C7" w:rsidRPr="000F23E0" w:rsidRDefault="004015C7" w:rsidP="00D95811">
            <w:pPr>
              <w:pStyle w:val="TableTextRight"/>
              <w:cnfStyle w:val="000000000000" w:firstRow="0" w:lastRow="0" w:firstColumn="0" w:lastColumn="0" w:oddVBand="0" w:evenVBand="0" w:oddHBand="0" w:evenHBand="0" w:firstRowFirstColumn="0" w:firstRowLastColumn="0" w:lastRowFirstColumn="0" w:lastRowLastColumn="0"/>
            </w:pPr>
            <w:r w:rsidRPr="000F23E0">
              <w:t>N/A</w:t>
            </w:r>
          </w:p>
        </w:tc>
      </w:tr>
      <w:tr w:rsidR="00EB7950" w:rsidRPr="000F23E0" w14:paraId="6F59C99D" w14:textId="77777777" w:rsidTr="0048145F">
        <w:trPr>
          <w:trHeight w:val="258"/>
        </w:trPr>
        <w:tc>
          <w:tcPr>
            <w:cnfStyle w:val="001000000000" w:firstRow="0" w:lastRow="0" w:firstColumn="1" w:lastColumn="0" w:oddVBand="0" w:evenVBand="0" w:oddHBand="0" w:evenHBand="0" w:firstRowFirstColumn="0" w:firstRowLastColumn="0" w:lastRowFirstColumn="0" w:lastRowLastColumn="0"/>
            <w:tcW w:w="1130" w:type="dxa"/>
            <w:vMerge/>
            <w:shd w:val="clear" w:color="auto" w:fill="FDF0E7"/>
          </w:tcPr>
          <w:p w14:paraId="4B5948AF" w14:textId="77777777" w:rsidR="004015C7" w:rsidRPr="000F23E0" w:rsidRDefault="004015C7" w:rsidP="00D6435A">
            <w:pPr>
              <w:pStyle w:val="TableTextLeft"/>
              <w:rPr>
                <w:rFonts w:cstheme="minorHAnsi"/>
                <w:b/>
                <w:bCs w:val="0"/>
                <w:color w:val="000000"/>
                <w:szCs w:val="18"/>
              </w:rPr>
            </w:pPr>
          </w:p>
        </w:tc>
        <w:tc>
          <w:tcPr>
            <w:tcW w:w="3263" w:type="dxa"/>
            <w:shd w:val="clear" w:color="auto" w:fill="FEFAF8"/>
          </w:tcPr>
          <w:p w14:paraId="45EAB3B1" w14:textId="322B89FC" w:rsidR="004015C7" w:rsidRPr="000F23E0" w:rsidRDefault="004015C7" w:rsidP="0055685D">
            <w:pPr>
              <w:pStyle w:val="TableTextLeft"/>
              <w:cnfStyle w:val="000000000000" w:firstRow="0" w:lastRow="0" w:firstColumn="0" w:lastColumn="0" w:oddVBand="0" w:evenVBand="0" w:oddHBand="0" w:evenHBand="0" w:firstRowFirstColumn="0" w:firstRowLastColumn="0" w:lastRowFirstColumn="0" w:lastRowLastColumn="0"/>
              <w:rPr>
                <w:rFonts w:eastAsiaTheme="majorEastAsia"/>
              </w:rPr>
            </w:pPr>
            <w:r w:rsidRPr="000F23E0">
              <w:t>SHIELD Against Disasters &amp; Climate Change Program (Philippines)</w:t>
            </w:r>
          </w:p>
        </w:tc>
        <w:tc>
          <w:tcPr>
            <w:tcW w:w="1127" w:type="dxa"/>
            <w:shd w:val="clear" w:color="auto" w:fill="FEFAF8"/>
          </w:tcPr>
          <w:p w14:paraId="429168E1" w14:textId="6C9EA0D6" w:rsidR="004015C7" w:rsidRPr="000F23E0" w:rsidRDefault="004015C7" w:rsidP="00D95811">
            <w:pPr>
              <w:pStyle w:val="TableTextRight"/>
              <w:cnfStyle w:val="000000000000" w:firstRow="0" w:lastRow="0" w:firstColumn="0" w:lastColumn="0" w:oddVBand="0" w:evenVBand="0" w:oddHBand="0" w:evenHBand="0" w:firstRowFirstColumn="0" w:firstRowLastColumn="0" w:lastRowFirstColumn="0" w:lastRowLastColumn="0"/>
            </w:pPr>
            <w:r w:rsidRPr="000F23E0">
              <w:t>3.6</w:t>
            </w:r>
          </w:p>
        </w:tc>
        <w:tc>
          <w:tcPr>
            <w:tcW w:w="1048" w:type="dxa"/>
            <w:shd w:val="clear" w:color="auto" w:fill="FEFAF8"/>
          </w:tcPr>
          <w:p w14:paraId="493899C5" w14:textId="2FF36EC4" w:rsidR="004015C7" w:rsidRPr="000F23E0" w:rsidRDefault="004015C7" w:rsidP="00D95811">
            <w:pPr>
              <w:pStyle w:val="TableTextRight"/>
              <w:cnfStyle w:val="000000000000" w:firstRow="0" w:lastRow="0" w:firstColumn="0" w:lastColumn="0" w:oddVBand="0" w:evenVBand="0" w:oddHBand="0" w:evenHBand="0" w:firstRowFirstColumn="0" w:firstRowLastColumn="0" w:lastRowFirstColumn="0" w:lastRowLastColumn="0"/>
            </w:pPr>
            <w:r w:rsidRPr="000F23E0">
              <w:t>1.9</w:t>
            </w:r>
          </w:p>
        </w:tc>
        <w:tc>
          <w:tcPr>
            <w:tcW w:w="1510" w:type="dxa"/>
            <w:shd w:val="clear" w:color="auto" w:fill="FEFAF8"/>
          </w:tcPr>
          <w:p w14:paraId="1B70015F" w14:textId="77777777" w:rsidR="004015C7" w:rsidRPr="000F23E0" w:rsidRDefault="004015C7" w:rsidP="00D95811">
            <w:pPr>
              <w:pStyle w:val="TableTextRight"/>
              <w:cnfStyle w:val="000000000000" w:firstRow="0" w:lastRow="0" w:firstColumn="0" w:lastColumn="0" w:oddVBand="0" w:evenVBand="0" w:oddHBand="0" w:evenHBand="0" w:firstRowFirstColumn="0" w:firstRowLastColumn="0" w:lastRowFirstColumn="0" w:lastRowLastColumn="0"/>
            </w:pPr>
            <w:r w:rsidRPr="000F23E0">
              <w:t>N/A</w:t>
            </w:r>
          </w:p>
        </w:tc>
        <w:tc>
          <w:tcPr>
            <w:tcW w:w="982" w:type="dxa"/>
            <w:shd w:val="clear" w:color="auto" w:fill="FEFAF8"/>
          </w:tcPr>
          <w:p w14:paraId="32F15515" w14:textId="77777777" w:rsidR="004015C7" w:rsidRPr="000F23E0" w:rsidRDefault="004015C7" w:rsidP="00D95811">
            <w:pPr>
              <w:pStyle w:val="TableTextRight"/>
              <w:cnfStyle w:val="000000000000" w:firstRow="0" w:lastRow="0" w:firstColumn="0" w:lastColumn="0" w:oddVBand="0" w:evenVBand="0" w:oddHBand="0" w:evenHBand="0" w:firstRowFirstColumn="0" w:firstRowLastColumn="0" w:lastRowFirstColumn="0" w:lastRowLastColumn="0"/>
            </w:pPr>
            <w:r w:rsidRPr="000F23E0">
              <w:t>N/A</w:t>
            </w:r>
          </w:p>
        </w:tc>
      </w:tr>
      <w:tr w:rsidR="00EB7950" w:rsidRPr="000F23E0" w14:paraId="7594467F" w14:textId="77777777" w:rsidTr="0048145F">
        <w:trPr>
          <w:trHeight w:val="258"/>
        </w:trPr>
        <w:tc>
          <w:tcPr>
            <w:cnfStyle w:val="001000000000" w:firstRow="0" w:lastRow="0" w:firstColumn="1" w:lastColumn="0" w:oddVBand="0" w:evenVBand="0" w:oddHBand="0" w:evenHBand="0" w:firstRowFirstColumn="0" w:firstRowLastColumn="0" w:lastRowFirstColumn="0" w:lastRowLastColumn="0"/>
            <w:tcW w:w="1130" w:type="dxa"/>
            <w:vMerge/>
            <w:shd w:val="clear" w:color="auto" w:fill="FDF0E7"/>
          </w:tcPr>
          <w:p w14:paraId="7F42E6F4" w14:textId="77777777" w:rsidR="004015C7" w:rsidRPr="000F23E0" w:rsidRDefault="004015C7" w:rsidP="00D6435A">
            <w:pPr>
              <w:pStyle w:val="TableTextLeft"/>
              <w:rPr>
                <w:rFonts w:cstheme="minorHAnsi"/>
                <w:b/>
                <w:bCs w:val="0"/>
                <w:color w:val="000000"/>
                <w:szCs w:val="18"/>
              </w:rPr>
            </w:pPr>
          </w:p>
        </w:tc>
        <w:tc>
          <w:tcPr>
            <w:tcW w:w="3263" w:type="dxa"/>
            <w:shd w:val="clear" w:color="auto" w:fill="FEFAF8"/>
          </w:tcPr>
          <w:p w14:paraId="629874B5" w14:textId="742309FB" w:rsidR="004015C7" w:rsidRPr="000F23E0" w:rsidRDefault="004015C7" w:rsidP="0055685D">
            <w:pPr>
              <w:pStyle w:val="TableTextLeft"/>
              <w:cnfStyle w:val="000000000000" w:firstRow="0" w:lastRow="0" w:firstColumn="0" w:lastColumn="0" w:oddVBand="0" w:evenVBand="0" w:oddHBand="0" w:evenHBand="0" w:firstRowFirstColumn="0" w:firstRowLastColumn="0" w:lastRowFirstColumn="0" w:lastRowLastColumn="0"/>
              <w:rPr>
                <w:rFonts w:eastAsiaTheme="majorEastAsia"/>
              </w:rPr>
            </w:pPr>
            <w:r w:rsidRPr="000F23E0">
              <w:t>Inclusive Water Governance and Strengthening Climate Resilience in the Mekong Region</w:t>
            </w:r>
          </w:p>
        </w:tc>
        <w:tc>
          <w:tcPr>
            <w:tcW w:w="1127" w:type="dxa"/>
            <w:shd w:val="clear" w:color="auto" w:fill="FEFAF8"/>
          </w:tcPr>
          <w:p w14:paraId="600848DF" w14:textId="49A9B665" w:rsidR="004015C7" w:rsidRPr="000F23E0" w:rsidRDefault="004015C7" w:rsidP="00D95811">
            <w:pPr>
              <w:pStyle w:val="TableTextRight"/>
              <w:cnfStyle w:val="000000000000" w:firstRow="0" w:lastRow="0" w:firstColumn="0" w:lastColumn="0" w:oddVBand="0" w:evenVBand="0" w:oddHBand="0" w:evenHBand="0" w:firstRowFirstColumn="0" w:firstRowLastColumn="0" w:lastRowFirstColumn="0" w:lastRowLastColumn="0"/>
            </w:pPr>
            <w:r w:rsidRPr="000F23E0">
              <w:t>0.5</w:t>
            </w:r>
          </w:p>
        </w:tc>
        <w:tc>
          <w:tcPr>
            <w:tcW w:w="1048" w:type="dxa"/>
            <w:shd w:val="clear" w:color="auto" w:fill="FEFAF8"/>
          </w:tcPr>
          <w:p w14:paraId="45AAAB03" w14:textId="525AB836" w:rsidR="004015C7" w:rsidRPr="000F23E0" w:rsidRDefault="004015C7" w:rsidP="00D95811">
            <w:pPr>
              <w:pStyle w:val="TableTextRight"/>
              <w:cnfStyle w:val="000000000000" w:firstRow="0" w:lastRow="0" w:firstColumn="0" w:lastColumn="0" w:oddVBand="0" w:evenVBand="0" w:oddHBand="0" w:evenHBand="0" w:firstRowFirstColumn="0" w:firstRowLastColumn="0" w:lastRowFirstColumn="0" w:lastRowLastColumn="0"/>
            </w:pPr>
            <w:r w:rsidRPr="000F23E0">
              <w:t>0.3</w:t>
            </w:r>
          </w:p>
        </w:tc>
        <w:tc>
          <w:tcPr>
            <w:tcW w:w="1510" w:type="dxa"/>
            <w:shd w:val="clear" w:color="auto" w:fill="FEFAF8"/>
          </w:tcPr>
          <w:p w14:paraId="3F6F7DE9" w14:textId="77777777" w:rsidR="004015C7" w:rsidRPr="000F23E0" w:rsidRDefault="004015C7" w:rsidP="00D95811">
            <w:pPr>
              <w:pStyle w:val="TableTextRight"/>
              <w:cnfStyle w:val="000000000000" w:firstRow="0" w:lastRow="0" w:firstColumn="0" w:lastColumn="0" w:oddVBand="0" w:evenVBand="0" w:oddHBand="0" w:evenHBand="0" w:firstRowFirstColumn="0" w:firstRowLastColumn="0" w:lastRowFirstColumn="0" w:lastRowLastColumn="0"/>
            </w:pPr>
            <w:r w:rsidRPr="000F23E0">
              <w:t>N/A</w:t>
            </w:r>
          </w:p>
        </w:tc>
        <w:tc>
          <w:tcPr>
            <w:tcW w:w="982" w:type="dxa"/>
            <w:shd w:val="clear" w:color="auto" w:fill="FEFAF8"/>
          </w:tcPr>
          <w:p w14:paraId="333E3C18" w14:textId="77777777" w:rsidR="004015C7" w:rsidRPr="000F23E0" w:rsidRDefault="004015C7" w:rsidP="00D95811">
            <w:pPr>
              <w:pStyle w:val="TableTextRight"/>
              <w:cnfStyle w:val="000000000000" w:firstRow="0" w:lastRow="0" w:firstColumn="0" w:lastColumn="0" w:oddVBand="0" w:evenVBand="0" w:oddHBand="0" w:evenHBand="0" w:firstRowFirstColumn="0" w:firstRowLastColumn="0" w:lastRowFirstColumn="0" w:lastRowLastColumn="0"/>
            </w:pPr>
            <w:r w:rsidRPr="000F23E0">
              <w:t>N/A</w:t>
            </w:r>
          </w:p>
        </w:tc>
      </w:tr>
      <w:tr w:rsidR="00EB7950" w:rsidRPr="000F23E0" w14:paraId="016509FD" w14:textId="77777777" w:rsidTr="0048145F">
        <w:trPr>
          <w:trHeight w:val="258"/>
        </w:trPr>
        <w:tc>
          <w:tcPr>
            <w:cnfStyle w:val="001000000000" w:firstRow="0" w:lastRow="0" w:firstColumn="1" w:lastColumn="0" w:oddVBand="0" w:evenVBand="0" w:oddHBand="0" w:evenHBand="0" w:firstRowFirstColumn="0" w:firstRowLastColumn="0" w:lastRowFirstColumn="0" w:lastRowLastColumn="0"/>
            <w:tcW w:w="1130" w:type="dxa"/>
            <w:vMerge/>
          </w:tcPr>
          <w:p w14:paraId="377EB1EC" w14:textId="77777777" w:rsidR="004015C7" w:rsidRPr="000F23E0" w:rsidRDefault="004015C7" w:rsidP="00D6435A">
            <w:pPr>
              <w:pStyle w:val="TableTextLeft"/>
              <w:rPr>
                <w:rFonts w:cstheme="minorHAnsi"/>
                <w:b/>
                <w:bCs w:val="0"/>
                <w:color w:val="000000"/>
                <w:szCs w:val="18"/>
              </w:rPr>
            </w:pPr>
          </w:p>
        </w:tc>
        <w:tc>
          <w:tcPr>
            <w:tcW w:w="3263" w:type="dxa"/>
            <w:shd w:val="clear" w:color="auto" w:fill="FEFAF8"/>
          </w:tcPr>
          <w:p w14:paraId="546177E9" w14:textId="3DC0B9C2" w:rsidR="004015C7" w:rsidRPr="000F23E0" w:rsidRDefault="004015C7" w:rsidP="0055685D">
            <w:pPr>
              <w:pStyle w:val="TableTextLeft"/>
              <w:cnfStyle w:val="000000000000" w:firstRow="0" w:lastRow="0" w:firstColumn="0" w:lastColumn="0" w:oddVBand="0" w:evenVBand="0" w:oddHBand="0" w:evenHBand="0" w:firstRowFirstColumn="0" w:firstRowLastColumn="0" w:lastRowFirstColumn="0" w:lastRowLastColumn="0"/>
              <w:rPr>
                <w:rFonts w:eastAsiaTheme="majorEastAsia"/>
              </w:rPr>
            </w:pPr>
            <w:r w:rsidRPr="000F23E0">
              <w:t>Building capabilities for green, climate resilient and inclusive dev. in lower Koshi</w:t>
            </w:r>
            <w:r w:rsidR="00BB60BE" w:rsidRPr="000F23E0">
              <w:t> </w:t>
            </w:r>
            <w:r w:rsidR="007E7CD5" w:rsidRPr="000F23E0">
              <w:t>R</w:t>
            </w:r>
            <w:r w:rsidR="00D6435A" w:rsidRPr="000F23E0">
              <w:t>iver</w:t>
            </w:r>
            <w:r w:rsidRPr="000F23E0">
              <w:t xml:space="preserve"> basin</w:t>
            </w:r>
          </w:p>
        </w:tc>
        <w:tc>
          <w:tcPr>
            <w:tcW w:w="1127" w:type="dxa"/>
            <w:shd w:val="clear" w:color="auto" w:fill="FEFAF8"/>
          </w:tcPr>
          <w:p w14:paraId="00EBC77A" w14:textId="540DA433" w:rsidR="004015C7" w:rsidRPr="000F23E0" w:rsidRDefault="004015C7" w:rsidP="00D95811">
            <w:pPr>
              <w:pStyle w:val="TableTextRight"/>
              <w:cnfStyle w:val="000000000000" w:firstRow="0" w:lastRow="0" w:firstColumn="0" w:lastColumn="0" w:oddVBand="0" w:evenVBand="0" w:oddHBand="0" w:evenHBand="0" w:firstRowFirstColumn="0" w:firstRowLastColumn="0" w:lastRowFirstColumn="0" w:lastRowLastColumn="0"/>
            </w:pPr>
            <w:r w:rsidRPr="000F23E0">
              <w:t>1.0</w:t>
            </w:r>
          </w:p>
        </w:tc>
        <w:tc>
          <w:tcPr>
            <w:tcW w:w="1048" w:type="dxa"/>
            <w:shd w:val="clear" w:color="auto" w:fill="FEFAF8"/>
          </w:tcPr>
          <w:p w14:paraId="03801790" w14:textId="79C232DF" w:rsidR="004015C7" w:rsidRPr="000F23E0" w:rsidRDefault="004015C7" w:rsidP="00D95811">
            <w:pPr>
              <w:pStyle w:val="TableTextRight"/>
              <w:cnfStyle w:val="000000000000" w:firstRow="0" w:lastRow="0" w:firstColumn="0" w:lastColumn="0" w:oddVBand="0" w:evenVBand="0" w:oddHBand="0" w:evenHBand="0" w:firstRowFirstColumn="0" w:firstRowLastColumn="0" w:lastRowFirstColumn="0" w:lastRowLastColumn="0"/>
            </w:pPr>
            <w:r w:rsidRPr="000F23E0">
              <w:t>0.5</w:t>
            </w:r>
          </w:p>
        </w:tc>
        <w:tc>
          <w:tcPr>
            <w:tcW w:w="1510" w:type="dxa"/>
            <w:shd w:val="clear" w:color="auto" w:fill="FEFAF8"/>
          </w:tcPr>
          <w:p w14:paraId="64149779" w14:textId="77777777" w:rsidR="004015C7" w:rsidRPr="000F23E0" w:rsidRDefault="004015C7" w:rsidP="00D95811">
            <w:pPr>
              <w:pStyle w:val="TableTextRight"/>
              <w:cnfStyle w:val="000000000000" w:firstRow="0" w:lastRow="0" w:firstColumn="0" w:lastColumn="0" w:oddVBand="0" w:evenVBand="0" w:oddHBand="0" w:evenHBand="0" w:firstRowFirstColumn="0" w:firstRowLastColumn="0" w:lastRowFirstColumn="0" w:lastRowLastColumn="0"/>
            </w:pPr>
            <w:r w:rsidRPr="000F23E0">
              <w:t>N/A</w:t>
            </w:r>
          </w:p>
        </w:tc>
        <w:tc>
          <w:tcPr>
            <w:tcW w:w="982" w:type="dxa"/>
            <w:shd w:val="clear" w:color="auto" w:fill="FEFAF8"/>
          </w:tcPr>
          <w:p w14:paraId="0503E496" w14:textId="77777777" w:rsidR="004015C7" w:rsidRPr="000F23E0" w:rsidRDefault="004015C7" w:rsidP="00D95811">
            <w:pPr>
              <w:pStyle w:val="TableTextRight"/>
              <w:cnfStyle w:val="000000000000" w:firstRow="0" w:lastRow="0" w:firstColumn="0" w:lastColumn="0" w:oddVBand="0" w:evenVBand="0" w:oddHBand="0" w:evenHBand="0" w:firstRowFirstColumn="0" w:firstRowLastColumn="0" w:lastRowFirstColumn="0" w:lastRowLastColumn="0"/>
            </w:pPr>
            <w:r w:rsidRPr="000F23E0">
              <w:t>N/A</w:t>
            </w:r>
          </w:p>
        </w:tc>
      </w:tr>
      <w:tr w:rsidR="00EB7950" w:rsidRPr="000F23E0" w14:paraId="717970C3" w14:textId="77777777" w:rsidTr="0048145F">
        <w:trPr>
          <w:trHeight w:val="258"/>
        </w:trPr>
        <w:tc>
          <w:tcPr>
            <w:cnfStyle w:val="001000000000" w:firstRow="0" w:lastRow="0" w:firstColumn="1" w:lastColumn="0" w:oddVBand="0" w:evenVBand="0" w:oddHBand="0" w:evenHBand="0" w:firstRowFirstColumn="0" w:firstRowLastColumn="0" w:lastRowFirstColumn="0" w:lastRowLastColumn="0"/>
            <w:tcW w:w="1130" w:type="dxa"/>
            <w:vMerge/>
          </w:tcPr>
          <w:p w14:paraId="60C12E82" w14:textId="77777777" w:rsidR="004015C7" w:rsidRPr="000F23E0" w:rsidRDefault="004015C7" w:rsidP="00D6435A">
            <w:pPr>
              <w:pStyle w:val="TableTextLeft"/>
              <w:rPr>
                <w:rFonts w:cstheme="minorHAnsi"/>
                <w:b/>
                <w:bCs w:val="0"/>
                <w:color w:val="000000"/>
                <w:szCs w:val="18"/>
              </w:rPr>
            </w:pPr>
          </w:p>
        </w:tc>
        <w:tc>
          <w:tcPr>
            <w:tcW w:w="3263" w:type="dxa"/>
            <w:shd w:val="clear" w:color="auto" w:fill="FEFAF8"/>
          </w:tcPr>
          <w:p w14:paraId="1C3CEAEE" w14:textId="7EA95FA5" w:rsidR="004015C7" w:rsidRPr="000F23E0" w:rsidRDefault="004015C7" w:rsidP="0055685D">
            <w:pPr>
              <w:pStyle w:val="TableTextLeft"/>
              <w:cnfStyle w:val="000000000000" w:firstRow="0" w:lastRow="0" w:firstColumn="0" w:lastColumn="0" w:oddVBand="0" w:evenVBand="0" w:oddHBand="0" w:evenHBand="0" w:firstRowFirstColumn="0" w:firstRowLastColumn="0" w:lastRowFirstColumn="0" w:lastRowLastColumn="0"/>
              <w:rPr>
                <w:rFonts w:eastAsiaTheme="majorEastAsia"/>
              </w:rPr>
            </w:pPr>
            <w:r w:rsidRPr="000F23E0">
              <w:t>Climate and Oceans Support Program in</w:t>
            </w:r>
            <w:r w:rsidR="00BB60BE" w:rsidRPr="000F23E0">
              <w:t> </w:t>
            </w:r>
            <w:r w:rsidRPr="000F23E0">
              <w:t>the Pacific Phase 3 (COSPPac3)</w:t>
            </w:r>
          </w:p>
        </w:tc>
        <w:tc>
          <w:tcPr>
            <w:tcW w:w="1127" w:type="dxa"/>
            <w:shd w:val="clear" w:color="auto" w:fill="FEFAF8"/>
          </w:tcPr>
          <w:p w14:paraId="52ABA4C4" w14:textId="20D06479" w:rsidR="004015C7" w:rsidRPr="000F23E0" w:rsidRDefault="004015C7" w:rsidP="00D95811">
            <w:pPr>
              <w:pStyle w:val="TableTextRight"/>
              <w:cnfStyle w:val="000000000000" w:firstRow="0" w:lastRow="0" w:firstColumn="0" w:lastColumn="0" w:oddVBand="0" w:evenVBand="0" w:oddHBand="0" w:evenHBand="0" w:firstRowFirstColumn="0" w:firstRowLastColumn="0" w:lastRowFirstColumn="0" w:lastRowLastColumn="0"/>
            </w:pPr>
            <w:r w:rsidRPr="000F23E0">
              <w:t>7.9</w:t>
            </w:r>
          </w:p>
        </w:tc>
        <w:tc>
          <w:tcPr>
            <w:tcW w:w="1048" w:type="dxa"/>
            <w:shd w:val="clear" w:color="auto" w:fill="FEFAF8"/>
          </w:tcPr>
          <w:p w14:paraId="2988F2D6" w14:textId="623E534C" w:rsidR="004015C7" w:rsidRPr="000F23E0" w:rsidRDefault="004015C7" w:rsidP="00D95811">
            <w:pPr>
              <w:pStyle w:val="TableTextRight"/>
              <w:cnfStyle w:val="000000000000" w:firstRow="0" w:lastRow="0" w:firstColumn="0" w:lastColumn="0" w:oddVBand="0" w:evenVBand="0" w:oddHBand="0" w:evenHBand="0" w:firstRowFirstColumn="0" w:firstRowLastColumn="0" w:lastRowFirstColumn="0" w:lastRowLastColumn="0"/>
            </w:pPr>
            <w:r w:rsidRPr="000F23E0">
              <w:t>4.3</w:t>
            </w:r>
          </w:p>
        </w:tc>
        <w:tc>
          <w:tcPr>
            <w:tcW w:w="1510" w:type="dxa"/>
            <w:shd w:val="clear" w:color="auto" w:fill="FEFAF8"/>
          </w:tcPr>
          <w:p w14:paraId="05D8CCBE" w14:textId="77777777" w:rsidR="004015C7" w:rsidRPr="000F23E0" w:rsidRDefault="004015C7" w:rsidP="00D95811">
            <w:pPr>
              <w:pStyle w:val="TableTextRight"/>
              <w:cnfStyle w:val="000000000000" w:firstRow="0" w:lastRow="0" w:firstColumn="0" w:lastColumn="0" w:oddVBand="0" w:evenVBand="0" w:oddHBand="0" w:evenHBand="0" w:firstRowFirstColumn="0" w:firstRowLastColumn="0" w:lastRowFirstColumn="0" w:lastRowLastColumn="0"/>
            </w:pPr>
            <w:r w:rsidRPr="000F23E0">
              <w:t>N/A</w:t>
            </w:r>
          </w:p>
        </w:tc>
        <w:tc>
          <w:tcPr>
            <w:tcW w:w="982" w:type="dxa"/>
            <w:shd w:val="clear" w:color="auto" w:fill="FEFAF8"/>
          </w:tcPr>
          <w:p w14:paraId="6933560F" w14:textId="77777777" w:rsidR="004015C7" w:rsidRPr="000F23E0" w:rsidRDefault="004015C7" w:rsidP="00D95811">
            <w:pPr>
              <w:pStyle w:val="TableTextRight"/>
              <w:cnfStyle w:val="000000000000" w:firstRow="0" w:lastRow="0" w:firstColumn="0" w:lastColumn="0" w:oddVBand="0" w:evenVBand="0" w:oddHBand="0" w:evenHBand="0" w:firstRowFirstColumn="0" w:firstRowLastColumn="0" w:lastRowFirstColumn="0" w:lastRowLastColumn="0"/>
            </w:pPr>
            <w:r w:rsidRPr="000F23E0">
              <w:t>N/A</w:t>
            </w:r>
          </w:p>
        </w:tc>
      </w:tr>
      <w:tr w:rsidR="00EB7950" w:rsidRPr="000F23E0" w14:paraId="5B725C25" w14:textId="77777777" w:rsidTr="0048145F">
        <w:trPr>
          <w:trHeight w:val="258"/>
        </w:trPr>
        <w:tc>
          <w:tcPr>
            <w:cnfStyle w:val="001000000000" w:firstRow="0" w:lastRow="0" w:firstColumn="1" w:lastColumn="0" w:oddVBand="0" w:evenVBand="0" w:oddHBand="0" w:evenHBand="0" w:firstRowFirstColumn="0" w:firstRowLastColumn="0" w:lastRowFirstColumn="0" w:lastRowLastColumn="0"/>
            <w:tcW w:w="1130" w:type="dxa"/>
            <w:vMerge/>
          </w:tcPr>
          <w:p w14:paraId="52F66FDF" w14:textId="77777777" w:rsidR="004015C7" w:rsidRPr="000F23E0" w:rsidRDefault="004015C7" w:rsidP="00D6435A">
            <w:pPr>
              <w:pStyle w:val="TableTextLeft"/>
              <w:rPr>
                <w:rFonts w:cstheme="minorHAnsi"/>
                <w:b/>
                <w:bCs w:val="0"/>
                <w:color w:val="000000"/>
                <w:szCs w:val="18"/>
              </w:rPr>
            </w:pPr>
          </w:p>
        </w:tc>
        <w:tc>
          <w:tcPr>
            <w:tcW w:w="3263" w:type="dxa"/>
            <w:shd w:val="clear" w:color="auto" w:fill="FEFAF8"/>
          </w:tcPr>
          <w:p w14:paraId="5AE7D795" w14:textId="7B2B49FC" w:rsidR="004015C7" w:rsidRPr="000F23E0" w:rsidRDefault="00D6435A" w:rsidP="0055685D">
            <w:pPr>
              <w:pStyle w:val="TableTextLeft"/>
              <w:cnfStyle w:val="000000000000" w:firstRow="0" w:lastRow="0" w:firstColumn="0" w:lastColumn="0" w:oddVBand="0" w:evenVBand="0" w:oddHBand="0" w:evenHBand="0" w:firstRowFirstColumn="0" w:firstRowLastColumn="0" w:lastRowFirstColumn="0" w:lastRowLastColumn="0"/>
              <w:rPr>
                <w:rFonts w:eastAsiaTheme="majorEastAsia"/>
              </w:rPr>
            </w:pPr>
            <w:r w:rsidRPr="000F23E0">
              <w:t xml:space="preserve">Partnership </w:t>
            </w:r>
            <w:r w:rsidR="00BF115B" w:rsidRPr="000F23E0">
              <w:t>for Climate, Renewable Energy</w:t>
            </w:r>
            <w:r w:rsidR="00BB60BE" w:rsidRPr="000F23E0">
              <w:t> </w:t>
            </w:r>
            <w:r w:rsidR="00BF115B" w:rsidRPr="000F23E0">
              <w:t xml:space="preserve">and Infrastructure </w:t>
            </w:r>
            <w:r w:rsidRPr="000F23E0">
              <w:t>(</w:t>
            </w:r>
            <w:r w:rsidR="00BF115B" w:rsidRPr="000F23E0">
              <w:t>KINETIK</w:t>
            </w:r>
            <w:r w:rsidRPr="000F23E0">
              <w:t>)</w:t>
            </w:r>
          </w:p>
        </w:tc>
        <w:tc>
          <w:tcPr>
            <w:tcW w:w="1127" w:type="dxa"/>
            <w:shd w:val="clear" w:color="auto" w:fill="FEFAF8"/>
          </w:tcPr>
          <w:p w14:paraId="18BE3FBB" w14:textId="69939AC5" w:rsidR="004015C7" w:rsidRPr="000F23E0" w:rsidRDefault="004015C7" w:rsidP="00D95811">
            <w:pPr>
              <w:pStyle w:val="TableTextRight"/>
              <w:cnfStyle w:val="000000000000" w:firstRow="0" w:lastRow="0" w:firstColumn="0" w:lastColumn="0" w:oddVBand="0" w:evenVBand="0" w:oddHBand="0" w:evenHBand="0" w:firstRowFirstColumn="0" w:firstRowLastColumn="0" w:lastRowFirstColumn="0" w:lastRowLastColumn="0"/>
            </w:pPr>
            <w:r w:rsidRPr="000F23E0">
              <w:t>39.4</w:t>
            </w:r>
          </w:p>
        </w:tc>
        <w:tc>
          <w:tcPr>
            <w:tcW w:w="1048" w:type="dxa"/>
            <w:shd w:val="clear" w:color="auto" w:fill="FEFAF8"/>
          </w:tcPr>
          <w:p w14:paraId="3EEE355A" w14:textId="05AC9369" w:rsidR="004015C7" w:rsidRPr="000F23E0" w:rsidRDefault="004015C7" w:rsidP="00D95811">
            <w:pPr>
              <w:pStyle w:val="TableTextRight"/>
              <w:cnfStyle w:val="000000000000" w:firstRow="0" w:lastRow="0" w:firstColumn="0" w:lastColumn="0" w:oddVBand="0" w:evenVBand="0" w:oddHBand="0" w:evenHBand="0" w:firstRowFirstColumn="0" w:firstRowLastColumn="0" w:lastRowFirstColumn="0" w:lastRowLastColumn="0"/>
            </w:pPr>
            <w:r w:rsidRPr="000F23E0">
              <w:t>21.3</w:t>
            </w:r>
          </w:p>
        </w:tc>
        <w:tc>
          <w:tcPr>
            <w:tcW w:w="1510" w:type="dxa"/>
            <w:shd w:val="clear" w:color="auto" w:fill="FEFAF8"/>
          </w:tcPr>
          <w:p w14:paraId="5381991B" w14:textId="77777777" w:rsidR="004015C7" w:rsidRPr="000F23E0" w:rsidRDefault="004015C7" w:rsidP="00D95811">
            <w:pPr>
              <w:pStyle w:val="TableTextRight"/>
              <w:cnfStyle w:val="000000000000" w:firstRow="0" w:lastRow="0" w:firstColumn="0" w:lastColumn="0" w:oddVBand="0" w:evenVBand="0" w:oddHBand="0" w:evenHBand="0" w:firstRowFirstColumn="0" w:firstRowLastColumn="0" w:lastRowFirstColumn="0" w:lastRowLastColumn="0"/>
            </w:pPr>
            <w:r w:rsidRPr="000F23E0">
              <w:t>N/A</w:t>
            </w:r>
          </w:p>
        </w:tc>
        <w:tc>
          <w:tcPr>
            <w:tcW w:w="982" w:type="dxa"/>
            <w:shd w:val="clear" w:color="auto" w:fill="FEFAF8"/>
          </w:tcPr>
          <w:p w14:paraId="2DDB91BA" w14:textId="77777777" w:rsidR="004015C7" w:rsidRPr="000F23E0" w:rsidRDefault="004015C7" w:rsidP="00D95811">
            <w:pPr>
              <w:pStyle w:val="TableTextRight"/>
              <w:cnfStyle w:val="000000000000" w:firstRow="0" w:lastRow="0" w:firstColumn="0" w:lastColumn="0" w:oddVBand="0" w:evenVBand="0" w:oddHBand="0" w:evenHBand="0" w:firstRowFirstColumn="0" w:firstRowLastColumn="0" w:lastRowFirstColumn="0" w:lastRowLastColumn="0"/>
            </w:pPr>
            <w:r w:rsidRPr="000F23E0">
              <w:t>N/A</w:t>
            </w:r>
          </w:p>
        </w:tc>
      </w:tr>
      <w:tr w:rsidR="00EB7950" w:rsidRPr="000F23E0" w14:paraId="2B4D8331" w14:textId="77777777" w:rsidTr="0048145F">
        <w:trPr>
          <w:trHeight w:val="258"/>
        </w:trPr>
        <w:tc>
          <w:tcPr>
            <w:cnfStyle w:val="001000000000" w:firstRow="0" w:lastRow="0" w:firstColumn="1" w:lastColumn="0" w:oddVBand="0" w:evenVBand="0" w:oddHBand="0" w:evenHBand="0" w:firstRowFirstColumn="0" w:firstRowLastColumn="0" w:lastRowFirstColumn="0" w:lastRowLastColumn="0"/>
            <w:tcW w:w="1130" w:type="dxa"/>
            <w:vMerge/>
          </w:tcPr>
          <w:p w14:paraId="42937AC9" w14:textId="77777777" w:rsidR="004015C7" w:rsidRPr="000F23E0" w:rsidRDefault="004015C7" w:rsidP="00D6435A">
            <w:pPr>
              <w:pStyle w:val="TableTextLeft"/>
              <w:rPr>
                <w:rFonts w:cstheme="minorHAnsi"/>
                <w:b/>
                <w:bCs w:val="0"/>
                <w:color w:val="000000"/>
                <w:szCs w:val="18"/>
              </w:rPr>
            </w:pPr>
          </w:p>
        </w:tc>
        <w:tc>
          <w:tcPr>
            <w:tcW w:w="3263" w:type="dxa"/>
            <w:shd w:val="clear" w:color="auto" w:fill="FEFAF8"/>
          </w:tcPr>
          <w:p w14:paraId="3F2FCA28" w14:textId="2D1418DF" w:rsidR="004015C7" w:rsidRPr="000F23E0" w:rsidRDefault="004015C7" w:rsidP="0055685D">
            <w:pPr>
              <w:pStyle w:val="TableTextLeft"/>
              <w:cnfStyle w:val="000000000000" w:firstRow="0" w:lastRow="0" w:firstColumn="0" w:lastColumn="0" w:oddVBand="0" w:evenVBand="0" w:oddHBand="0" w:evenHBand="0" w:firstRowFirstColumn="0" w:firstRowLastColumn="0" w:lastRowFirstColumn="0" w:lastRowLastColumn="0"/>
              <w:rPr>
                <w:rFonts w:eastAsiaTheme="majorEastAsia"/>
              </w:rPr>
            </w:pPr>
            <w:r w:rsidRPr="000F23E0">
              <w:t>Commonwealth Climate Finance Access</w:t>
            </w:r>
            <w:r w:rsidR="00BB60BE" w:rsidRPr="000F23E0">
              <w:t> </w:t>
            </w:r>
            <w:r w:rsidRPr="000F23E0">
              <w:t>Hub (Pacific)</w:t>
            </w:r>
          </w:p>
        </w:tc>
        <w:tc>
          <w:tcPr>
            <w:tcW w:w="1127" w:type="dxa"/>
            <w:shd w:val="clear" w:color="auto" w:fill="FEFAF8"/>
          </w:tcPr>
          <w:p w14:paraId="3A75244E" w14:textId="4F8DEDA3" w:rsidR="004015C7" w:rsidRPr="000F23E0" w:rsidRDefault="004015C7" w:rsidP="00D95811">
            <w:pPr>
              <w:pStyle w:val="TableTextRight"/>
              <w:cnfStyle w:val="000000000000" w:firstRow="0" w:lastRow="0" w:firstColumn="0" w:lastColumn="0" w:oddVBand="0" w:evenVBand="0" w:oddHBand="0" w:evenHBand="0" w:firstRowFirstColumn="0" w:firstRowLastColumn="0" w:lastRowFirstColumn="0" w:lastRowLastColumn="0"/>
            </w:pPr>
            <w:r w:rsidRPr="000F23E0">
              <w:t>0.9</w:t>
            </w:r>
          </w:p>
        </w:tc>
        <w:tc>
          <w:tcPr>
            <w:tcW w:w="1048" w:type="dxa"/>
            <w:shd w:val="clear" w:color="auto" w:fill="FEFAF8"/>
          </w:tcPr>
          <w:p w14:paraId="6A188F5B" w14:textId="4C5EFDE6" w:rsidR="004015C7" w:rsidRPr="000F23E0" w:rsidRDefault="004015C7" w:rsidP="00D95811">
            <w:pPr>
              <w:pStyle w:val="TableTextRight"/>
              <w:cnfStyle w:val="000000000000" w:firstRow="0" w:lastRow="0" w:firstColumn="0" w:lastColumn="0" w:oddVBand="0" w:evenVBand="0" w:oddHBand="0" w:evenHBand="0" w:firstRowFirstColumn="0" w:firstRowLastColumn="0" w:lastRowFirstColumn="0" w:lastRowLastColumn="0"/>
            </w:pPr>
            <w:r w:rsidRPr="000F23E0">
              <w:t>0.5</w:t>
            </w:r>
          </w:p>
        </w:tc>
        <w:tc>
          <w:tcPr>
            <w:tcW w:w="1510" w:type="dxa"/>
            <w:shd w:val="clear" w:color="auto" w:fill="FEFAF8"/>
          </w:tcPr>
          <w:p w14:paraId="4B408554" w14:textId="77777777" w:rsidR="004015C7" w:rsidRPr="000F23E0" w:rsidRDefault="004015C7" w:rsidP="00D95811">
            <w:pPr>
              <w:pStyle w:val="TableTextRight"/>
              <w:cnfStyle w:val="000000000000" w:firstRow="0" w:lastRow="0" w:firstColumn="0" w:lastColumn="0" w:oddVBand="0" w:evenVBand="0" w:oddHBand="0" w:evenHBand="0" w:firstRowFirstColumn="0" w:firstRowLastColumn="0" w:lastRowFirstColumn="0" w:lastRowLastColumn="0"/>
            </w:pPr>
            <w:r w:rsidRPr="000F23E0">
              <w:t>N/A</w:t>
            </w:r>
          </w:p>
        </w:tc>
        <w:tc>
          <w:tcPr>
            <w:tcW w:w="982" w:type="dxa"/>
            <w:shd w:val="clear" w:color="auto" w:fill="FEFAF8"/>
          </w:tcPr>
          <w:p w14:paraId="0547B73E" w14:textId="77777777" w:rsidR="004015C7" w:rsidRPr="000F23E0" w:rsidRDefault="004015C7" w:rsidP="00D95811">
            <w:pPr>
              <w:pStyle w:val="TableTextRight"/>
              <w:cnfStyle w:val="000000000000" w:firstRow="0" w:lastRow="0" w:firstColumn="0" w:lastColumn="0" w:oddVBand="0" w:evenVBand="0" w:oddHBand="0" w:evenHBand="0" w:firstRowFirstColumn="0" w:firstRowLastColumn="0" w:lastRowFirstColumn="0" w:lastRowLastColumn="0"/>
            </w:pPr>
            <w:r w:rsidRPr="000F23E0">
              <w:t>N/A</w:t>
            </w:r>
          </w:p>
        </w:tc>
      </w:tr>
      <w:tr w:rsidR="00EB7950" w:rsidRPr="000F23E0" w14:paraId="2FF5F7F3" w14:textId="77777777" w:rsidTr="0048145F">
        <w:trPr>
          <w:trHeight w:val="258"/>
        </w:trPr>
        <w:tc>
          <w:tcPr>
            <w:cnfStyle w:val="001000000000" w:firstRow="0" w:lastRow="0" w:firstColumn="1" w:lastColumn="0" w:oddVBand="0" w:evenVBand="0" w:oddHBand="0" w:evenHBand="0" w:firstRowFirstColumn="0" w:firstRowLastColumn="0" w:lastRowFirstColumn="0" w:lastRowLastColumn="0"/>
            <w:tcW w:w="1130" w:type="dxa"/>
            <w:vMerge/>
          </w:tcPr>
          <w:p w14:paraId="04713DA0" w14:textId="77777777" w:rsidR="004015C7" w:rsidRPr="000F23E0" w:rsidRDefault="004015C7" w:rsidP="00D6435A">
            <w:pPr>
              <w:pStyle w:val="TableTextLeft"/>
              <w:rPr>
                <w:rFonts w:cstheme="minorHAnsi"/>
                <w:b/>
                <w:bCs w:val="0"/>
                <w:color w:val="000000"/>
                <w:szCs w:val="18"/>
              </w:rPr>
            </w:pPr>
          </w:p>
        </w:tc>
        <w:tc>
          <w:tcPr>
            <w:tcW w:w="3263" w:type="dxa"/>
            <w:shd w:val="clear" w:color="auto" w:fill="FEFAF8"/>
          </w:tcPr>
          <w:p w14:paraId="57AEB515" w14:textId="1FE473DE" w:rsidR="004015C7" w:rsidRPr="000F23E0" w:rsidRDefault="004015C7" w:rsidP="0055685D">
            <w:pPr>
              <w:pStyle w:val="TableTextLeft"/>
              <w:cnfStyle w:val="000000000000" w:firstRow="0" w:lastRow="0" w:firstColumn="0" w:lastColumn="0" w:oddVBand="0" w:evenVBand="0" w:oddHBand="0" w:evenHBand="0" w:firstRowFirstColumn="0" w:firstRowLastColumn="0" w:lastRowFirstColumn="0" w:lastRowLastColumn="0"/>
              <w:rPr>
                <w:rFonts w:eastAsiaTheme="majorEastAsia"/>
              </w:rPr>
            </w:pPr>
            <w:r w:rsidRPr="000F23E0">
              <w:t>Pacific Climate Finance Access and</w:t>
            </w:r>
            <w:r w:rsidR="00BB60BE" w:rsidRPr="000F23E0">
              <w:t> </w:t>
            </w:r>
            <w:r w:rsidRPr="000F23E0">
              <w:t>Effectiveness</w:t>
            </w:r>
          </w:p>
        </w:tc>
        <w:tc>
          <w:tcPr>
            <w:tcW w:w="1127" w:type="dxa"/>
            <w:shd w:val="clear" w:color="auto" w:fill="FEFAF8"/>
          </w:tcPr>
          <w:p w14:paraId="206E8DF2" w14:textId="25E78A65" w:rsidR="004015C7" w:rsidRPr="000F23E0" w:rsidRDefault="004015C7" w:rsidP="00D95811">
            <w:pPr>
              <w:pStyle w:val="TableTextRight"/>
              <w:cnfStyle w:val="000000000000" w:firstRow="0" w:lastRow="0" w:firstColumn="0" w:lastColumn="0" w:oddVBand="0" w:evenVBand="0" w:oddHBand="0" w:evenHBand="0" w:firstRowFirstColumn="0" w:firstRowLastColumn="0" w:lastRowFirstColumn="0" w:lastRowLastColumn="0"/>
            </w:pPr>
            <w:r w:rsidRPr="000F23E0">
              <w:t>10.0</w:t>
            </w:r>
          </w:p>
        </w:tc>
        <w:tc>
          <w:tcPr>
            <w:tcW w:w="1048" w:type="dxa"/>
            <w:shd w:val="clear" w:color="auto" w:fill="FEFAF8"/>
          </w:tcPr>
          <w:p w14:paraId="4BB581E1" w14:textId="071C46F2" w:rsidR="004015C7" w:rsidRPr="000F23E0" w:rsidRDefault="004015C7" w:rsidP="00D95811">
            <w:pPr>
              <w:pStyle w:val="TableTextRight"/>
              <w:cnfStyle w:val="000000000000" w:firstRow="0" w:lastRow="0" w:firstColumn="0" w:lastColumn="0" w:oddVBand="0" w:evenVBand="0" w:oddHBand="0" w:evenHBand="0" w:firstRowFirstColumn="0" w:firstRowLastColumn="0" w:lastRowFirstColumn="0" w:lastRowLastColumn="0"/>
            </w:pPr>
            <w:r w:rsidRPr="000F23E0">
              <w:t>5.4</w:t>
            </w:r>
          </w:p>
        </w:tc>
        <w:tc>
          <w:tcPr>
            <w:tcW w:w="1510" w:type="dxa"/>
            <w:shd w:val="clear" w:color="auto" w:fill="FEFAF8"/>
          </w:tcPr>
          <w:p w14:paraId="0D448549" w14:textId="77777777" w:rsidR="004015C7" w:rsidRPr="000F23E0" w:rsidRDefault="004015C7" w:rsidP="00D95811">
            <w:pPr>
              <w:pStyle w:val="TableTextRight"/>
              <w:cnfStyle w:val="000000000000" w:firstRow="0" w:lastRow="0" w:firstColumn="0" w:lastColumn="0" w:oddVBand="0" w:evenVBand="0" w:oddHBand="0" w:evenHBand="0" w:firstRowFirstColumn="0" w:firstRowLastColumn="0" w:lastRowFirstColumn="0" w:lastRowLastColumn="0"/>
            </w:pPr>
            <w:r w:rsidRPr="000F23E0">
              <w:t>N/A</w:t>
            </w:r>
          </w:p>
        </w:tc>
        <w:tc>
          <w:tcPr>
            <w:tcW w:w="982" w:type="dxa"/>
            <w:shd w:val="clear" w:color="auto" w:fill="FEFAF8"/>
          </w:tcPr>
          <w:p w14:paraId="18B9EE41" w14:textId="77777777" w:rsidR="004015C7" w:rsidRPr="000F23E0" w:rsidRDefault="004015C7" w:rsidP="00D95811">
            <w:pPr>
              <w:pStyle w:val="TableTextRight"/>
              <w:cnfStyle w:val="000000000000" w:firstRow="0" w:lastRow="0" w:firstColumn="0" w:lastColumn="0" w:oddVBand="0" w:evenVBand="0" w:oddHBand="0" w:evenHBand="0" w:firstRowFirstColumn="0" w:firstRowLastColumn="0" w:lastRowFirstColumn="0" w:lastRowLastColumn="0"/>
            </w:pPr>
            <w:r w:rsidRPr="000F23E0">
              <w:t>N/A</w:t>
            </w:r>
          </w:p>
        </w:tc>
      </w:tr>
      <w:tr w:rsidR="00EB7950" w:rsidRPr="000F23E0" w14:paraId="5EB336FD" w14:textId="77777777" w:rsidTr="0048145F">
        <w:trPr>
          <w:trHeight w:val="258"/>
        </w:trPr>
        <w:tc>
          <w:tcPr>
            <w:cnfStyle w:val="001000000000" w:firstRow="0" w:lastRow="0" w:firstColumn="1" w:lastColumn="0" w:oddVBand="0" w:evenVBand="0" w:oddHBand="0" w:evenHBand="0" w:firstRowFirstColumn="0" w:firstRowLastColumn="0" w:lastRowFirstColumn="0" w:lastRowLastColumn="0"/>
            <w:tcW w:w="1130" w:type="dxa"/>
            <w:vMerge/>
          </w:tcPr>
          <w:p w14:paraId="66D2A925" w14:textId="77777777" w:rsidR="004015C7" w:rsidRPr="000F23E0" w:rsidRDefault="004015C7" w:rsidP="00D6435A">
            <w:pPr>
              <w:pStyle w:val="TableTextLeft"/>
              <w:rPr>
                <w:rFonts w:cstheme="minorHAnsi"/>
                <w:b/>
                <w:bCs w:val="0"/>
                <w:color w:val="000000"/>
                <w:szCs w:val="18"/>
              </w:rPr>
            </w:pPr>
          </w:p>
        </w:tc>
        <w:tc>
          <w:tcPr>
            <w:tcW w:w="3263" w:type="dxa"/>
            <w:shd w:val="clear" w:color="auto" w:fill="FEFAF8"/>
          </w:tcPr>
          <w:p w14:paraId="0A35F1EF" w14:textId="3C280849" w:rsidR="004015C7" w:rsidRPr="000F23E0" w:rsidRDefault="004015C7" w:rsidP="0055685D">
            <w:pPr>
              <w:pStyle w:val="TableTextLeft"/>
              <w:cnfStyle w:val="000000000000" w:firstRow="0" w:lastRow="0" w:firstColumn="0" w:lastColumn="0" w:oddVBand="0" w:evenVBand="0" w:oddHBand="0" w:evenHBand="0" w:firstRowFirstColumn="0" w:firstRowLastColumn="0" w:lastRowFirstColumn="0" w:lastRowLastColumn="0"/>
              <w:rPr>
                <w:rFonts w:eastAsiaTheme="majorEastAsia"/>
              </w:rPr>
            </w:pPr>
            <w:r w:rsidRPr="000F23E0">
              <w:t>Support for the Secretariat of the Pacific Regional Environment Programme</w:t>
            </w:r>
          </w:p>
        </w:tc>
        <w:tc>
          <w:tcPr>
            <w:tcW w:w="1127" w:type="dxa"/>
            <w:shd w:val="clear" w:color="auto" w:fill="FEFAF8"/>
          </w:tcPr>
          <w:p w14:paraId="3503E2B7" w14:textId="08EEC2DE" w:rsidR="004015C7" w:rsidRPr="000F23E0" w:rsidRDefault="004015C7" w:rsidP="00D95811">
            <w:pPr>
              <w:pStyle w:val="TableTextRight"/>
              <w:cnfStyle w:val="000000000000" w:firstRow="0" w:lastRow="0" w:firstColumn="0" w:lastColumn="0" w:oddVBand="0" w:evenVBand="0" w:oddHBand="0" w:evenHBand="0" w:firstRowFirstColumn="0" w:firstRowLastColumn="0" w:lastRowFirstColumn="0" w:lastRowLastColumn="0"/>
            </w:pPr>
            <w:r w:rsidRPr="000F23E0">
              <w:t>8.1</w:t>
            </w:r>
          </w:p>
        </w:tc>
        <w:tc>
          <w:tcPr>
            <w:tcW w:w="1048" w:type="dxa"/>
            <w:shd w:val="clear" w:color="auto" w:fill="FEFAF8"/>
          </w:tcPr>
          <w:p w14:paraId="21CD8380" w14:textId="79E72BD2" w:rsidR="004015C7" w:rsidRPr="000F23E0" w:rsidRDefault="004015C7" w:rsidP="00D95811">
            <w:pPr>
              <w:pStyle w:val="TableTextRight"/>
              <w:cnfStyle w:val="000000000000" w:firstRow="0" w:lastRow="0" w:firstColumn="0" w:lastColumn="0" w:oddVBand="0" w:evenVBand="0" w:oddHBand="0" w:evenHBand="0" w:firstRowFirstColumn="0" w:firstRowLastColumn="0" w:lastRowFirstColumn="0" w:lastRowLastColumn="0"/>
            </w:pPr>
            <w:r w:rsidRPr="000F23E0">
              <w:t>4.4</w:t>
            </w:r>
          </w:p>
        </w:tc>
        <w:tc>
          <w:tcPr>
            <w:tcW w:w="1510" w:type="dxa"/>
            <w:shd w:val="clear" w:color="auto" w:fill="FEFAF8"/>
          </w:tcPr>
          <w:p w14:paraId="643A973F" w14:textId="77777777" w:rsidR="004015C7" w:rsidRPr="000F23E0" w:rsidRDefault="004015C7" w:rsidP="00D95811">
            <w:pPr>
              <w:pStyle w:val="TableTextRight"/>
              <w:cnfStyle w:val="000000000000" w:firstRow="0" w:lastRow="0" w:firstColumn="0" w:lastColumn="0" w:oddVBand="0" w:evenVBand="0" w:oddHBand="0" w:evenHBand="0" w:firstRowFirstColumn="0" w:firstRowLastColumn="0" w:lastRowFirstColumn="0" w:lastRowLastColumn="0"/>
            </w:pPr>
            <w:r w:rsidRPr="000F23E0">
              <w:t>N/A</w:t>
            </w:r>
          </w:p>
        </w:tc>
        <w:tc>
          <w:tcPr>
            <w:tcW w:w="982" w:type="dxa"/>
            <w:shd w:val="clear" w:color="auto" w:fill="FEFAF8"/>
          </w:tcPr>
          <w:p w14:paraId="36C92C3F" w14:textId="77777777" w:rsidR="004015C7" w:rsidRPr="000F23E0" w:rsidRDefault="004015C7" w:rsidP="00D95811">
            <w:pPr>
              <w:pStyle w:val="TableTextRight"/>
              <w:cnfStyle w:val="000000000000" w:firstRow="0" w:lastRow="0" w:firstColumn="0" w:lastColumn="0" w:oddVBand="0" w:evenVBand="0" w:oddHBand="0" w:evenHBand="0" w:firstRowFirstColumn="0" w:firstRowLastColumn="0" w:lastRowFirstColumn="0" w:lastRowLastColumn="0"/>
            </w:pPr>
            <w:r w:rsidRPr="000F23E0">
              <w:t>N/A</w:t>
            </w:r>
          </w:p>
        </w:tc>
      </w:tr>
      <w:tr w:rsidR="00EB7950" w:rsidRPr="000F23E0" w14:paraId="0C352739" w14:textId="77777777" w:rsidTr="0048145F">
        <w:trPr>
          <w:trHeight w:val="258"/>
        </w:trPr>
        <w:tc>
          <w:tcPr>
            <w:cnfStyle w:val="001000000000" w:firstRow="0" w:lastRow="0" w:firstColumn="1" w:lastColumn="0" w:oddVBand="0" w:evenVBand="0" w:oddHBand="0" w:evenHBand="0" w:firstRowFirstColumn="0" w:firstRowLastColumn="0" w:lastRowFirstColumn="0" w:lastRowLastColumn="0"/>
            <w:tcW w:w="1130" w:type="dxa"/>
            <w:vMerge/>
          </w:tcPr>
          <w:p w14:paraId="36D7A3AC" w14:textId="77777777" w:rsidR="004015C7" w:rsidRPr="000F23E0" w:rsidRDefault="004015C7" w:rsidP="00D6435A">
            <w:pPr>
              <w:pStyle w:val="TableTextLeft"/>
              <w:rPr>
                <w:rFonts w:cstheme="minorHAnsi"/>
                <w:b/>
                <w:bCs w:val="0"/>
                <w:color w:val="000000"/>
                <w:szCs w:val="18"/>
              </w:rPr>
            </w:pPr>
          </w:p>
        </w:tc>
        <w:tc>
          <w:tcPr>
            <w:tcW w:w="3263" w:type="dxa"/>
            <w:shd w:val="clear" w:color="auto" w:fill="FEFAF8"/>
          </w:tcPr>
          <w:p w14:paraId="1C517A67" w14:textId="223B71A0" w:rsidR="004015C7" w:rsidRPr="000F23E0" w:rsidRDefault="004015C7" w:rsidP="0055685D">
            <w:pPr>
              <w:pStyle w:val="TableTextLeft"/>
              <w:cnfStyle w:val="000000000000" w:firstRow="0" w:lastRow="0" w:firstColumn="0" w:lastColumn="0" w:oddVBand="0" w:evenVBand="0" w:oddHBand="0" w:evenHBand="0" w:firstRowFirstColumn="0" w:firstRowLastColumn="0" w:lastRowFirstColumn="0" w:lastRowLastColumn="0"/>
              <w:rPr>
                <w:rFonts w:eastAsiaTheme="majorEastAsia"/>
              </w:rPr>
            </w:pPr>
            <w:r w:rsidRPr="000F23E0">
              <w:t>PNG Climate FIRST (</w:t>
            </w:r>
            <w:r w:rsidR="00130542" w:rsidRPr="000F23E0">
              <w:t>Finance Initiative for Resilience and a Sustainable Transition)</w:t>
            </w:r>
          </w:p>
        </w:tc>
        <w:tc>
          <w:tcPr>
            <w:tcW w:w="1127" w:type="dxa"/>
            <w:shd w:val="clear" w:color="auto" w:fill="FEFAF8"/>
          </w:tcPr>
          <w:p w14:paraId="7357E00F" w14:textId="013D29AB" w:rsidR="004015C7" w:rsidRPr="000F23E0" w:rsidRDefault="004015C7" w:rsidP="00D95811">
            <w:pPr>
              <w:pStyle w:val="TableTextRight"/>
              <w:cnfStyle w:val="000000000000" w:firstRow="0" w:lastRow="0" w:firstColumn="0" w:lastColumn="0" w:oddVBand="0" w:evenVBand="0" w:oddHBand="0" w:evenHBand="0" w:firstRowFirstColumn="0" w:firstRowLastColumn="0" w:lastRowFirstColumn="0" w:lastRowLastColumn="0"/>
            </w:pPr>
            <w:r w:rsidRPr="000F23E0">
              <w:t>5.1</w:t>
            </w:r>
          </w:p>
        </w:tc>
        <w:tc>
          <w:tcPr>
            <w:tcW w:w="1048" w:type="dxa"/>
            <w:shd w:val="clear" w:color="auto" w:fill="FEFAF8"/>
          </w:tcPr>
          <w:p w14:paraId="46753736" w14:textId="7F34F702" w:rsidR="004015C7" w:rsidRPr="000F23E0" w:rsidRDefault="004015C7" w:rsidP="00D95811">
            <w:pPr>
              <w:pStyle w:val="TableTextRight"/>
              <w:cnfStyle w:val="000000000000" w:firstRow="0" w:lastRow="0" w:firstColumn="0" w:lastColumn="0" w:oddVBand="0" w:evenVBand="0" w:oddHBand="0" w:evenHBand="0" w:firstRowFirstColumn="0" w:firstRowLastColumn="0" w:lastRowFirstColumn="0" w:lastRowLastColumn="0"/>
            </w:pPr>
            <w:r w:rsidRPr="000F23E0">
              <w:t>2.7</w:t>
            </w:r>
          </w:p>
        </w:tc>
        <w:tc>
          <w:tcPr>
            <w:tcW w:w="1510" w:type="dxa"/>
            <w:shd w:val="clear" w:color="auto" w:fill="FEFAF8"/>
          </w:tcPr>
          <w:p w14:paraId="19D3E497" w14:textId="77777777" w:rsidR="004015C7" w:rsidRPr="000F23E0" w:rsidRDefault="004015C7" w:rsidP="00D95811">
            <w:pPr>
              <w:pStyle w:val="TableTextRight"/>
              <w:cnfStyle w:val="000000000000" w:firstRow="0" w:lastRow="0" w:firstColumn="0" w:lastColumn="0" w:oddVBand="0" w:evenVBand="0" w:oddHBand="0" w:evenHBand="0" w:firstRowFirstColumn="0" w:firstRowLastColumn="0" w:lastRowFirstColumn="0" w:lastRowLastColumn="0"/>
            </w:pPr>
            <w:r w:rsidRPr="000F23E0">
              <w:t>N/A</w:t>
            </w:r>
          </w:p>
        </w:tc>
        <w:tc>
          <w:tcPr>
            <w:tcW w:w="982" w:type="dxa"/>
            <w:shd w:val="clear" w:color="auto" w:fill="FEFAF8"/>
          </w:tcPr>
          <w:p w14:paraId="70F543C1" w14:textId="77777777" w:rsidR="004015C7" w:rsidRPr="000F23E0" w:rsidRDefault="004015C7" w:rsidP="00D95811">
            <w:pPr>
              <w:pStyle w:val="TableTextRight"/>
              <w:cnfStyle w:val="000000000000" w:firstRow="0" w:lastRow="0" w:firstColumn="0" w:lastColumn="0" w:oddVBand="0" w:evenVBand="0" w:oddHBand="0" w:evenHBand="0" w:firstRowFirstColumn="0" w:firstRowLastColumn="0" w:lastRowFirstColumn="0" w:lastRowLastColumn="0"/>
            </w:pPr>
            <w:r w:rsidRPr="000F23E0">
              <w:t>N/A</w:t>
            </w:r>
          </w:p>
        </w:tc>
      </w:tr>
      <w:tr w:rsidR="00EB7950" w:rsidRPr="000F23E0" w14:paraId="5AF802FA" w14:textId="77777777" w:rsidTr="0048145F">
        <w:trPr>
          <w:trHeight w:val="258"/>
        </w:trPr>
        <w:tc>
          <w:tcPr>
            <w:cnfStyle w:val="001000000000" w:firstRow="0" w:lastRow="0" w:firstColumn="1" w:lastColumn="0" w:oddVBand="0" w:evenVBand="0" w:oddHBand="0" w:evenHBand="0" w:firstRowFirstColumn="0" w:firstRowLastColumn="0" w:lastRowFirstColumn="0" w:lastRowLastColumn="0"/>
            <w:tcW w:w="1130" w:type="dxa"/>
            <w:vMerge/>
          </w:tcPr>
          <w:p w14:paraId="577CD6BF" w14:textId="77777777" w:rsidR="004015C7" w:rsidRPr="000F23E0" w:rsidRDefault="004015C7" w:rsidP="00D6435A">
            <w:pPr>
              <w:pStyle w:val="TableTextLeft"/>
              <w:rPr>
                <w:rFonts w:cstheme="minorHAnsi"/>
                <w:b/>
                <w:bCs w:val="0"/>
                <w:color w:val="000000"/>
                <w:szCs w:val="18"/>
              </w:rPr>
            </w:pPr>
          </w:p>
        </w:tc>
        <w:tc>
          <w:tcPr>
            <w:tcW w:w="3263" w:type="dxa"/>
            <w:shd w:val="clear" w:color="auto" w:fill="FEFAF8"/>
          </w:tcPr>
          <w:p w14:paraId="117DC3E3" w14:textId="2FE3F6B9" w:rsidR="004015C7" w:rsidRPr="000F23E0" w:rsidRDefault="004015C7" w:rsidP="0055685D">
            <w:pPr>
              <w:pStyle w:val="TableTextLeft"/>
              <w:cnfStyle w:val="000000000000" w:firstRow="0" w:lastRow="0" w:firstColumn="0" w:lastColumn="0" w:oddVBand="0" w:evenVBand="0" w:oddHBand="0" w:evenHBand="0" w:firstRowFirstColumn="0" w:firstRowLastColumn="0" w:lastRowFirstColumn="0" w:lastRowLastColumn="0"/>
              <w:rPr>
                <w:rFonts w:eastAsiaTheme="majorEastAsia"/>
              </w:rPr>
            </w:pPr>
            <w:r w:rsidRPr="000F23E0">
              <w:t>Global Environment Facility 6, 7, 8</w:t>
            </w:r>
          </w:p>
        </w:tc>
        <w:tc>
          <w:tcPr>
            <w:tcW w:w="1127" w:type="dxa"/>
            <w:shd w:val="clear" w:color="auto" w:fill="FEFAF8"/>
          </w:tcPr>
          <w:p w14:paraId="0628746B" w14:textId="3DD566D9" w:rsidR="004015C7" w:rsidRPr="000F23E0" w:rsidRDefault="004015C7" w:rsidP="00D95811">
            <w:pPr>
              <w:pStyle w:val="TableTextRight"/>
              <w:cnfStyle w:val="000000000000" w:firstRow="0" w:lastRow="0" w:firstColumn="0" w:lastColumn="0" w:oddVBand="0" w:evenVBand="0" w:oddHBand="0" w:evenHBand="0" w:firstRowFirstColumn="0" w:firstRowLastColumn="0" w:lastRowFirstColumn="0" w:lastRowLastColumn="0"/>
            </w:pPr>
            <w:r w:rsidRPr="000F23E0">
              <w:t>18.4</w:t>
            </w:r>
          </w:p>
        </w:tc>
        <w:tc>
          <w:tcPr>
            <w:tcW w:w="1048" w:type="dxa"/>
            <w:shd w:val="clear" w:color="auto" w:fill="FEFAF8"/>
          </w:tcPr>
          <w:p w14:paraId="67D9B195" w14:textId="0C9D9A5E" w:rsidR="004015C7" w:rsidRPr="000F23E0" w:rsidRDefault="004015C7" w:rsidP="00D95811">
            <w:pPr>
              <w:pStyle w:val="TableTextRight"/>
              <w:cnfStyle w:val="000000000000" w:firstRow="0" w:lastRow="0" w:firstColumn="0" w:lastColumn="0" w:oddVBand="0" w:evenVBand="0" w:oddHBand="0" w:evenHBand="0" w:firstRowFirstColumn="0" w:firstRowLastColumn="0" w:lastRowFirstColumn="0" w:lastRowLastColumn="0"/>
            </w:pPr>
            <w:r w:rsidRPr="000F23E0">
              <w:t>10.0</w:t>
            </w:r>
          </w:p>
        </w:tc>
        <w:tc>
          <w:tcPr>
            <w:tcW w:w="1510" w:type="dxa"/>
            <w:shd w:val="clear" w:color="auto" w:fill="FEFAF8"/>
          </w:tcPr>
          <w:p w14:paraId="257E8FF3" w14:textId="77777777" w:rsidR="004015C7" w:rsidRPr="000F23E0" w:rsidRDefault="004015C7" w:rsidP="00D95811">
            <w:pPr>
              <w:pStyle w:val="TableTextRight"/>
              <w:cnfStyle w:val="000000000000" w:firstRow="0" w:lastRow="0" w:firstColumn="0" w:lastColumn="0" w:oddVBand="0" w:evenVBand="0" w:oddHBand="0" w:evenHBand="0" w:firstRowFirstColumn="0" w:firstRowLastColumn="0" w:lastRowFirstColumn="0" w:lastRowLastColumn="0"/>
            </w:pPr>
            <w:r w:rsidRPr="000F23E0">
              <w:t>N/A</w:t>
            </w:r>
          </w:p>
        </w:tc>
        <w:tc>
          <w:tcPr>
            <w:tcW w:w="982" w:type="dxa"/>
            <w:shd w:val="clear" w:color="auto" w:fill="FEFAF8"/>
          </w:tcPr>
          <w:p w14:paraId="0365298F" w14:textId="77777777" w:rsidR="004015C7" w:rsidRPr="000F23E0" w:rsidRDefault="004015C7" w:rsidP="00D95811">
            <w:pPr>
              <w:pStyle w:val="TableTextRight"/>
              <w:cnfStyle w:val="000000000000" w:firstRow="0" w:lastRow="0" w:firstColumn="0" w:lastColumn="0" w:oddVBand="0" w:evenVBand="0" w:oddHBand="0" w:evenHBand="0" w:firstRowFirstColumn="0" w:firstRowLastColumn="0" w:lastRowFirstColumn="0" w:lastRowLastColumn="0"/>
            </w:pPr>
            <w:r w:rsidRPr="000F23E0">
              <w:t>N/A</w:t>
            </w:r>
          </w:p>
        </w:tc>
      </w:tr>
      <w:tr w:rsidR="00EB7950" w:rsidRPr="000F23E0" w14:paraId="12E06C76" w14:textId="77777777" w:rsidTr="0048145F">
        <w:trPr>
          <w:trHeight w:val="258"/>
        </w:trPr>
        <w:tc>
          <w:tcPr>
            <w:cnfStyle w:val="001000000000" w:firstRow="0" w:lastRow="0" w:firstColumn="1" w:lastColumn="0" w:oddVBand="0" w:evenVBand="0" w:oddHBand="0" w:evenHBand="0" w:firstRowFirstColumn="0" w:firstRowLastColumn="0" w:lastRowFirstColumn="0" w:lastRowLastColumn="0"/>
            <w:tcW w:w="1130" w:type="dxa"/>
            <w:vMerge/>
          </w:tcPr>
          <w:p w14:paraId="034F62B9" w14:textId="77777777" w:rsidR="004015C7" w:rsidRPr="000F23E0" w:rsidRDefault="004015C7" w:rsidP="00D6435A">
            <w:pPr>
              <w:pStyle w:val="TableTextLeft"/>
              <w:rPr>
                <w:rFonts w:cstheme="minorHAnsi"/>
                <w:b/>
                <w:bCs w:val="0"/>
                <w:color w:val="000000"/>
                <w:szCs w:val="18"/>
              </w:rPr>
            </w:pPr>
          </w:p>
        </w:tc>
        <w:tc>
          <w:tcPr>
            <w:tcW w:w="3263" w:type="dxa"/>
            <w:shd w:val="clear" w:color="auto" w:fill="FEFAF8"/>
          </w:tcPr>
          <w:p w14:paraId="77971B37" w14:textId="5F3159D0" w:rsidR="004015C7" w:rsidRPr="000F23E0" w:rsidRDefault="004015C7" w:rsidP="0055685D">
            <w:pPr>
              <w:pStyle w:val="TableTextLeft"/>
              <w:cnfStyle w:val="000000000000" w:firstRow="0" w:lastRow="0" w:firstColumn="0" w:lastColumn="0" w:oddVBand="0" w:evenVBand="0" w:oddHBand="0" w:evenHBand="0" w:firstRowFirstColumn="0" w:firstRowLastColumn="0" w:lastRowFirstColumn="0" w:lastRowLastColumn="0"/>
              <w:rPr>
                <w:rFonts w:eastAsiaTheme="majorEastAsia"/>
              </w:rPr>
            </w:pPr>
            <w:r w:rsidRPr="000F23E0">
              <w:t>Montreal Protocol Multilateral Fund</w:t>
            </w:r>
          </w:p>
        </w:tc>
        <w:tc>
          <w:tcPr>
            <w:tcW w:w="1127" w:type="dxa"/>
            <w:shd w:val="clear" w:color="auto" w:fill="FEFAF8"/>
          </w:tcPr>
          <w:p w14:paraId="01CC842E" w14:textId="4A5D7B38" w:rsidR="004015C7" w:rsidRPr="000F23E0" w:rsidRDefault="004015C7" w:rsidP="00D95811">
            <w:pPr>
              <w:pStyle w:val="TableTextRight"/>
              <w:cnfStyle w:val="000000000000" w:firstRow="0" w:lastRow="0" w:firstColumn="0" w:lastColumn="0" w:oddVBand="0" w:evenVBand="0" w:oddHBand="0" w:evenHBand="0" w:firstRowFirstColumn="0" w:firstRowLastColumn="0" w:lastRowFirstColumn="0" w:lastRowLastColumn="0"/>
            </w:pPr>
            <w:r w:rsidRPr="000F23E0">
              <w:t>7.8</w:t>
            </w:r>
          </w:p>
        </w:tc>
        <w:tc>
          <w:tcPr>
            <w:tcW w:w="1048" w:type="dxa"/>
            <w:shd w:val="clear" w:color="auto" w:fill="FEFAF8"/>
          </w:tcPr>
          <w:p w14:paraId="3AA395A9" w14:textId="252CFEAE" w:rsidR="004015C7" w:rsidRPr="000F23E0" w:rsidRDefault="004015C7" w:rsidP="00D95811">
            <w:pPr>
              <w:pStyle w:val="TableTextRight"/>
              <w:cnfStyle w:val="000000000000" w:firstRow="0" w:lastRow="0" w:firstColumn="0" w:lastColumn="0" w:oddVBand="0" w:evenVBand="0" w:oddHBand="0" w:evenHBand="0" w:firstRowFirstColumn="0" w:firstRowLastColumn="0" w:lastRowFirstColumn="0" w:lastRowLastColumn="0"/>
            </w:pPr>
            <w:r w:rsidRPr="000F23E0">
              <w:t>4.2</w:t>
            </w:r>
          </w:p>
        </w:tc>
        <w:tc>
          <w:tcPr>
            <w:tcW w:w="1510" w:type="dxa"/>
            <w:shd w:val="clear" w:color="auto" w:fill="FEFAF8"/>
          </w:tcPr>
          <w:p w14:paraId="30B137FB" w14:textId="77777777" w:rsidR="004015C7" w:rsidRPr="000F23E0" w:rsidRDefault="004015C7" w:rsidP="00D95811">
            <w:pPr>
              <w:pStyle w:val="TableTextRight"/>
              <w:cnfStyle w:val="000000000000" w:firstRow="0" w:lastRow="0" w:firstColumn="0" w:lastColumn="0" w:oddVBand="0" w:evenVBand="0" w:oddHBand="0" w:evenHBand="0" w:firstRowFirstColumn="0" w:firstRowLastColumn="0" w:lastRowFirstColumn="0" w:lastRowLastColumn="0"/>
            </w:pPr>
            <w:r w:rsidRPr="000F23E0">
              <w:t>N/A</w:t>
            </w:r>
          </w:p>
        </w:tc>
        <w:tc>
          <w:tcPr>
            <w:tcW w:w="982" w:type="dxa"/>
            <w:shd w:val="clear" w:color="auto" w:fill="FEFAF8"/>
          </w:tcPr>
          <w:p w14:paraId="19BD6BE2" w14:textId="77777777" w:rsidR="004015C7" w:rsidRPr="000F23E0" w:rsidRDefault="004015C7" w:rsidP="00D95811">
            <w:pPr>
              <w:pStyle w:val="TableTextRight"/>
              <w:cnfStyle w:val="000000000000" w:firstRow="0" w:lastRow="0" w:firstColumn="0" w:lastColumn="0" w:oddVBand="0" w:evenVBand="0" w:oddHBand="0" w:evenHBand="0" w:firstRowFirstColumn="0" w:firstRowLastColumn="0" w:lastRowFirstColumn="0" w:lastRowLastColumn="0"/>
            </w:pPr>
            <w:r w:rsidRPr="000F23E0">
              <w:t>N/A</w:t>
            </w:r>
          </w:p>
        </w:tc>
      </w:tr>
      <w:tr w:rsidR="00EB7950" w:rsidRPr="000F23E0" w14:paraId="3C488BD7" w14:textId="77777777" w:rsidTr="0048145F">
        <w:trPr>
          <w:trHeight w:val="258"/>
        </w:trPr>
        <w:tc>
          <w:tcPr>
            <w:cnfStyle w:val="001000000000" w:firstRow="0" w:lastRow="0" w:firstColumn="1" w:lastColumn="0" w:oddVBand="0" w:evenVBand="0" w:oddHBand="0" w:evenHBand="0" w:firstRowFirstColumn="0" w:firstRowLastColumn="0" w:lastRowFirstColumn="0" w:lastRowLastColumn="0"/>
            <w:tcW w:w="1130" w:type="dxa"/>
            <w:vMerge/>
          </w:tcPr>
          <w:p w14:paraId="4D0C680B" w14:textId="77777777" w:rsidR="004015C7" w:rsidRPr="000F23E0" w:rsidRDefault="004015C7" w:rsidP="00D6435A">
            <w:pPr>
              <w:pStyle w:val="TableTextLeft"/>
              <w:rPr>
                <w:rFonts w:cstheme="minorHAnsi"/>
                <w:b/>
                <w:bCs w:val="0"/>
                <w:color w:val="000000"/>
                <w:szCs w:val="18"/>
              </w:rPr>
            </w:pPr>
          </w:p>
        </w:tc>
        <w:tc>
          <w:tcPr>
            <w:tcW w:w="3263" w:type="dxa"/>
            <w:shd w:val="clear" w:color="auto" w:fill="FEFAF8"/>
          </w:tcPr>
          <w:p w14:paraId="20149043" w14:textId="2A565520" w:rsidR="004015C7" w:rsidRPr="000F23E0" w:rsidRDefault="004015C7" w:rsidP="0055685D">
            <w:pPr>
              <w:pStyle w:val="TableTextLeft"/>
              <w:cnfStyle w:val="000000000000" w:firstRow="0" w:lastRow="0" w:firstColumn="0" w:lastColumn="0" w:oddVBand="0" w:evenVBand="0" w:oddHBand="0" w:evenHBand="0" w:firstRowFirstColumn="0" w:firstRowLastColumn="0" w:lastRowFirstColumn="0" w:lastRowLastColumn="0"/>
            </w:pPr>
            <w:r w:rsidRPr="000F23E0">
              <w:t>Green Climate Fund (GCF)</w:t>
            </w:r>
          </w:p>
        </w:tc>
        <w:tc>
          <w:tcPr>
            <w:tcW w:w="1127" w:type="dxa"/>
            <w:shd w:val="clear" w:color="auto" w:fill="FEFAF8"/>
          </w:tcPr>
          <w:p w14:paraId="761FDD71" w14:textId="3FA9B19B" w:rsidR="004015C7" w:rsidRPr="000F23E0" w:rsidRDefault="004015C7" w:rsidP="00D95811">
            <w:pPr>
              <w:pStyle w:val="TableTextRight"/>
              <w:cnfStyle w:val="000000000000" w:firstRow="0" w:lastRow="0" w:firstColumn="0" w:lastColumn="0" w:oddVBand="0" w:evenVBand="0" w:oddHBand="0" w:evenHBand="0" w:firstRowFirstColumn="0" w:firstRowLastColumn="0" w:lastRowFirstColumn="0" w:lastRowLastColumn="0"/>
            </w:pPr>
            <w:r w:rsidRPr="000F23E0">
              <w:t>15.0</w:t>
            </w:r>
          </w:p>
        </w:tc>
        <w:tc>
          <w:tcPr>
            <w:tcW w:w="1048" w:type="dxa"/>
            <w:shd w:val="clear" w:color="auto" w:fill="FEFAF8"/>
          </w:tcPr>
          <w:p w14:paraId="6D2754A0" w14:textId="6C6633A3" w:rsidR="004015C7" w:rsidRPr="000F23E0" w:rsidRDefault="004015C7" w:rsidP="00D95811">
            <w:pPr>
              <w:pStyle w:val="TableTextRight"/>
              <w:cnfStyle w:val="000000000000" w:firstRow="0" w:lastRow="0" w:firstColumn="0" w:lastColumn="0" w:oddVBand="0" w:evenVBand="0" w:oddHBand="0" w:evenHBand="0" w:firstRowFirstColumn="0" w:firstRowLastColumn="0" w:lastRowFirstColumn="0" w:lastRowLastColumn="0"/>
            </w:pPr>
            <w:r w:rsidRPr="000F23E0">
              <w:t>8.1</w:t>
            </w:r>
          </w:p>
        </w:tc>
        <w:tc>
          <w:tcPr>
            <w:tcW w:w="1510" w:type="dxa"/>
            <w:shd w:val="clear" w:color="auto" w:fill="FEFAF8"/>
          </w:tcPr>
          <w:p w14:paraId="18E66381" w14:textId="7657B205" w:rsidR="004015C7" w:rsidRPr="000F23E0" w:rsidRDefault="004015C7" w:rsidP="00D95811">
            <w:pPr>
              <w:pStyle w:val="TableTextRight"/>
              <w:cnfStyle w:val="000000000000" w:firstRow="0" w:lastRow="0" w:firstColumn="0" w:lastColumn="0" w:oddVBand="0" w:evenVBand="0" w:oddHBand="0" w:evenHBand="0" w:firstRowFirstColumn="0" w:firstRowLastColumn="0" w:lastRowFirstColumn="0" w:lastRowLastColumn="0"/>
            </w:pPr>
            <w:r w:rsidRPr="000F23E0">
              <w:t>N/A</w:t>
            </w:r>
          </w:p>
        </w:tc>
        <w:tc>
          <w:tcPr>
            <w:tcW w:w="982" w:type="dxa"/>
            <w:shd w:val="clear" w:color="auto" w:fill="FEFAF8"/>
          </w:tcPr>
          <w:p w14:paraId="59841C8F" w14:textId="2C7A5704" w:rsidR="004015C7" w:rsidRPr="000F23E0" w:rsidRDefault="004015C7" w:rsidP="00D95811">
            <w:pPr>
              <w:pStyle w:val="TableTextRight"/>
              <w:cnfStyle w:val="000000000000" w:firstRow="0" w:lastRow="0" w:firstColumn="0" w:lastColumn="0" w:oddVBand="0" w:evenVBand="0" w:oddHBand="0" w:evenHBand="0" w:firstRowFirstColumn="0" w:firstRowLastColumn="0" w:lastRowFirstColumn="0" w:lastRowLastColumn="0"/>
            </w:pPr>
            <w:r w:rsidRPr="000F23E0">
              <w:t>N/A</w:t>
            </w:r>
          </w:p>
        </w:tc>
      </w:tr>
      <w:tr w:rsidR="00EB7950" w:rsidRPr="000F23E0" w14:paraId="434E7EF5" w14:textId="77777777" w:rsidTr="0048145F">
        <w:trPr>
          <w:trHeight w:val="258"/>
        </w:trPr>
        <w:tc>
          <w:tcPr>
            <w:cnfStyle w:val="001000000000" w:firstRow="0" w:lastRow="0" w:firstColumn="1" w:lastColumn="0" w:oddVBand="0" w:evenVBand="0" w:oddHBand="0" w:evenHBand="0" w:firstRowFirstColumn="0" w:firstRowLastColumn="0" w:lastRowFirstColumn="0" w:lastRowLastColumn="0"/>
            <w:tcW w:w="1130" w:type="dxa"/>
            <w:vMerge/>
          </w:tcPr>
          <w:p w14:paraId="40F546E9" w14:textId="77777777" w:rsidR="004015C7" w:rsidRPr="000F23E0" w:rsidRDefault="004015C7" w:rsidP="00D6435A">
            <w:pPr>
              <w:pStyle w:val="TableTextLeft"/>
              <w:rPr>
                <w:rFonts w:cstheme="minorHAnsi"/>
                <w:b/>
                <w:bCs w:val="0"/>
                <w:color w:val="000000"/>
                <w:szCs w:val="18"/>
              </w:rPr>
            </w:pPr>
          </w:p>
        </w:tc>
        <w:tc>
          <w:tcPr>
            <w:tcW w:w="3263" w:type="dxa"/>
            <w:shd w:val="clear" w:color="auto" w:fill="FEFAF8"/>
          </w:tcPr>
          <w:p w14:paraId="3D042B91" w14:textId="429ECBBA" w:rsidR="004015C7" w:rsidRPr="000F23E0" w:rsidRDefault="004015C7" w:rsidP="0055685D">
            <w:pPr>
              <w:pStyle w:val="TableTextLeft"/>
              <w:cnfStyle w:val="000000000000" w:firstRow="0" w:lastRow="0" w:firstColumn="0" w:lastColumn="0" w:oddVBand="0" w:evenVBand="0" w:oddHBand="0" w:evenHBand="0" w:firstRowFirstColumn="0" w:firstRowLastColumn="0" w:lastRowFirstColumn="0" w:lastRowLastColumn="0"/>
            </w:pPr>
            <w:r w:rsidRPr="000F23E0">
              <w:t>Water for Women Climate Resilient Inclusive Water, Sanitation and Hygiene Fund (2018</w:t>
            </w:r>
            <w:r w:rsidR="00BB60BE" w:rsidRPr="000F23E0">
              <w:t>–</w:t>
            </w:r>
            <w:r w:rsidRPr="000F23E0">
              <w:t>2025)</w:t>
            </w:r>
          </w:p>
        </w:tc>
        <w:tc>
          <w:tcPr>
            <w:tcW w:w="1127" w:type="dxa"/>
            <w:shd w:val="clear" w:color="auto" w:fill="FEFAF8"/>
          </w:tcPr>
          <w:p w14:paraId="412F0ECC" w14:textId="1F15A304" w:rsidR="004015C7" w:rsidRPr="000F23E0" w:rsidRDefault="004015C7" w:rsidP="00D95811">
            <w:pPr>
              <w:pStyle w:val="TableTextRight"/>
              <w:cnfStyle w:val="000000000000" w:firstRow="0" w:lastRow="0" w:firstColumn="0" w:lastColumn="0" w:oddVBand="0" w:evenVBand="0" w:oddHBand="0" w:evenHBand="0" w:firstRowFirstColumn="0" w:firstRowLastColumn="0" w:lastRowFirstColumn="0" w:lastRowLastColumn="0"/>
            </w:pPr>
            <w:r w:rsidRPr="000F23E0">
              <w:t>9.5</w:t>
            </w:r>
          </w:p>
        </w:tc>
        <w:tc>
          <w:tcPr>
            <w:tcW w:w="1048" w:type="dxa"/>
            <w:shd w:val="clear" w:color="auto" w:fill="FEFAF8"/>
          </w:tcPr>
          <w:p w14:paraId="7F962463" w14:textId="5010566E" w:rsidR="004015C7" w:rsidRPr="000F23E0" w:rsidRDefault="004015C7" w:rsidP="00D95811">
            <w:pPr>
              <w:pStyle w:val="TableTextRight"/>
              <w:cnfStyle w:val="000000000000" w:firstRow="0" w:lastRow="0" w:firstColumn="0" w:lastColumn="0" w:oddVBand="0" w:evenVBand="0" w:oddHBand="0" w:evenHBand="0" w:firstRowFirstColumn="0" w:firstRowLastColumn="0" w:lastRowFirstColumn="0" w:lastRowLastColumn="0"/>
            </w:pPr>
            <w:r w:rsidRPr="000F23E0">
              <w:t>5.1</w:t>
            </w:r>
          </w:p>
        </w:tc>
        <w:tc>
          <w:tcPr>
            <w:tcW w:w="1510" w:type="dxa"/>
            <w:shd w:val="clear" w:color="auto" w:fill="FEFAF8"/>
          </w:tcPr>
          <w:p w14:paraId="3DFEDB8E" w14:textId="7080972F" w:rsidR="004015C7" w:rsidRPr="000F23E0" w:rsidRDefault="004015C7" w:rsidP="00D95811">
            <w:pPr>
              <w:pStyle w:val="TableTextRight"/>
              <w:cnfStyle w:val="000000000000" w:firstRow="0" w:lastRow="0" w:firstColumn="0" w:lastColumn="0" w:oddVBand="0" w:evenVBand="0" w:oddHBand="0" w:evenHBand="0" w:firstRowFirstColumn="0" w:firstRowLastColumn="0" w:lastRowFirstColumn="0" w:lastRowLastColumn="0"/>
            </w:pPr>
            <w:r w:rsidRPr="000F23E0">
              <w:t>N/A</w:t>
            </w:r>
          </w:p>
        </w:tc>
        <w:tc>
          <w:tcPr>
            <w:tcW w:w="982" w:type="dxa"/>
            <w:shd w:val="clear" w:color="auto" w:fill="FEFAF8"/>
          </w:tcPr>
          <w:p w14:paraId="7539BE82" w14:textId="1159B2D5" w:rsidR="004015C7" w:rsidRPr="000F23E0" w:rsidRDefault="004015C7" w:rsidP="00D95811">
            <w:pPr>
              <w:pStyle w:val="TableTextRight"/>
              <w:cnfStyle w:val="000000000000" w:firstRow="0" w:lastRow="0" w:firstColumn="0" w:lastColumn="0" w:oddVBand="0" w:evenVBand="0" w:oddHBand="0" w:evenHBand="0" w:firstRowFirstColumn="0" w:firstRowLastColumn="0" w:lastRowFirstColumn="0" w:lastRowLastColumn="0"/>
            </w:pPr>
            <w:r w:rsidRPr="000F23E0">
              <w:t>N/A</w:t>
            </w:r>
          </w:p>
        </w:tc>
      </w:tr>
      <w:tr w:rsidR="00EB7950" w:rsidRPr="000F23E0" w14:paraId="5DECD4B7" w14:textId="77777777" w:rsidTr="0048145F">
        <w:trPr>
          <w:trHeight w:val="258"/>
        </w:trPr>
        <w:tc>
          <w:tcPr>
            <w:cnfStyle w:val="001000000000" w:firstRow="0" w:lastRow="0" w:firstColumn="1" w:lastColumn="0" w:oddVBand="0" w:evenVBand="0" w:oddHBand="0" w:evenHBand="0" w:firstRowFirstColumn="0" w:firstRowLastColumn="0" w:lastRowFirstColumn="0" w:lastRowLastColumn="0"/>
            <w:tcW w:w="1130" w:type="dxa"/>
            <w:vMerge/>
          </w:tcPr>
          <w:p w14:paraId="41D08E41" w14:textId="77777777" w:rsidR="004015C7" w:rsidRPr="000F23E0" w:rsidRDefault="004015C7" w:rsidP="00D6435A">
            <w:pPr>
              <w:pStyle w:val="TableTextLeft"/>
              <w:rPr>
                <w:rFonts w:cstheme="minorHAnsi"/>
                <w:b/>
                <w:bCs w:val="0"/>
                <w:color w:val="000000"/>
                <w:szCs w:val="18"/>
              </w:rPr>
            </w:pPr>
          </w:p>
        </w:tc>
        <w:tc>
          <w:tcPr>
            <w:tcW w:w="3263" w:type="dxa"/>
            <w:shd w:val="clear" w:color="auto" w:fill="FEFAF8"/>
          </w:tcPr>
          <w:p w14:paraId="39BE8ADA" w14:textId="4FBA86C2" w:rsidR="004015C7" w:rsidRPr="000F23E0" w:rsidRDefault="004015C7" w:rsidP="0055685D">
            <w:pPr>
              <w:pStyle w:val="TableTextLeft"/>
              <w:cnfStyle w:val="000000000000" w:firstRow="0" w:lastRow="0" w:firstColumn="0" w:lastColumn="0" w:oddVBand="0" w:evenVBand="0" w:oddHBand="0" w:evenHBand="0" w:firstRowFirstColumn="0" w:firstRowLastColumn="0" w:lastRowFirstColumn="0" w:lastRowLastColumn="0"/>
            </w:pPr>
            <w:r w:rsidRPr="000F23E0">
              <w:t>Pacific Climate Infrastructure Financing Partnership (PCIFP) - Off-Grid Programs</w:t>
            </w:r>
          </w:p>
        </w:tc>
        <w:tc>
          <w:tcPr>
            <w:tcW w:w="1127" w:type="dxa"/>
            <w:shd w:val="clear" w:color="auto" w:fill="FEFAF8"/>
          </w:tcPr>
          <w:p w14:paraId="6CB67B51" w14:textId="178D1176" w:rsidR="004015C7" w:rsidRPr="000F23E0" w:rsidRDefault="004015C7" w:rsidP="00D95811">
            <w:pPr>
              <w:pStyle w:val="TableTextRight"/>
              <w:cnfStyle w:val="000000000000" w:firstRow="0" w:lastRow="0" w:firstColumn="0" w:lastColumn="0" w:oddVBand="0" w:evenVBand="0" w:oddHBand="0" w:evenHBand="0" w:firstRowFirstColumn="0" w:firstRowLastColumn="0" w:lastRowFirstColumn="0" w:lastRowLastColumn="0"/>
            </w:pPr>
            <w:r w:rsidRPr="000F23E0">
              <w:t>15.0</w:t>
            </w:r>
          </w:p>
        </w:tc>
        <w:tc>
          <w:tcPr>
            <w:tcW w:w="1048" w:type="dxa"/>
            <w:shd w:val="clear" w:color="auto" w:fill="FEFAF8"/>
          </w:tcPr>
          <w:p w14:paraId="57B43193" w14:textId="1D30F3EE" w:rsidR="004015C7" w:rsidRPr="000F23E0" w:rsidRDefault="004015C7" w:rsidP="00D95811">
            <w:pPr>
              <w:pStyle w:val="TableTextRight"/>
              <w:cnfStyle w:val="000000000000" w:firstRow="0" w:lastRow="0" w:firstColumn="0" w:lastColumn="0" w:oddVBand="0" w:evenVBand="0" w:oddHBand="0" w:evenHBand="0" w:firstRowFirstColumn="0" w:firstRowLastColumn="0" w:lastRowFirstColumn="0" w:lastRowLastColumn="0"/>
            </w:pPr>
            <w:r w:rsidRPr="000F23E0">
              <w:t>8.1</w:t>
            </w:r>
          </w:p>
        </w:tc>
        <w:tc>
          <w:tcPr>
            <w:tcW w:w="1510" w:type="dxa"/>
            <w:shd w:val="clear" w:color="auto" w:fill="FEFAF8"/>
          </w:tcPr>
          <w:p w14:paraId="36DEB9C8" w14:textId="1034C6BC" w:rsidR="004015C7" w:rsidRPr="000F23E0" w:rsidRDefault="004015C7" w:rsidP="00D95811">
            <w:pPr>
              <w:pStyle w:val="TableTextRight"/>
              <w:cnfStyle w:val="000000000000" w:firstRow="0" w:lastRow="0" w:firstColumn="0" w:lastColumn="0" w:oddVBand="0" w:evenVBand="0" w:oddHBand="0" w:evenHBand="0" w:firstRowFirstColumn="0" w:firstRowLastColumn="0" w:lastRowFirstColumn="0" w:lastRowLastColumn="0"/>
            </w:pPr>
            <w:r w:rsidRPr="000F23E0">
              <w:t>N/A</w:t>
            </w:r>
          </w:p>
        </w:tc>
        <w:tc>
          <w:tcPr>
            <w:tcW w:w="982" w:type="dxa"/>
            <w:shd w:val="clear" w:color="auto" w:fill="FEFAF8"/>
          </w:tcPr>
          <w:p w14:paraId="1989FE48" w14:textId="392E4DA7" w:rsidR="004015C7" w:rsidRPr="000F23E0" w:rsidRDefault="004015C7" w:rsidP="00D95811">
            <w:pPr>
              <w:pStyle w:val="TableTextRight"/>
              <w:cnfStyle w:val="000000000000" w:firstRow="0" w:lastRow="0" w:firstColumn="0" w:lastColumn="0" w:oddVBand="0" w:evenVBand="0" w:oddHBand="0" w:evenHBand="0" w:firstRowFirstColumn="0" w:firstRowLastColumn="0" w:lastRowFirstColumn="0" w:lastRowLastColumn="0"/>
            </w:pPr>
            <w:r w:rsidRPr="000F23E0">
              <w:t>N/A</w:t>
            </w:r>
          </w:p>
        </w:tc>
      </w:tr>
      <w:tr w:rsidR="00EB7950" w:rsidRPr="000F23E0" w14:paraId="29FA83ED" w14:textId="77777777" w:rsidTr="0048145F">
        <w:trPr>
          <w:trHeight w:val="258"/>
        </w:trPr>
        <w:tc>
          <w:tcPr>
            <w:cnfStyle w:val="001000000000" w:firstRow="0" w:lastRow="0" w:firstColumn="1" w:lastColumn="0" w:oddVBand="0" w:evenVBand="0" w:oddHBand="0" w:evenHBand="0" w:firstRowFirstColumn="0" w:firstRowLastColumn="0" w:lastRowFirstColumn="0" w:lastRowLastColumn="0"/>
            <w:tcW w:w="1130" w:type="dxa"/>
            <w:vMerge/>
          </w:tcPr>
          <w:p w14:paraId="29316F6C" w14:textId="77777777" w:rsidR="004015C7" w:rsidRPr="000F23E0" w:rsidRDefault="004015C7" w:rsidP="00D6435A">
            <w:pPr>
              <w:pStyle w:val="TableTextLeft"/>
              <w:rPr>
                <w:rFonts w:cstheme="minorHAnsi"/>
                <w:b/>
                <w:bCs w:val="0"/>
                <w:color w:val="000000"/>
                <w:szCs w:val="18"/>
              </w:rPr>
            </w:pPr>
          </w:p>
        </w:tc>
        <w:tc>
          <w:tcPr>
            <w:tcW w:w="3263" w:type="dxa"/>
            <w:shd w:val="clear" w:color="auto" w:fill="FEFAF8"/>
          </w:tcPr>
          <w:p w14:paraId="61A95209" w14:textId="68093773" w:rsidR="004015C7" w:rsidRPr="000F23E0" w:rsidRDefault="00D6435A" w:rsidP="0055685D">
            <w:pPr>
              <w:pStyle w:val="TableTextLeft"/>
              <w:cnfStyle w:val="000000000000" w:firstRow="0" w:lastRow="0" w:firstColumn="0" w:lastColumn="0" w:oddVBand="0" w:evenVBand="0" w:oddHBand="0" w:evenHBand="0" w:firstRowFirstColumn="0" w:firstRowLastColumn="0" w:lastRowFirstColumn="0" w:lastRowLastColumn="0"/>
            </w:pPr>
            <w:r w:rsidRPr="000F23E0">
              <w:t>Australia</w:t>
            </w:r>
            <w:r w:rsidR="0084495A" w:rsidRPr="000F23E0">
              <w:t>n</w:t>
            </w:r>
            <w:r w:rsidR="004015C7" w:rsidRPr="000F23E0">
              <w:t xml:space="preserve"> Water Partnership for the Indo</w:t>
            </w:r>
            <w:r w:rsidR="00BB60BE" w:rsidRPr="000F23E0">
              <w:noBreakHyphen/>
            </w:r>
            <w:r w:rsidR="004015C7" w:rsidRPr="000F23E0">
              <w:t>Pacific Phase 3</w:t>
            </w:r>
          </w:p>
        </w:tc>
        <w:tc>
          <w:tcPr>
            <w:tcW w:w="1127" w:type="dxa"/>
            <w:shd w:val="clear" w:color="auto" w:fill="FEFAF8"/>
          </w:tcPr>
          <w:p w14:paraId="6F617BFF" w14:textId="3B8DCF9B" w:rsidR="004015C7" w:rsidRPr="000F23E0" w:rsidRDefault="004015C7" w:rsidP="00D95811">
            <w:pPr>
              <w:pStyle w:val="TableTextRight"/>
              <w:cnfStyle w:val="000000000000" w:firstRow="0" w:lastRow="0" w:firstColumn="0" w:lastColumn="0" w:oddVBand="0" w:evenVBand="0" w:oddHBand="0" w:evenHBand="0" w:firstRowFirstColumn="0" w:firstRowLastColumn="0" w:lastRowFirstColumn="0" w:lastRowLastColumn="0"/>
            </w:pPr>
            <w:r w:rsidRPr="000F23E0">
              <w:t>8.3</w:t>
            </w:r>
          </w:p>
        </w:tc>
        <w:tc>
          <w:tcPr>
            <w:tcW w:w="1048" w:type="dxa"/>
            <w:shd w:val="clear" w:color="auto" w:fill="FEFAF8"/>
          </w:tcPr>
          <w:p w14:paraId="6DD60416" w14:textId="7E8FB9D3" w:rsidR="004015C7" w:rsidRPr="000F23E0" w:rsidRDefault="004015C7" w:rsidP="00D95811">
            <w:pPr>
              <w:pStyle w:val="TableTextRight"/>
              <w:cnfStyle w:val="000000000000" w:firstRow="0" w:lastRow="0" w:firstColumn="0" w:lastColumn="0" w:oddVBand="0" w:evenVBand="0" w:oddHBand="0" w:evenHBand="0" w:firstRowFirstColumn="0" w:firstRowLastColumn="0" w:lastRowFirstColumn="0" w:lastRowLastColumn="0"/>
            </w:pPr>
            <w:r w:rsidRPr="000F23E0">
              <w:t>4.5</w:t>
            </w:r>
          </w:p>
        </w:tc>
        <w:tc>
          <w:tcPr>
            <w:tcW w:w="1510" w:type="dxa"/>
            <w:shd w:val="clear" w:color="auto" w:fill="FEFAF8"/>
          </w:tcPr>
          <w:p w14:paraId="4667A0B9" w14:textId="53B8DA0F" w:rsidR="004015C7" w:rsidRPr="000F23E0" w:rsidRDefault="004015C7" w:rsidP="00D95811">
            <w:pPr>
              <w:pStyle w:val="TableTextRight"/>
              <w:cnfStyle w:val="000000000000" w:firstRow="0" w:lastRow="0" w:firstColumn="0" w:lastColumn="0" w:oddVBand="0" w:evenVBand="0" w:oddHBand="0" w:evenHBand="0" w:firstRowFirstColumn="0" w:firstRowLastColumn="0" w:lastRowFirstColumn="0" w:lastRowLastColumn="0"/>
            </w:pPr>
            <w:r w:rsidRPr="000F23E0">
              <w:t>N/A</w:t>
            </w:r>
          </w:p>
        </w:tc>
        <w:tc>
          <w:tcPr>
            <w:tcW w:w="982" w:type="dxa"/>
            <w:shd w:val="clear" w:color="auto" w:fill="FEFAF8"/>
          </w:tcPr>
          <w:p w14:paraId="108DC63B" w14:textId="4065C2F4" w:rsidR="004015C7" w:rsidRPr="000F23E0" w:rsidRDefault="004015C7" w:rsidP="00D95811">
            <w:pPr>
              <w:pStyle w:val="TableTextRight"/>
              <w:cnfStyle w:val="000000000000" w:firstRow="0" w:lastRow="0" w:firstColumn="0" w:lastColumn="0" w:oddVBand="0" w:evenVBand="0" w:oddHBand="0" w:evenHBand="0" w:firstRowFirstColumn="0" w:firstRowLastColumn="0" w:lastRowFirstColumn="0" w:lastRowLastColumn="0"/>
            </w:pPr>
            <w:r w:rsidRPr="000F23E0">
              <w:t>N/A</w:t>
            </w:r>
          </w:p>
        </w:tc>
      </w:tr>
      <w:tr w:rsidR="00EB7950" w:rsidRPr="000F23E0" w14:paraId="764C4B36" w14:textId="77777777" w:rsidTr="0048145F">
        <w:trPr>
          <w:trHeight w:val="258"/>
        </w:trPr>
        <w:tc>
          <w:tcPr>
            <w:cnfStyle w:val="001000000000" w:firstRow="0" w:lastRow="0" w:firstColumn="1" w:lastColumn="0" w:oddVBand="0" w:evenVBand="0" w:oddHBand="0" w:evenHBand="0" w:firstRowFirstColumn="0" w:firstRowLastColumn="0" w:lastRowFirstColumn="0" w:lastRowLastColumn="0"/>
            <w:tcW w:w="1130" w:type="dxa"/>
            <w:vMerge/>
          </w:tcPr>
          <w:p w14:paraId="1663B233" w14:textId="77777777" w:rsidR="004015C7" w:rsidRPr="000F23E0" w:rsidRDefault="004015C7" w:rsidP="00D6435A">
            <w:pPr>
              <w:pStyle w:val="TableTextLeft"/>
              <w:rPr>
                <w:rFonts w:cstheme="minorHAnsi"/>
                <w:b/>
                <w:bCs w:val="0"/>
                <w:color w:val="000000"/>
                <w:szCs w:val="18"/>
              </w:rPr>
            </w:pPr>
          </w:p>
        </w:tc>
        <w:tc>
          <w:tcPr>
            <w:tcW w:w="3263" w:type="dxa"/>
            <w:shd w:val="clear" w:color="auto" w:fill="FEFAF8"/>
          </w:tcPr>
          <w:p w14:paraId="0AA3E14F" w14:textId="0E09508C" w:rsidR="004015C7" w:rsidRPr="000F23E0" w:rsidRDefault="004015C7" w:rsidP="0055685D">
            <w:pPr>
              <w:pStyle w:val="TableTextLeft"/>
              <w:cnfStyle w:val="000000000000" w:firstRow="0" w:lastRow="0" w:firstColumn="0" w:lastColumn="0" w:oddVBand="0" w:evenVBand="0" w:oddHBand="0" w:evenHBand="0" w:firstRowFirstColumn="0" w:firstRowLastColumn="0" w:lastRowFirstColumn="0" w:lastRowLastColumn="0"/>
            </w:pPr>
            <w:r w:rsidRPr="000F23E0">
              <w:t>Tuvalu Coastal Adaptation Project</w:t>
            </w:r>
          </w:p>
        </w:tc>
        <w:tc>
          <w:tcPr>
            <w:tcW w:w="1127" w:type="dxa"/>
            <w:shd w:val="clear" w:color="auto" w:fill="FEFAF8"/>
          </w:tcPr>
          <w:p w14:paraId="6F965B3B" w14:textId="4F465DC1" w:rsidR="004015C7" w:rsidRPr="000F23E0" w:rsidRDefault="004015C7" w:rsidP="00D95811">
            <w:pPr>
              <w:pStyle w:val="TableTextRight"/>
              <w:cnfStyle w:val="000000000000" w:firstRow="0" w:lastRow="0" w:firstColumn="0" w:lastColumn="0" w:oddVBand="0" w:evenVBand="0" w:oddHBand="0" w:evenHBand="0" w:firstRowFirstColumn="0" w:firstRowLastColumn="0" w:lastRowFirstColumn="0" w:lastRowLastColumn="0"/>
            </w:pPr>
            <w:r w:rsidRPr="000F23E0">
              <w:t>3.8</w:t>
            </w:r>
          </w:p>
        </w:tc>
        <w:tc>
          <w:tcPr>
            <w:tcW w:w="1048" w:type="dxa"/>
            <w:shd w:val="clear" w:color="auto" w:fill="FEFAF8"/>
          </w:tcPr>
          <w:p w14:paraId="64726F29" w14:textId="4DDD0BF6" w:rsidR="004015C7" w:rsidRPr="000F23E0" w:rsidRDefault="004015C7" w:rsidP="00D95811">
            <w:pPr>
              <w:pStyle w:val="TableTextRight"/>
              <w:cnfStyle w:val="000000000000" w:firstRow="0" w:lastRow="0" w:firstColumn="0" w:lastColumn="0" w:oddVBand="0" w:evenVBand="0" w:oddHBand="0" w:evenHBand="0" w:firstRowFirstColumn="0" w:firstRowLastColumn="0" w:lastRowFirstColumn="0" w:lastRowLastColumn="0"/>
            </w:pPr>
            <w:r w:rsidRPr="000F23E0">
              <w:t>2.0</w:t>
            </w:r>
          </w:p>
        </w:tc>
        <w:tc>
          <w:tcPr>
            <w:tcW w:w="1510" w:type="dxa"/>
            <w:shd w:val="clear" w:color="auto" w:fill="FEFAF8"/>
          </w:tcPr>
          <w:p w14:paraId="151F6BF6" w14:textId="75926164" w:rsidR="004015C7" w:rsidRPr="000F23E0" w:rsidRDefault="004015C7" w:rsidP="00D95811">
            <w:pPr>
              <w:pStyle w:val="TableTextRight"/>
              <w:cnfStyle w:val="000000000000" w:firstRow="0" w:lastRow="0" w:firstColumn="0" w:lastColumn="0" w:oddVBand="0" w:evenVBand="0" w:oddHBand="0" w:evenHBand="0" w:firstRowFirstColumn="0" w:firstRowLastColumn="0" w:lastRowFirstColumn="0" w:lastRowLastColumn="0"/>
            </w:pPr>
            <w:r w:rsidRPr="000F23E0">
              <w:t>N/A</w:t>
            </w:r>
          </w:p>
        </w:tc>
        <w:tc>
          <w:tcPr>
            <w:tcW w:w="982" w:type="dxa"/>
            <w:shd w:val="clear" w:color="auto" w:fill="FEFAF8"/>
          </w:tcPr>
          <w:p w14:paraId="717D7DB4" w14:textId="1AF4E8D4" w:rsidR="004015C7" w:rsidRPr="000F23E0" w:rsidRDefault="004015C7" w:rsidP="00D95811">
            <w:pPr>
              <w:pStyle w:val="TableTextRight"/>
              <w:cnfStyle w:val="000000000000" w:firstRow="0" w:lastRow="0" w:firstColumn="0" w:lastColumn="0" w:oddVBand="0" w:evenVBand="0" w:oddHBand="0" w:evenHBand="0" w:firstRowFirstColumn="0" w:firstRowLastColumn="0" w:lastRowFirstColumn="0" w:lastRowLastColumn="0"/>
            </w:pPr>
            <w:r w:rsidRPr="000F23E0">
              <w:t>N/A</w:t>
            </w:r>
          </w:p>
        </w:tc>
      </w:tr>
      <w:tr w:rsidR="00EB7950" w:rsidRPr="000F23E0" w14:paraId="0D016EEE" w14:textId="77777777" w:rsidTr="0048145F">
        <w:trPr>
          <w:trHeight w:val="258"/>
        </w:trPr>
        <w:tc>
          <w:tcPr>
            <w:cnfStyle w:val="001000000000" w:firstRow="0" w:lastRow="0" w:firstColumn="1" w:lastColumn="0" w:oddVBand="0" w:evenVBand="0" w:oddHBand="0" w:evenHBand="0" w:firstRowFirstColumn="0" w:firstRowLastColumn="0" w:lastRowFirstColumn="0" w:lastRowLastColumn="0"/>
            <w:tcW w:w="1130" w:type="dxa"/>
            <w:vMerge/>
          </w:tcPr>
          <w:p w14:paraId="5D4F0348" w14:textId="77777777" w:rsidR="004015C7" w:rsidRPr="000F23E0" w:rsidRDefault="004015C7" w:rsidP="00D6435A">
            <w:pPr>
              <w:pStyle w:val="TableTextLeft"/>
              <w:rPr>
                <w:rFonts w:cstheme="minorHAnsi"/>
                <w:b/>
                <w:bCs w:val="0"/>
                <w:color w:val="000000"/>
                <w:szCs w:val="18"/>
              </w:rPr>
            </w:pPr>
          </w:p>
        </w:tc>
        <w:tc>
          <w:tcPr>
            <w:tcW w:w="3263" w:type="dxa"/>
            <w:shd w:val="clear" w:color="auto" w:fill="FEFAF8"/>
          </w:tcPr>
          <w:p w14:paraId="67EE5B50" w14:textId="056A6270" w:rsidR="004015C7" w:rsidRPr="000F23E0" w:rsidRDefault="004015C7" w:rsidP="0055685D">
            <w:pPr>
              <w:pStyle w:val="TableTextLeft"/>
              <w:cnfStyle w:val="000000000000" w:firstRow="0" w:lastRow="0" w:firstColumn="0" w:lastColumn="0" w:oddVBand="0" w:evenVBand="0" w:oddHBand="0" w:evenHBand="0" w:firstRowFirstColumn="0" w:firstRowLastColumn="0" w:lastRowFirstColumn="0" w:lastRowLastColumn="0"/>
            </w:pPr>
            <w:r w:rsidRPr="000F23E0">
              <w:t>Kiribati-Australia Climate Partnership</w:t>
            </w:r>
          </w:p>
        </w:tc>
        <w:tc>
          <w:tcPr>
            <w:tcW w:w="1127" w:type="dxa"/>
            <w:shd w:val="clear" w:color="auto" w:fill="FEFAF8"/>
          </w:tcPr>
          <w:p w14:paraId="0DBE0BEE" w14:textId="4136E4F0" w:rsidR="004015C7" w:rsidRPr="000F23E0" w:rsidRDefault="004015C7" w:rsidP="00D95811">
            <w:pPr>
              <w:pStyle w:val="TableTextRight"/>
              <w:cnfStyle w:val="000000000000" w:firstRow="0" w:lastRow="0" w:firstColumn="0" w:lastColumn="0" w:oddVBand="0" w:evenVBand="0" w:oddHBand="0" w:evenHBand="0" w:firstRowFirstColumn="0" w:firstRowLastColumn="0" w:lastRowFirstColumn="0" w:lastRowLastColumn="0"/>
            </w:pPr>
            <w:r w:rsidRPr="000F23E0">
              <w:t>0.9</w:t>
            </w:r>
          </w:p>
        </w:tc>
        <w:tc>
          <w:tcPr>
            <w:tcW w:w="1048" w:type="dxa"/>
            <w:shd w:val="clear" w:color="auto" w:fill="FEFAF8"/>
          </w:tcPr>
          <w:p w14:paraId="2CE833C3" w14:textId="7C337368" w:rsidR="004015C7" w:rsidRPr="000F23E0" w:rsidRDefault="004015C7" w:rsidP="00D95811">
            <w:pPr>
              <w:pStyle w:val="TableTextRight"/>
              <w:cnfStyle w:val="000000000000" w:firstRow="0" w:lastRow="0" w:firstColumn="0" w:lastColumn="0" w:oddVBand="0" w:evenVBand="0" w:oddHBand="0" w:evenHBand="0" w:firstRowFirstColumn="0" w:firstRowLastColumn="0" w:lastRowFirstColumn="0" w:lastRowLastColumn="0"/>
            </w:pPr>
            <w:r w:rsidRPr="000F23E0">
              <w:t>0.5</w:t>
            </w:r>
          </w:p>
        </w:tc>
        <w:tc>
          <w:tcPr>
            <w:tcW w:w="1510" w:type="dxa"/>
            <w:shd w:val="clear" w:color="auto" w:fill="FEFAF8"/>
          </w:tcPr>
          <w:p w14:paraId="6316787C" w14:textId="0BAF2168" w:rsidR="004015C7" w:rsidRPr="000F23E0" w:rsidRDefault="004015C7" w:rsidP="00D95811">
            <w:pPr>
              <w:pStyle w:val="TableTextRight"/>
              <w:cnfStyle w:val="000000000000" w:firstRow="0" w:lastRow="0" w:firstColumn="0" w:lastColumn="0" w:oddVBand="0" w:evenVBand="0" w:oddHBand="0" w:evenHBand="0" w:firstRowFirstColumn="0" w:firstRowLastColumn="0" w:lastRowFirstColumn="0" w:lastRowLastColumn="0"/>
            </w:pPr>
            <w:r w:rsidRPr="000F23E0">
              <w:t>N/A</w:t>
            </w:r>
          </w:p>
        </w:tc>
        <w:tc>
          <w:tcPr>
            <w:tcW w:w="982" w:type="dxa"/>
            <w:shd w:val="clear" w:color="auto" w:fill="FEFAF8"/>
          </w:tcPr>
          <w:p w14:paraId="7019132C" w14:textId="4094CCDB" w:rsidR="004015C7" w:rsidRPr="000F23E0" w:rsidRDefault="004015C7" w:rsidP="00D95811">
            <w:pPr>
              <w:pStyle w:val="TableTextRight"/>
              <w:cnfStyle w:val="000000000000" w:firstRow="0" w:lastRow="0" w:firstColumn="0" w:lastColumn="0" w:oddVBand="0" w:evenVBand="0" w:oddHBand="0" w:evenHBand="0" w:firstRowFirstColumn="0" w:firstRowLastColumn="0" w:lastRowFirstColumn="0" w:lastRowLastColumn="0"/>
            </w:pPr>
            <w:r w:rsidRPr="000F23E0">
              <w:t>N/A</w:t>
            </w:r>
          </w:p>
        </w:tc>
      </w:tr>
      <w:tr w:rsidR="00EB7950" w:rsidRPr="000F23E0" w14:paraId="3DA054C6" w14:textId="77777777" w:rsidTr="0048145F">
        <w:trPr>
          <w:trHeight w:val="258"/>
        </w:trPr>
        <w:tc>
          <w:tcPr>
            <w:cnfStyle w:val="001000000000" w:firstRow="0" w:lastRow="0" w:firstColumn="1" w:lastColumn="0" w:oddVBand="0" w:evenVBand="0" w:oddHBand="0" w:evenHBand="0" w:firstRowFirstColumn="0" w:firstRowLastColumn="0" w:lastRowFirstColumn="0" w:lastRowLastColumn="0"/>
            <w:tcW w:w="1130" w:type="dxa"/>
            <w:vMerge/>
          </w:tcPr>
          <w:p w14:paraId="63BC4C00" w14:textId="77777777" w:rsidR="004015C7" w:rsidRPr="000F23E0" w:rsidRDefault="004015C7" w:rsidP="00D6435A">
            <w:pPr>
              <w:pStyle w:val="TableTextLeft"/>
              <w:rPr>
                <w:rFonts w:cstheme="minorHAnsi"/>
                <w:b/>
                <w:bCs w:val="0"/>
                <w:color w:val="000000"/>
                <w:szCs w:val="18"/>
              </w:rPr>
            </w:pPr>
          </w:p>
        </w:tc>
        <w:tc>
          <w:tcPr>
            <w:tcW w:w="3263" w:type="dxa"/>
            <w:shd w:val="clear" w:color="auto" w:fill="FEFAF8"/>
          </w:tcPr>
          <w:p w14:paraId="0B096254" w14:textId="0D4E59A9" w:rsidR="004015C7" w:rsidRPr="000F23E0" w:rsidRDefault="004015C7" w:rsidP="0055685D">
            <w:pPr>
              <w:pStyle w:val="TableTextLeft"/>
              <w:cnfStyle w:val="000000000000" w:firstRow="0" w:lastRow="0" w:firstColumn="0" w:lastColumn="0" w:oddVBand="0" w:evenVBand="0" w:oddHBand="0" w:evenHBand="0" w:firstRowFirstColumn="0" w:firstRowLastColumn="0" w:lastRowFirstColumn="0" w:lastRowLastColumn="0"/>
            </w:pPr>
            <w:r w:rsidRPr="000F23E0">
              <w:t xml:space="preserve">Fund for </w:t>
            </w:r>
            <w:r w:rsidR="00E2313A" w:rsidRPr="000F23E0">
              <w:t>R</w:t>
            </w:r>
            <w:r w:rsidR="00D6435A" w:rsidRPr="000F23E0">
              <w:t>esponding</w:t>
            </w:r>
            <w:r w:rsidRPr="000F23E0">
              <w:t xml:space="preserve"> to Loss and Damage (FRLD)</w:t>
            </w:r>
          </w:p>
        </w:tc>
        <w:tc>
          <w:tcPr>
            <w:tcW w:w="1127" w:type="dxa"/>
            <w:shd w:val="clear" w:color="auto" w:fill="FEFAF8"/>
          </w:tcPr>
          <w:p w14:paraId="07A2FDD7" w14:textId="5D526726" w:rsidR="004015C7" w:rsidRPr="000F23E0" w:rsidRDefault="004015C7" w:rsidP="00D95811">
            <w:pPr>
              <w:pStyle w:val="TableTextRight"/>
              <w:cnfStyle w:val="000000000000" w:firstRow="0" w:lastRow="0" w:firstColumn="0" w:lastColumn="0" w:oddVBand="0" w:evenVBand="0" w:oddHBand="0" w:evenHBand="0" w:firstRowFirstColumn="0" w:firstRowLastColumn="0" w:lastRowFirstColumn="0" w:lastRowLastColumn="0"/>
            </w:pPr>
            <w:r w:rsidRPr="000F23E0">
              <w:t>10.0</w:t>
            </w:r>
          </w:p>
        </w:tc>
        <w:tc>
          <w:tcPr>
            <w:tcW w:w="1048" w:type="dxa"/>
            <w:shd w:val="clear" w:color="auto" w:fill="FEFAF8"/>
          </w:tcPr>
          <w:p w14:paraId="3EFB8639" w14:textId="250EA387" w:rsidR="004015C7" w:rsidRPr="000F23E0" w:rsidRDefault="004015C7" w:rsidP="00D95811">
            <w:pPr>
              <w:pStyle w:val="TableTextRight"/>
              <w:cnfStyle w:val="000000000000" w:firstRow="0" w:lastRow="0" w:firstColumn="0" w:lastColumn="0" w:oddVBand="0" w:evenVBand="0" w:oddHBand="0" w:evenHBand="0" w:firstRowFirstColumn="0" w:firstRowLastColumn="0" w:lastRowFirstColumn="0" w:lastRowLastColumn="0"/>
            </w:pPr>
            <w:r w:rsidRPr="000F23E0">
              <w:t>5.4</w:t>
            </w:r>
          </w:p>
        </w:tc>
        <w:tc>
          <w:tcPr>
            <w:tcW w:w="1510" w:type="dxa"/>
            <w:shd w:val="clear" w:color="auto" w:fill="FEFAF8"/>
          </w:tcPr>
          <w:p w14:paraId="5259037C" w14:textId="58A151CB" w:rsidR="004015C7" w:rsidRPr="000F23E0" w:rsidRDefault="004015C7" w:rsidP="00D95811">
            <w:pPr>
              <w:pStyle w:val="TableTextRight"/>
              <w:cnfStyle w:val="000000000000" w:firstRow="0" w:lastRow="0" w:firstColumn="0" w:lastColumn="0" w:oddVBand="0" w:evenVBand="0" w:oddHBand="0" w:evenHBand="0" w:firstRowFirstColumn="0" w:firstRowLastColumn="0" w:lastRowFirstColumn="0" w:lastRowLastColumn="0"/>
            </w:pPr>
            <w:r w:rsidRPr="000F23E0">
              <w:t>N/A</w:t>
            </w:r>
          </w:p>
        </w:tc>
        <w:tc>
          <w:tcPr>
            <w:tcW w:w="982" w:type="dxa"/>
            <w:shd w:val="clear" w:color="auto" w:fill="FEFAF8"/>
          </w:tcPr>
          <w:p w14:paraId="3BE79087" w14:textId="2783BE1C" w:rsidR="004015C7" w:rsidRPr="000F23E0" w:rsidRDefault="004015C7" w:rsidP="00D95811">
            <w:pPr>
              <w:pStyle w:val="TableTextRight"/>
              <w:cnfStyle w:val="000000000000" w:firstRow="0" w:lastRow="0" w:firstColumn="0" w:lastColumn="0" w:oddVBand="0" w:evenVBand="0" w:oddHBand="0" w:evenHBand="0" w:firstRowFirstColumn="0" w:firstRowLastColumn="0" w:lastRowFirstColumn="0" w:lastRowLastColumn="0"/>
            </w:pPr>
            <w:r w:rsidRPr="000F23E0">
              <w:t>N/A</w:t>
            </w:r>
          </w:p>
        </w:tc>
      </w:tr>
      <w:tr w:rsidR="00EB7950" w:rsidRPr="000F23E0" w14:paraId="6B319C0A" w14:textId="77777777" w:rsidTr="0048145F">
        <w:trPr>
          <w:trHeight w:val="258"/>
        </w:trPr>
        <w:tc>
          <w:tcPr>
            <w:cnfStyle w:val="001000000000" w:firstRow="0" w:lastRow="0" w:firstColumn="1" w:lastColumn="0" w:oddVBand="0" w:evenVBand="0" w:oddHBand="0" w:evenHBand="0" w:firstRowFirstColumn="0" w:firstRowLastColumn="0" w:lastRowFirstColumn="0" w:lastRowLastColumn="0"/>
            <w:tcW w:w="1130" w:type="dxa"/>
            <w:vMerge/>
          </w:tcPr>
          <w:p w14:paraId="29EF3FFD" w14:textId="77777777" w:rsidR="004015C7" w:rsidRPr="000F23E0" w:rsidRDefault="004015C7" w:rsidP="00D6435A">
            <w:pPr>
              <w:pStyle w:val="TableTextLeft"/>
              <w:rPr>
                <w:rFonts w:cstheme="minorHAnsi"/>
                <w:b/>
                <w:bCs w:val="0"/>
                <w:color w:val="000000"/>
                <w:szCs w:val="18"/>
              </w:rPr>
            </w:pPr>
          </w:p>
        </w:tc>
        <w:tc>
          <w:tcPr>
            <w:tcW w:w="3263" w:type="dxa"/>
            <w:shd w:val="clear" w:color="auto" w:fill="FEFAF8"/>
          </w:tcPr>
          <w:p w14:paraId="7F95E805" w14:textId="431C261F" w:rsidR="004015C7" w:rsidRPr="000F23E0" w:rsidRDefault="004015C7" w:rsidP="0055685D">
            <w:pPr>
              <w:pStyle w:val="TableTextLeft"/>
              <w:cnfStyle w:val="000000000000" w:firstRow="0" w:lastRow="0" w:firstColumn="0" w:lastColumn="0" w:oddVBand="0" w:evenVBand="0" w:oddHBand="0" w:evenHBand="0" w:firstRowFirstColumn="0" w:firstRowLastColumn="0" w:lastRowFirstColumn="0" w:lastRowLastColumn="0"/>
            </w:pPr>
            <w:r w:rsidRPr="000F23E0">
              <w:t>Support for Weather Ready Pacific</w:t>
            </w:r>
          </w:p>
        </w:tc>
        <w:tc>
          <w:tcPr>
            <w:tcW w:w="1127" w:type="dxa"/>
            <w:shd w:val="clear" w:color="auto" w:fill="FEFAF8"/>
          </w:tcPr>
          <w:p w14:paraId="4C4385B3" w14:textId="02BD875F" w:rsidR="004015C7" w:rsidRPr="000F23E0" w:rsidRDefault="004015C7" w:rsidP="00D95811">
            <w:pPr>
              <w:pStyle w:val="TableTextRight"/>
              <w:cnfStyle w:val="000000000000" w:firstRow="0" w:lastRow="0" w:firstColumn="0" w:lastColumn="0" w:oddVBand="0" w:evenVBand="0" w:oddHBand="0" w:evenHBand="0" w:firstRowFirstColumn="0" w:firstRowLastColumn="0" w:lastRowFirstColumn="0" w:lastRowLastColumn="0"/>
            </w:pPr>
            <w:r w:rsidRPr="000F23E0">
              <w:t>7.5</w:t>
            </w:r>
          </w:p>
        </w:tc>
        <w:tc>
          <w:tcPr>
            <w:tcW w:w="1048" w:type="dxa"/>
            <w:shd w:val="clear" w:color="auto" w:fill="FEFAF8"/>
          </w:tcPr>
          <w:p w14:paraId="7DF50B22" w14:textId="75DA2382" w:rsidR="004015C7" w:rsidRPr="000F23E0" w:rsidRDefault="004015C7" w:rsidP="00D95811">
            <w:pPr>
              <w:pStyle w:val="TableTextRight"/>
              <w:cnfStyle w:val="000000000000" w:firstRow="0" w:lastRow="0" w:firstColumn="0" w:lastColumn="0" w:oddVBand="0" w:evenVBand="0" w:oddHBand="0" w:evenHBand="0" w:firstRowFirstColumn="0" w:firstRowLastColumn="0" w:lastRowFirstColumn="0" w:lastRowLastColumn="0"/>
            </w:pPr>
            <w:r w:rsidRPr="000F23E0">
              <w:t>4.0</w:t>
            </w:r>
          </w:p>
        </w:tc>
        <w:tc>
          <w:tcPr>
            <w:tcW w:w="1510" w:type="dxa"/>
            <w:shd w:val="clear" w:color="auto" w:fill="FEFAF8"/>
          </w:tcPr>
          <w:p w14:paraId="3CB90AAB" w14:textId="08ED23DC" w:rsidR="004015C7" w:rsidRPr="000F23E0" w:rsidRDefault="004015C7" w:rsidP="00D95811">
            <w:pPr>
              <w:pStyle w:val="TableTextRight"/>
              <w:cnfStyle w:val="000000000000" w:firstRow="0" w:lastRow="0" w:firstColumn="0" w:lastColumn="0" w:oddVBand="0" w:evenVBand="0" w:oddHBand="0" w:evenHBand="0" w:firstRowFirstColumn="0" w:firstRowLastColumn="0" w:lastRowFirstColumn="0" w:lastRowLastColumn="0"/>
            </w:pPr>
            <w:r w:rsidRPr="000F23E0">
              <w:t>N/A</w:t>
            </w:r>
          </w:p>
        </w:tc>
        <w:tc>
          <w:tcPr>
            <w:tcW w:w="982" w:type="dxa"/>
            <w:shd w:val="clear" w:color="auto" w:fill="FEFAF8"/>
          </w:tcPr>
          <w:p w14:paraId="21DB0A94" w14:textId="7F811F84" w:rsidR="004015C7" w:rsidRPr="000F23E0" w:rsidRDefault="004015C7" w:rsidP="00D95811">
            <w:pPr>
              <w:pStyle w:val="TableTextRight"/>
              <w:cnfStyle w:val="000000000000" w:firstRow="0" w:lastRow="0" w:firstColumn="0" w:lastColumn="0" w:oddVBand="0" w:evenVBand="0" w:oddHBand="0" w:evenHBand="0" w:firstRowFirstColumn="0" w:firstRowLastColumn="0" w:lastRowFirstColumn="0" w:lastRowLastColumn="0"/>
            </w:pPr>
            <w:r w:rsidRPr="000F23E0">
              <w:t>N/A</w:t>
            </w:r>
          </w:p>
        </w:tc>
      </w:tr>
      <w:tr w:rsidR="00EB7950" w:rsidRPr="000F23E0" w14:paraId="3D7155D6" w14:textId="77777777" w:rsidTr="0048145F">
        <w:trPr>
          <w:trHeight w:val="258"/>
        </w:trPr>
        <w:tc>
          <w:tcPr>
            <w:cnfStyle w:val="001000000000" w:firstRow="0" w:lastRow="0" w:firstColumn="1" w:lastColumn="0" w:oddVBand="0" w:evenVBand="0" w:oddHBand="0" w:evenHBand="0" w:firstRowFirstColumn="0" w:firstRowLastColumn="0" w:lastRowFirstColumn="0" w:lastRowLastColumn="0"/>
            <w:tcW w:w="1130" w:type="dxa"/>
            <w:vMerge/>
          </w:tcPr>
          <w:p w14:paraId="3D047D5A" w14:textId="77777777" w:rsidR="004015C7" w:rsidRPr="000F23E0" w:rsidRDefault="004015C7" w:rsidP="00D6435A">
            <w:pPr>
              <w:pStyle w:val="TableTextLeft"/>
              <w:rPr>
                <w:rFonts w:cstheme="minorHAnsi"/>
                <w:b/>
                <w:bCs w:val="0"/>
                <w:color w:val="000000"/>
                <w:szCs w:val="18"/>
              </w:rPr>
            </w:pPr>
          </w:p>
        </w:tc>
        <w:tc>
          <w:tcPr>
            <w:tcW w:w="3263" w:type="dxa"/>
            <w:shd w:val="clear" w:color="auto" w:fill="FEFAF8"/>
          </w:tcPr>
          <w:p w14:paraId="693C2863" w14:textId="6707A5BD" w:rsidR="004015C7" w:rsidRPr="000F23E0" w:rsidRDefault="004015C7" w:rsidP="0055685D">
            <w:pPr>
              <w:pStyle w:val="TableTextLeft"/>
              <w:cnfStyle w:val="000000000000" w:firstRow="0" w:lastRow="0" w:firstColumn="0" w:lastColumn="0" w:oddVBand="0" w:evenVBand="0" w:oddHBand="0" w:evenHBand="0" w:firstRowFirstColumn="0" w:firstRowLastColumn="0" w:lastRowFirstColumn="0" w:lastRowLastColumn="0"/>
            </w:pPr>
            <w:r w:rsidRPr="000F23E0">
              <w:t>Solomon Islands Humanitarian and Disaster</w:t>
            </w:r>
            <w:r w:rsidR="00BB60BE" w:rsidRPr="000F23E0">
              <w:t> </w:t>
            </w:r>
            <w:r w:rsidRPr="000F23E0">
              <w:t>Relief and Resilience Program</w:t>
            </w:r>
          </w:p>
        </w:tc>
        <w:tc>
          <w:tcPr>
            <w:tcW w:w="1127" w:type="dxa"/>
            <w:shd w:val="clear" w:color="auto" w:fill="FEFAF8"/>
          </w:tcPr>
          <w:p w14:paraId="54D67940" w14:textId="570FCBA6" w:rsidR="004015C7" w:rsidRPr="000F23E0" w:rsidRDefault="004015C7" w:rsidP="00D95811">
            <w:pPr>
              <w:pStyle w:val="TableTextRight"/>
              <w:cnfStyle w:val="000000000000" w:firstRow="0" w:lastRow="0" w:firstColumn="0" w:lastColumn="0" w:oddVBand="0" w:evenVBand="0" w:oddHBand="0" w:evenHBand="0" w:firstRowFirstColumn="0" w:firstRowLastColumn="0" w:lastRowFirstColumn="0" w:lastRowLastColumn="0"/>
            </w:pPr>
            <w:r w:rsidRPr="000F23E0">
              <w:t>1.1</w:t>
            </w:r>
          </w:p>
        </w:tc>
        <w:tc>
          <w:tcPr>
            <w:tcW w:w="1048" w:type="dxa"/>
            <w:shd w:val="clear" w:color="auto" w:fill="FEFAF8"/>
          </w:tcPr>
          <w:p w14:paraId="668B4757" w14:textId="02B747B6" w:rsidR="004015C7" w:rsidRPr="000F23E0" w:rsidRDefault="004015C7" w:rsidP="00D95811">
            <w:pPr>
              <w:pStyle w:val="TableTextRight"/>
              <w:cnfStyle w:val="000000000000" w:firstRow="0" w:lastRow="0" w:firstColumn="0" w:lastColumn="0" w:oddVBand="0" w:evenVBand="0" w:oddHBand="0" w:evenHBand="0" w:firstRowFirstColumn="0" w:firstRowLastColumn="0" w:lastRowFirstColumn="0" w:lastRowLastColumn="0"/>
            </w:pPr>
            <w:r w:rsidRPr="000F23E0">
              <w:t>0.6</w:t>
            </w:r>
          </w:p>
        </w:tc>
        <w:tc>
          <w:tcPr>
            <w:tcW w:w="1510" w:type="dxa"/>
            <w:shd w:val="clear" w:color="auto" w:fill="FEFAF8"/>
          </w:tcPr>
          <w:p w14:paraId="083CCFB7" w14:textId="0C856A1E" w:rsidR="004015C7" w:rsidRPr="000F23E0" w:rsidRDefault="004015C7" w:rsidP="00D95811">
            <w:pPr>
              <w:pStyle w:val="TableTextRight"/>
              <w:cnfStyle w:val="000000000000" w:firstRow="0" w:lastRow="0" w:firstColumn="0" w:lastColumn="0" w:oddVBand="0" w:evenVBand="0" w:oddHBand="0" w:evenHBand="0" w:firstRowFirstColumn="0" w:firstRowLastColumn="0" w:lastRowFirstColumn="0" w:lastRowLastColumn="0"/>
            </w:pPr>
            <w:r w:rsidRPr="000F23E0">
              <w:t>N/A</w:t>
            </w:r>
          </w:p>
        </w:tc>
        <w:tc>
          <w:tcPr>
            <w:tcW w:w="982" w:type="dxa"/>
            <w:shd w:val="clear" w:color="auto" w:fill="FEFAF8"/>
          </w:tcPr>
          <w:p w14:paraId="1FF963AB" w14:textId="17A2F774" w:rsidR="004015C7" w:rsidRPr="000F23E0" w:rsidRDefault="004015C7" w:rsidP="00D95811">
            <w:pPr>
              <w:pStyle w:val="TableTextRight"/>
              <w:cnfStyle w:val="000000000000" w:firstRow="0" w:lastRow="0" w:firstColumn="0" w:lastColumn="0" w:oddVBand="0" w:evenVBand="0" w:oddHBand="0" w:evenHBand="0" w:firstRowFirstColumn="0" w:firstRowLastColumn="0" w:lastRowFirstColumn="0" w:lastRowLastColumn="0"/>
            </w:pPr>
            <w:r w:rsidRPr="000F23E0">
              <w:t>N/A</w:t>
            </w:r>
          </w:p>
        </w:tc>
      </w:tr>
      <w:tr w:rsidR="00EB7950" w:rsidRPr="000F23E0" w14:paraId="06B8EEC8" w14:textId="77777777" w:rsidTr="0048145F">
        <w:trPr>
          <w:trHeight w:val="258"/>
        </w:trPr>
        <w:tc>
          <w:tcPr>
            <w:cnfStyle w:val="001000000000" w:firstRow="0" w:lastRow="0" w:firstColumn="1" w:lastColumn="0" w:oddVBand="0" w:evenVBand="0" w:oddHBand="0" w:evenHBand="0" w:firstRowFirstColumn="0" w:firstRowLastColumn="0" w:lastRowFirstColumn="0" w:lastRowLastColumn="0"/>
            <w:tcW w:w="1130" w:type="dxa"/>
            <w:vMerge/>
          </w:tcPr>
          <w:p w14:paraId="0326DAE7" w14:textId="77777777" w:rsidR="004015C7" w:rsidRPr="000F23E0" w:rsidRDefault="004015C7" w:rsidP="00D6435A">
            <w:pPr>
              <w:pStyle w:val="TableTextLeft"/>
            </w:pPr>
          </w:p>
        </w:tc>
        <w:tc>
          <w:tcPr>
            <w:tcW w:w="3263" w:type="dxa"/>
            <w:shd w:val="clear" w:color="auto" w:fill="FEFAF8"/>
          </w:tcPr>
          <w:p w14:paraId="46AD968D" w14:textId="0F64941D" w:rsidR="004015C7" w:rsidRPr="000F23E0" w:rsidRDefault="00D6435A" w:rsidP="0055685D">
            <w:pPr>
              <w:pStyle w:val="TableTextLeft"/>
              <w:cnfStyle w:val="000000000000" w:firstRow="0" w:lastRow="0" w:firstColumn="0" w:lastColumn="0" w:oddVBand="0" w:evenVBand="0" w:oddHBand="0" w:evenHBand="0" w:firstRowFirstColumn="0" w:firstRowLastColumn="0" w:lastRowFirstColumn="0" w:lastRowLastColumn="0"/>
              <w:rPr>
                <w:b/>
                <w:bCs/>
              </w:rPr>
            </w:pPr>
            <w:r w:rsidRPr="000F23E0">
              <w:rPr>
                <w:b/>
                <w:bCs/>
              </w:rPr>
              <w:t>Total</w:t>
            </w:r>
            <w:r w:rsidR="00D86B89" w:rsidRPr="000F23E0">
              <w:rPr>
                <w:b/>
                <w:bCs/>
              </w:rPr>
              <w:t xml:space="preserve"> (a)</w:t>
            </w:r>
          </w:p>
        </w:tc>
        <w:tc>
          <w:tcPr>
            <w:tcW w:w="1127" w:type="dxa"/>
            <w:shd w:val="clear" w:color="auto" w:fill="FEFAF8"/>
          </w:tcPr>
          <w:p w14:paraId="00BB3478" w14:textId="02A714E5" w:rsidR="004015C7" w:rsidRPr="000F23E0" w:rsidRDefault="004015C7" w:rsidP="00D95811">
            <w:pPr>
              <w:pStyle w:val="TableTextRight"/>
              <w:cnfStyle w:val="000000000000" w:firstRow="0" w:lastRow="0" w:firstColumn="0" w:lastColumn="0" w:oddVBand="0" w:evenVBand="0" w:oddHBand="0" w:evenHBand="0" w:firstRowFirstColumn="0" w:firstRowLastColumn="0" w:lastRowFirstColumn="0" w:lastRowLastColumn="0"/>
              <w:rPr>
                <w:b/>
                <w:bCs/>
              </w:rPr>
            </w:pPr>
            <w:r w:rsidRPr="000F23E0">
              <w:rPr>
                <w:b/>
                <w:bCs/>
              </w:rPr>
              <w:t>200.1</w:t>
            </w:r>
          </w:p>
        </w:tc>
        <w:tc>
          <w:tcPr>
            <w:tcW w:w="1048" w:type="dxa"/>
            <w:shd w:val="clear" w:color="auto" w:fill="FEFAF8"/>
          </w:tcPr>
          <w:p w14:paraId="26CD7E3C" w14:textId="6F7FB23B" w:rsidR="004015C7" w:rsidRPr="000F23E0" w:rsidRDefault="004015C7" w:rsidP="00D95811">
            <w:pPr>
              <w:pStyle w:val="TableTextRight"/>
              <w:cnfStyle w:val="000000000000" w:firstRow="0" w:lastRow="0" w:firstColumn="0" w:lastColumn="0" w:oddVBand="0" w:evenVBand="0" w:oddHBand="0" w:evenHBand="0" w:firstRowFirstColumn="0" w:firstRowLastColumn="0" w:lastRowFirstColumn="0" w:lastRowLastColumn="0"/>
              <w:rPr>
                <w:b/>
                <w:bCs/>
              </w:rPr>
            </w:pPr>
            <w:r w:rsidRPr="000F23E0">
              <w:rPr>
                <w:b/>
                <w:bCs/>
              </w:rPr>
              <w:t>108.3</w:t>
            </w:r>
          </w:p>
        </w:tc>
        <w:tc>
          <w:tcPr>
            <w:tcW w:w="1510" w:type="dxa"/>
            <w:shd w:val="clear" w:color="auto" w:fill="FEFAF8"/>
          </w:tcPr>
          <w:p w14:paraId="34707E2B" w14:textId="77777777" w:rsidR="004015C7" w:rsidRPr="000F23E0" w:rsidRDefault="004015C7" w:rsidP="00D95811">
            <w:pPr>
              <w:pStyle w:val="TableTextRight"/>
              <w:cnfStyle w:val="000000000000" w:firstRow="0" w:lastRow="0" w:firstColumn="0" w:lastColumn="0" w:oddVBand="0" w:evenVBand="0" w:oddHBand="0" w:evenHBand="0" w:firstRowFirstColumn="0" w:firstRowLastColumn="0" w:lastRowFirstColumn="0" w:lastRowLastColumn="0"/>
              <w:rPr>
                <w:b/>
                <w:bCs/>
              </w:rPr>
            </w:pPr>
            <w:r w:rsidRPr="000F23E0">
              <w:rPr>
                <w:b/>
                <w:bCs/>
              </w:rPr>
              <w:t>N/A</w:t>
            </w:r>
          </w:p>
        </w:tc>
        <w:tc>
          <w:tcPr>
            <w:tcW w:w="982" w:type="dxa"/>
            <w:shd w:val="clear" w:color="auto" w:fill="FEFAF8"/>
          </w:tcPr>
          <w:p w14:paraId="5AA4FE34" w14:textId="77777777" w:rsidR="004015C7" w:rsidRPr="000F23E0" w:rsidRDefault="004015C7" w:rsidP="00D95811">
            <w:pPr>
              <w:pStyle w:val="TableTextRight"/>
              <w:cnfStyle w:val="000000000000" w:firstRow="0" w:lastRow="0" w:firstColumn="0" w:lastColumn="0" w:oddVBand="0" w:evenVBand="0" w:oddHBand="0" w:evenHBand="0" w:firstRowFirstColumn="0" w:firstRowLastColumn="0" w:lastRowFirstColumn="0" w:lastRowLastColumn="0"/>
              <w:rPr>
                <w:b/>
                <w:bCs/>
              </w:rPr>
            </w:pPr>
            <w:r w:rsidRPr="000F23E0">
              <w:rPr>
                <w:b/>
                <w:bCs/>
              </w:rPr>
              <w:t>N/A</w:t>
            </w:r>
          </w:p>
        </w:tc>
      </w:tr>
    </w:tbl>
    <w:p w14:paraId="27507F67" w14:textId="0B7F6C08" w:rsidR="003115EE" w:rsidRPr="000F23E0" w:rsidRDefault="006870E9" w:rsidP="00EB55E2">
      <w:pPr>
        <w:pStyle w:val="ChartandTableFootnoteAlpha"/>
        <w:numPr>
          <w:ilvl w:val="0"/>
          <w:numId w:val="12"/>
        </w:numPr>
      </w:pPr>
      <w:r w:rsidRPr="000F23E0">
        <w:t>Due to rounding, discrepancies may occur between sums of the component items and totals.</w:t>
      </w:r>
    </w:p>
    <w:p w14:paraId="26E03C8D" w14:textId="519CAE9C" w:rsidR="00A05137" w:rsidRPr="000F23E0" w:rsidRDefault="00923760" w:rsidP="00D9048C">
      <w:pPr>
        <w:pStyle w:val="Heading4"/>
        <w:keepNext/>
        <w:keepLines/>
      </w:pPr>
      <w:r w:rsidRPr="000F23E0">
        <w:t>Co</w:t>
      </w:r>
      <w:r w:rsidR="002C4475" w:rsidRPr="000F23E0">
        <w:noBreakHyphen/>
      </w:r>
      <w:r w:rsidRPr="000F23E0">
        <w:t>financing arrangements</w:t>
      </w:r>
      <w:r w:rsidR="00AF326B" w:rsidRPr="000F23E0">
        <w:t xml:space="preserve"> and </w:t>
      </w:r>
      <w:r w:rsidR="000639AA" w:rsidRPr="000F23E0">
        <w:t>d</w:t>
      </w:r>
      <w:r w:rsidR="00AF326B" w:rsidRPr="000F23E0">
        <w:t xml:space="preserve">elivery </w:t>
      </w:r>
      <w:r w:rsidR="000639AA" w:rsidRPr="000F23E0">
        <w:t>p</w:t>
      </w:r>
      <w:r w:rsidR="00AF326B" w:rsidRPr="000F23E0">
        <w:t>artners</w:t>
      </w:r>
    </w:p>
    <w:p w14:paraId="3F4724CD" w14:textId="460F7366" w:rsidR="00935225" w:rsidRPr="000F23E0" w:rsidRDefault="001932EC" w:rsidP="00D9048C">
      <w:pPr>
        <w:keepNext/>
        <w:keepLines/>
      </w:pPr>
      <w:r w:rsidRPr="000F23E0">
        <w:t>Australia</w:t>
      </w:r>
      <w:r w:rsidR="002C4475" w:rsidRPr="000F23E0">
        <w:t>’</w:t>
      </w:r>
      <w:r w:rsidRPr="000F23E0">
        <w:t xml:space="preserve">s international climate finance programs are generally </w:t>
      </w:r>
      <w:r w:rsidR="00285A8F" w:rsidRPr="000F23E0">
        <w:t>delivered jointly</w:t>
      </w:r>
      <w:r w:rsidRPr="000F23E0">
        <w:t xml:space="preserve"> funded with other countries or global organisations</w:t>
      </w:r>
      <w:r w:rsidR="00A23A91" w:rsidRPr="000F23E0">
        <w:t>,</w:t>
      </w:r>
      <w:r w:rsidRPr="000F23E0">
        <w:t xml:space="preserve"> such as the United Nations</w:t>
      </w:r>
      <w:r w:rsidR="00A23A91" w:rsidRPr="000F23E0">
        <w:t>,</w:t>
      </w:r>
      <w:r w:rsidR="00923760" w:rsidRPr="000F23E0">
        <w:t xml:space="preserve"> as delivery </w:t>
      </w:r>
      <w:r w:rsidR="005B663D" w:rsidRPr="000F23E0">
        <w:t>partners</w:t>
      </w:r>
      <w:r w:rsidR="003C18B0" w:rsidRPr="000F23E0">
        <w:t xml:space="preserve"> </w:t>
      </w:r>
      <w:r w:rsidR="002833FB" w:rsidRPr="000F23E0">
        <w:t>and</w:t>
      </w:r>
      <w:r w:rsidR="003C18B0" w:rsidRPr="000F23E0">
        <w:t xml:space="preserve"> through co</w:t>
      </w:r>
      <w:r w:rsidR="002C4475" w:rsidRPr="000F23E0">
        <w:noBreakHyphen/>
      </w:r>
      <w:r w:rsidR="003C18B0" w:rsidRPr="000F23E0">
        <w:t>financing</w:t>
      </w:r>
      <w:r w:rsidRPr="000F23E0">
        <w:t>.</w:t>
      </w:r>
    </w:p>
    <w:p w14:paraId="721F00F0" w14:textId="398F2FF2" w:rsidR="002D67D7" w:rsidRPr="000F23E0" w:rsidRDefault="002D67D7" w:rsidP="00D9048C">
      <w:pPr>
        <w:pStyle w:val="Bullet"/>
        <w:keepNext/>
        <w:keepLines/>
      </w:pPr>
      <w:r w:rsidRPr="000F23E0">
        <w:t>Climate Resilient Communities is financed and delivered by the Australian Government</w:t>
      </w:r>
      <w:r w:rsidR="008B4784" w:rsidRPr="000F23E0">
        <w:t>.</w:t>
      </w:r>
      <w:r w:rsidRPr="000F23E0">
        <w:t xml:space="preserve"> </w:t>
      </w:r>
    </w:p>
    <w:p w14:paraId="2C67B461" w14:textId="37D57D3E" w:rsidR="002D67D7" w:rsidRPr="000F23E0" w:rsidRDefault="002D67D7" w:rsidP="00D9048C">
      <w:pPr>
        <w:pStyle w:val="Bullet"/>
        <w:keepNext/>
        <w:keepLines/>
      </w:pPr>
      <w:r w:rsidRPr="000F23E0">
        <w:t xml:space="preserve">The Strengthening Institutions and Empowering Localities against Disasters and Climate Change (SHIELD) initiative </w:t>
      </w:r>
      <w:r w:rsidR="00022DDC" w:rsidRPr="000F23E0">
        <w:t>is</w:t>
      </w:r>
      <w:r w:rsidRPr="000F23E0">
        <w:t xml:space="preserve"> implemented in coordination with the Philippines </w:t>
      </w:r>
      <w:r w:rsidR="00902339" w:rsidRPr="000F23E0">
        <w:t>g</w:t>
      </w:r>
      <w:r w:rsidRPr="000F23E0">
        <w:t>overnment</w:t>
      </w:r>
      <w:r w:rsidR="008B4784" w:rsidRPr="000F23E0">
        <w:t>.</w:t>
      </w:r>
      <w:r w:rsidRPr="000F23E0">
        <w:t xml:space="preserve"> </w:t>
      </w:r>
    </w:p>
    <w:p w14:paraId="2BE15135" w14:textId="6EB0AD53" w:rsidR="002D67D7" w:rsidRPr="000F23E0" w:rsidRDefault="002D67D7" w:rsidP="00D9048C">
      <w:pPr>
        <w:pStyle w:val="Bullet"/>
        <w:keepNext/>
        <w:keepLines/>
      </w:pPr>
      <w:r w:rsidRPr="000F23E0">
        <w:t>Inclusive Water Governance and Strengthening Climate Resilience in the Mekong Region is delivered by Oxfam and one component is co</w:t>
      </w:r>
      <w:r w:rsidR="002C4475" w:rsidRPr="000F23E0">
        <w:noBreakHyphen/>
      </w:r>
      <w:r w:rsidRPr="000F23E0">
        <w:t xml:space="preserve">financed with the Swiss </w:t>
      </w:r>
      <w:r w:rsidR="00902339" w:rsidRPr="000F23E0">
        <w:t>g</w:t>
      </w:r>
      <w:r w:rsidRPr="000F23E0">
        <w:t>overnment</w:t>
      </w:r>
      <w:r w:rsidR="008B4784" w:rsidRPr="000F23E0">
        <w:t>.</w:t>
      </w:r>
      <w:r w:rsidRPr="000F23E0">
        <w:t xml:space="preserve"> </w:t>
      </w:r>
    </w:p>
    <w:p w14:paraId="5F5FBC4C" w14:textId="244F467B" w:rsidR="002D67D7" w:rsidRPr="000F23E0" w:rsidRDefault="002D67D7" w:rsidP="00D9048C">
      <w:pPr>
        <w:pStyle w:val="Bullet"/>
        <w:keepNext/>
        <w:keepLines/>
      </w:pPr>
      <w:r w:rsidRPr="000F23E0">
        <w:t>The program to build community resilience to disasters in the Lower Koshi River Basin is delivered in partnership with the International Centre for Integrated Mountain Development, a regional inter</w:t>
      </w:r>
      <w:r w:rsidR="002C4475" w:rsidRPr="000F23E0">
        <w:noBreakHyphen/>
      </w:r>
      <w:r w:rsidRPr="000F23E0">
        <w:t>governmental organisation</w:t>
      </w:r>
      <w:r w:rsidR="008B4784" w:rsidRPr="000F23E0">
        <w:t>.</w:t>
      </w:r>
      <w:r w:rsidRPr="000F23E0">
        <w:t xml:space="preserve"> </w:t>
      </w:r>
    </w:p>
    <w:p w14:paraId="35A0254F" w14:textId="5B5C7865" w:rsidR="002D67D7" w:rsidRPr="000F23E0" w:rsidRDefault="002D67D7" w:rsidP="00D9048C">
      <w:pPr>
        <w:pStyle w:val="Bullet"/>
        <w:keepNext/>
        <w:keepLines/>
      </w:pPr>
      <w:r w:rsidRPr="000F23E0">
        <w:t>Phase 3 of the Climate and Oceans Support Program in the Pacific is co</w:t>
      </w:r>
      <w:r w:rsidR="002C4475" w:rsidRPr="000F23E0">
        <w:noBreakHyphen/>
      </w:r>
      <w:r w:rsidRPr="000F23E0">
        <w:t xml:space="preserve">financed with the New Zealand </w:t>
      </w:r>
      <w:r w:rsidR="00902339" w:rsidRPr="000F23E0">
        <w:t>g</w:t>
      </w:r>
      <w:r w:rsidRPr="000F23E0">
        <w:t xml:space="preserve">overnment and delivered in partnership with 14 Pacific </w:t>
      </w:r>
      <w:r w:rsidR="000717E6" w:rsidRPr="000F23E0">
        <w:t>Island</w:t>
      </w:r>
      <w:r w:rsidRPr="000F23E0">
        <w:t xml:space="preserve"> countries</w:t>
      </w:r>
      <w:r w:rsidR="00CC32D2" w:rsidRPr="000F23E0">
        <w:t>.</w:t>
      </w:r>
      <w:r w:rsidRPr="000F23E0">
        <w:t xml:space="preserve"> </w:t>
      </w:r>
    </w:p>
    <w:p w14:paraId="26FD83DF" w14:textId="6E3E18B9" w:rsidR="002D67D7" w:rsidRPr="000F23E0" w:rsidRDefault="002D67D7" w:rsidP="00D9048C">
      <w:pPr>
        <w:pStyle w:val="Bullet"/>
        <w:keepNext/>
        <w:keepLines/>
      </w:pPr>
      <w:r w:rsidRPr="000F23E0">
        <w:t>The Partnership for Climate, Renewable Energy and Infrastructure is delivered in partnership with</w:t>
      </w:r>
      <w:r w:rsidR="00C71B7B" w:rsidRPr="000F23E0">
        <w:t> </w:t>
      </w:r>
      <w:r w:rsidRPr="000F23E0">
        <w:t>the Government of Indonesia</w:t>
      </w:r>
      <w:r w:rsidR="008B4784" w:rsidRPr="000F23E0">
        <w:t>.</w:t>
      </w:r>
      <w:r w:rsidRPr="000F23E0">
        <w:t xml:space="preserve"> </w:t>
      </w:r>
    </w:p>
    <w:p w14:paraId="2A9F5944" w14:textId="4F58AEA7" w:rsidR="002D67D7" w:rsidRPr="000F23E0" w:rsidRDefault="002D67D7" w:rsidP="0048145F">
      <w:pPr>
        <w:pStyle w:val="Bullet"/>
      </w:pPr>
      <w:r w:rsidRPr="000F23E0">
        <w:t>The Commonwealth Climate Finance Access Hub is co financed and co delivered with 14</w:t>
      </w:r>
      <w:r w:rsidR="00C71B7B" w:rsidRPr="000F23E0">
        <w:t> </w:t>
      </w:r>
      <w:r w:rsidRPr="000F23E0">
        <w:t>partners,</w:t>
      </w:r>
      <w:r w:rsidR="00C71B7B" w:rsidRPr="000F23E0">
        <w:t> </w:t>
      </w:r>
      <w:r w:rsidRPr="000F23E0">
        <w:t>consisting of sovereign governments, non</w:t>
      </w:r>
      <w:r w:rsidR="002C4475" w:rsidRPr="000F23E0">
        <w:noBreakHyphen/>
      </w:r>
      <w:r w:rsidRPr="000F23E0">
        <w:t>governmental organisations and multinational organisations</w:t>
      </w:r>
      <w:r w:rsidR="008B4784" w:rsidRPr="000F23E0">
        <w:t>.</w:t>
      </w:r>
      <w:r w:rsidRPr="000F23E0">
        <w:t xml:space="preserve"> </w:t>
      </w:r>
    </w:p>
    <w:p w14:paraId="5CFFFC1C" w14:textId="09397DC2" w:rsidR="002D67D7" w:rsidRPr="000F23E0" w:rsidRDefault="002D67D7" w:rsidP="0048145F">
      <w:pPr>
        <w:pStyle w:val="Bullet"/>
      </w:pPr>
      <w:r w:rsidRPr="000F23E0">
        <w:t>Australia</w:t>
      </w:r>
      <w:r w:rsidR="002C4475" w:rsidRPr="000F23E0">
        <w:t>’</w:t>
      </w:r>
      <w:r w:rsidRPr="000F23E0">
        <w:t>s funding towards Pacific Climate Finance Access and Effectiveness finances the UN Development Programme</w:t>
      </w:r>
      <w:r w:rsidR="002C4475" w:rsidRPr="000F23E0">
        <w:t>’</w:t>
      </w:r>
      <w:r w:rsidRPr="000F23E0">
        <w:t xml:space="preserve">s Governance for Resilient Development in the Pacific project, delivered with </w:t>
      </w:r>
      <w:r w:rsidR="00731F0A" w:rsidRPr="000F23E0">
        <w:t xml:space="preserve">6 </w:t>
      </w:r>
      <w:r w:rsidR="00E678FA" w:rsidRPr="000F23E0">
        <w:t>Pacific Island</w:t>
      </w:r>
      <w:r w:rsidRPr="000F23E0">
        <w:t xml:space="preserve"> countries, and the Climate Finance Access Network delivered by the</w:t>
      </w:r>
      <w:r w:rsidR="00C71B7B" w:rsidRPr="000F23E0">
        <w:t> </w:t>
      </w:r>
      <w:r w:rsidRPr="000F23E0">
        <w:t xml:space="preserve">Global Green Growth Facility with </w:t>
      </w:r>
      <w:r w:rsidR="00731F0A" w:rsidRPr="000F23E0">
        <w:t xml:space="preserve">8 </w:t>
      </w:r>
      <w:r w:rsidRPr="000F23E0">
        <w:t xml:space="preserve">Pacific </w:t>
      </w:r>
      <w:r w:rsidR="00EC4B27" w:rsidRPr="000F23E0">
        <w:t>I</w:t>
      </w:r>
      <w:r w:rsidRPr="000F23E0">
        <w:t>sland countries</w:t>
      </w:r>
      <w:r w:rsidR="008B4784" w:rsidRPr="000F23E0">
        <w:t>.</w:t>
      </w:r>
      <w:r w:rsidRPr="000F23E0">
        <w:t xml:space="preserve"> </w:t>
      </w:r>
    </w:p>
    <w:p w14:paraId="11861712" w14:textId="19BD6FA3" w:rsidR="002D67D7" w:rsidRPr="000F23E0" w:rsidRDefault="002D67D7" w:rsidP="0048145F">
      <w:pPr>
        <w:pStyle w:val="Bullet"/>
      </w:pPr>
      <w:r w:rsidRPr="000F23E0">
        <w:t xml:space="preserve">Australia provides core support for the Secretariat of the Pacific Regional Environment Programme (SPREP) which supports its Pacific </w:t>
      </w:r>
      <w:r w:rsidR="001B4B42" w:rsidRPr="000F23E0">
        <w:t>I</w:t>
      </w:r>
      <w:r w:rsidRPr="000F23E0">
        <w:t>sland country and territory members</w:t>
      </w:r>
      <w:r w:rsidR="008B4784" w:rsidRPr="000F23E0">
        <w:t>.</w:t>
      </w:r>
      <w:r w:rsidRPr="000F23E0">
        <w:t xml:space="preserve"> </w:t>
      </w:r>
    </w:p>
    <w:p w14:paraId="3C1BED6E" w14:textId="2675BDD6" w:rsidR="002D67D7" w:rsidRPr="000F23E0" w:rsidRDefault="002D67D7" w:rsidP="0048145F">
      <w:pPr>
        <w:pStyle w:val="Bullet"/>
      </w:pPr>
      <w:r w:rsidRPr="000F23E0">
        <w:t xml:space="preserve">The PNG Climate Finance Initiative for Resilience and Sustainable Transition </w:t>
      </w:r>
      <w:r w:rsidR="00547741" w:rsidRPr="000F23E0">
        <w:t>(Climate FIRST) is financed by Australia and delivered by the Global Green Growth Institute (GGGI) in partnership with the PNG Climate Change and Development Authority (CCDA).</w:t>
      </w:r>
      <w:r w:rsidR="00547741" w:rsidRPr="000F23E0" w:rsidDel="00547741">
        <w:t xml:space="preserve"> </w:t>
      </w:r>
    </w:p>
    <w:p w14:paraId="297BFD9B" w14:textId="405BD490" w:rsidR="002D67D7" w:rsidRPr="000F23E0" w:rsidRDefault="002D67D7" w:rsidP="0048145F">
      <w:pPr>
        <w:pStyle w:val="Bullet"/>
      </w:pPr>
      <w:r w:rsidRPr="000F23E0">
        <w:t>The Global Environment Facility is financed by 40 donor countries, with projects delivered in partnership with government and non</w:t>
      </w:r>
      <w:r w:rsidR="002C4475" w:rsidRPr="000F23E0">
        <w:noBreakHyphen/>
      </w:r>
      <w:r w:rsidRPr="000F23E0">
        <w:t>government organisations in recipient countries</w:t>
      </w:r>
      <w:r w:rsidR="003575F7" w:rsidRPr="000F23E0">
        <w:t>.</w:t>
      </w:r>
    </w:p>
    <w:p w14:paraId="33D88D9F" w14:textId="104FCD52" w:rsidR="002D67D7" w:rsidRPr="000F23E0" w:rsidRDefault="002D67D7" w:rsidP="0048145F">
      <w:pPr>
        <w:pStyle w:val="Bullet"/>
      </w:pPr>
      <w:r w:rsidRPr="000F23E0">
        <w:lastRenderedPageBreak/>
        <w:t>The Montreal Protocol Multilateral Fund (MPMF) is co</w:t>
      </w:r>
      <w:r w:rsidR="002C4475" w:rsidRPr="000F23E0">
        <w:noBreakHyphen/>
      </w:r>
      <w:r w:rsidRPr="000F23E0">
        <w:t>financed by countries globally</w:t>
      </w:r>
      <w:r w:rsidR="001B4B42" w:rsidRPr="000F23E0">
        <w:t xml:space="preserve"> and</w:t>
      </w:r>
      <w:r w:rsidRPr="000F23E0">
        <w:t xml:space="preserve"> delivered by the MLF Secretariat in partnership with agencies from recipient countries</w:t>
      </w:r>
      <w:r w:rsidR="008B4784" w:rsidRPr="000F23E0">
        <w:t>.</w:t>
      </w:r>
      <w:r w:rsidRPr="000F23E0">
        <w:t xml:space="preserve"> </w:t>
      </w:r>
    </w:p>
    <w:p w14:paraId="7F4729FE" w14:textId="5597366A" w:rsidR="002D67D7" w:rsidRPr="000F23E0" w:rsidRDefault="002D67D7" w:rsidP="0048145F">
      <w:pPr>
        <w:pStyle w:val="Bullet"/>
      </w:pPr>
      <w:r w:rsidRPr="000F23E0">
        <w:t>The Green Climate Fund is the world largest climate fund and works to accelerate transformative climate action in developing countries through a country</w:t>
      </w:r>
      <w:r w:rsidR="002C4475" w:rsidRPr="000F23E0">
        <w:noBreakHyphen/>
      </w:r>
      <w:r w:rsidRPr="000F23E0">
        <w:t>owned partnership approach and the use of flexible financing solutions and climate investment expertise.</w:t>
      </w:r>
    </w:p>
    <w:p w14:paraId="7608A32F" w14:textId="5D28CA8A" w:rsidR="002D67D7" w:rsidRPr="000F23E0" w:rsidRDefault="002D67D7" w:rsidP="0048145F">
      <w:pPr>
        <w:pStyle w:val="Bullet"/>
      </w:pPr>
      <w:r w:rsidRPr="000F23E0">
        <w:t>The Water for Women Climate Resilient Inclusive Water, Sanitation and Hygiene Fund (2018</w:t>
      </w:r>
      <w:r w:rsidR="001B4B42" w:rsidRPr="000F23E0">
        <w:t>–</w:t>
      </w:r>
      <w:r w:rsidRPr="000F23E0">
        <w:t>2025) supports improved sustainable access to climate resilient and inclusive water, sanitation and hygiene services in 16 Asia</w:t>
      </w:r>
      <w:r w:rsidR="002C4475" w:rsidRPr="000F23E0">
        <w:noBreakHyphen/>
      </w:r>
      <w:r w:rsidRPr="000F23E0">
        <w:t xml:space="preserve">Pacific countries. </w:t>
      </w:r>
    </w:p>
    <w:p w14:paraId="4AB35F0A" w14:textId="67929198" w:rsidR="002D67D7" w:rsidRPr="000F23E0" w:rsidRDefault="002D67D7" w:rsidP="0048145F">
      <w:pPr>
        <w:pStyle w:val="Bullet"/>
      </w:pPr>
      <w:r w:rsidRPr="000F23E0">
        <w:t>Pacific Climate Infrastructure Financing Partnership (PCIFP) – Off</w:t>
      </w:r>
      <w:r w:rsidR="002C4475" w:rsidRPr="000F23E0">
        <w:noBreakHyphen/>
      </w:r>
      <w:r w:rsidRPr="000F23E0">
        <w:t>Grid Programs will boost the</w:t>
      </w:r>
      <w:r w:rsidR="00D9048C" w:rsidRPr="000F23E0">
        <w:t> </w:t>
      </w:r>
      <w:r w:rsidRPr="000F23E0">
        <w:t>development of off</w:t>
      </w:r>
      <w:r w:rsidR="002C4475" w:rsidRPr="000F23E0">
        <w:noBreakHyphen/>
      </w:r>
      <w:r w:rsidRPr="000F23E0">
        <w:t>grid small scale renewable energy infrastructure in remote and rural</w:t>
      </w:r>
      <w:r w:rsidR="00D9048C" w:rsidRPr="000F23E0">
        <w:t> </w:t>
      </w:r>
      <w:r w:rsidRPr="000F23E0">
        <w:t>communities.</w:t>
      </w:r>
    </w:p>
    <w:p w14:paraId="3596CA0C" w14:textId="7EEABF9B" w:rsidR="002D67D7" w:rsidRPr="000F23E0" w:rsidRDefault="002D67D7" w:rsidP="0048145F">
      <w:pPr>
        <w:pStyle w:val="Bullet"/>
      </w:pPr>
      <w:r w:rsidRPr="000F23E0">
        <w:t>Australia Water Partnership for the Indo</w:t>
      </w:r>
      <w:r w:rsidR="002C4475" w:rsidRPr="000F23E0">
        <w:noBreakHyphen/>
      </w:r>
      <w:r w:rsidRPr="000F23E0">
        <w:t>Pacific Phase 3 will enhance climate</w:t>
      </w:r>
      <w:r w:rsidR="002C4475" w:rsidRPr="000F23E0">
        <w:noBreakHyphen/>
      </w:r>
      <w:r w:rsidRPr="000F23E0">
        <w:t>resilient water resource management in the Indo</w:t>
      </w:r>
      <w:r w:rsidR="002C4475" w:rsidRPr="000F23E0">
        <w:noBreakHyphen/>
      </w:r>
      <w:r w:rsidRPr="000F23E0">
        <w:t>Pacific.</w:t>
      </w:r>
    </w:p>
    <w:p w14:paraId="3E0B25EB" w14:textId="15D79075" w:rsidR="002D67D7" w:rsidRPr="000F23E0" w:rsidRDefault="002D67D7" w:rsidP="0048145F">
      <w:pPr>
        <w:pStyle w:val="Bullet"/>
      </w:pPr>
      <w:r w:rsidRPr="000F23E0">
        <w:t xml:space="preserve">The Tuvalu Coastal Adaptation Project supports land reclamation and reduction of vulnerability on the islands of Funafuti, Nanumea and Nanumaga. </w:t>
      </w:r>
    </w:p>
    <w:p w14:paraId="60E788E1" w14:textId="7E279E9F" w:rsidR="002D67D7" w:rsidRPr="000F23E0" w:rsidRDefault="002D67D7" w:rsidP="0048145F">
      <w:pPr>
        <w:pStyle w:val="Bullet"/>
      </w:pPr>
      <w:r w:rsidRPr="000F23E0">
        <w:t>The Kiribati Australia Climate Partnership supports the people of Kiribati to be resilient to the impacts of climate change and disasters</w:t>
      </w:r>
      <w:r w:rsidR="00201BC4" w:rsidRPr="000F23E0">
        <w:t>.</w:t>
      </w:r>
    </w:p>
    <w:p w14:paraId="494E1FF0" w14:textId="77777777" w:rsidR="002D67D7" w:rsidRPr="000F23E0" w:rsidRDefault="002D67D7" w:rsidP="0048145F">
      <w:pPr>
        <w:pStyle w:val="Bullet"/>
      </w:pPr>
      <w:r w:rsidRPr="000F23E0">
        <w:t xml:space="preserve">The Fund for responding to Loss and Damage works to address the urgent and growing needs of vulnerable communities in developing countries facing the irreversible impacts of climate change. </w:t>
      </w:r>
    </w:p>
    <w:p w14:paraId="1027A088" w14:textId="5F0A9613" w:rsidR="002D67D7" w:rsidRPr="000F23E0" w:rsidRDefault="002D67D7" w:rsidP="0048145F">
      <w:pPr>
        <w:pStyle w:val="Bullet"/>
      </w:pPr>
      <w:r w:rsidRPr="000F23E0">
        <w:t>Weather Ready Pacific aims for all Pacific nations to have access to locali</w:t>
      </w:r>
      <w:r w:rsidR="006A304B" w:rsidRPr="000F23E0">
        <w:t>s</w:t>
      </w:r>
      <w:r w:rsidRPr="000F23E0">
        <w:t xml:space="preserve">ed, accurate and timely forecasts and warning products to help plan and respond to weather conditions. </w:t>
      </w:r>
    </w:p>
    <w:p w14:paraId="38BAD08C" w14:textId="342C371C" w:rsidR="002D67D7" w:rsidRPr="000F23E0" w:rsidRDefault="002D67D7" w:rsidP="0048145F">
      <w:pPr>
        <w:pStyle w:val="Bullet"/>
      </w:pPr>
      <w:r w:rsidRPr="000F23E0">
        <w:t xml:space="preserve">The Solomon Islands Humanitarian and Disaster Relief and Resilience Program will support the Solomon Islands </w:t>
      </w:r>
      <w:r w:rsidR="003342D0" w:rsidRPr="000F23E0">
        <w:t>g</w:t>
      </w:r>
      <w:r w:rsidRPr="000F23E0">
        <w:t xml:space="preserve">overnment to improve responses to disasters. </w:t>
      </w:r>
    </w:p>
    <w:p w14:paraId="60822E91" w14:textId="019D9E44" w:rsidR="001932EC" w:rsidRPr="000F23E0" w:rsidRDefault="00EB1781" w:rsidP="002D33EA">
      <w:pPr>
        <w:pStyle w:val="Heading4"/>
      </w:pPr>
      <w:r w:rsidRPr="000F23E0">
        <w:t xml:space="preserve">Material </w:t>
      </w:r>
      <w:r w:rsidR="006A304B" w:rsidRPr="000F23E0">
        <w:t>r</w:t>
      </w:r>
      <w:r w:rsidRPr="000F23E0">
        <w:t>isks</w:t>
      </w:r>
    </w:p>
    <w:p w14:paraId="6A1B3AEE" w14:textId="28CF8EB8" w:rsidR="00EB1781" w:rsidRPr="000F23E0" w:rsidRDefault="00C12A17" w:rsidP="002D33EA">
      <w:r w:rsidRPr="000F23E0">
        <w:t>No material risks have been</w:t>
      </w:r>
      <w:r w:rsidR="00D85770" w:rsidRPr="000F23E0">
        <w:t> </w:t>
      </w:r>
      <w:r w:rsidRPr="000F23E0">
        <w:t>identified</w:t>
      </w:r>
      <w:r w:rsidR="00D85770" w:rsidRPr="000F23E0">
        <w:t> </w:t>
      </w:r>
      <w:r w:rsidRPr="000F23E0">
        <w:t xml:space="preserve">to </w:t>
      </w:r>
      <w:r w:rsidR="00D85770" w:rsidRPr="000F23E0">
        <w:t>finance</w:t>
      </w:r>
      <w:r w:rsidRPr="000F23E0">
        <w:t xml:space="preserve"> International Climate Finance projects</w:t>
      </w:r>
      <w:r w:rsidR="00D85770" w:rsidRPr="000F23E0">
        <w:t xml:space="preserve"> through </w:t>
      </w:r>
      <w:r w:rsidR="00611CEF" w:rsidRPr="000F23E0">
        <w:t>GTB</w:t>
      </w:r>
      <w:r w:rsidR="00D85770" w:rsidRPr="000F23E0">
        <w:t xml:space="preserve">s. The Department of Foreign Affairs and Trade (DFAT) </w:t>
      </w:r>
      <w:r w:rsidR="006A304B" w:rsidRPr="000F23E0">
        <w:t>considers</w:t>
      </w:r>
      <w:r w:rsidR="00D85770" w:rsidRPr="000F23E0">
        <w:t xml:space="preserve"> any risks that may hinder its ability to achieve its development program o</w:t>
      </w:r>
      <w:r w:rsidR="0054470E" w:rsidRPr="000F23E0">
        <w:t xml:space="preserve">bjectives </w:t>
      </w:r>
      <w:r w:rsidR="00D85770" w:rsidRPr="000F23E0">
        <w:t>and</w:t>
      </w:r>
      <w:r w:rsidR="00101789" w:rsidRPr="000F23E0">
        <w:t xml:space="preserve"> </w:t>
      </w:r>
      <w:r w:rsidR="00D85770" w:rsidRPr="000F23E0">
        <w:t>implements</w:t>
      </w:r>
      <w:r w:rsidR="00101789" w:rsidRPr="000F23E0">
        <w:t xml:space="preserve"> </w:t>
      </w:r>
      <w:r w:rsidR="00D85770" w:rsidRPr="000F23E0">
        <w:t>measures to increase the likelihood of success. DFAT manages development risk throughout the lifespan of any investment</w:t>
      </w:r>
      <w:r w:rsidRPr="000F23E0">
        <w:t>.</w:t>
      </w:r>
    </w:p>
    <w:p w14:paraId="082BE5D7" w14:textId="77777777" w:rsidR="002D33EA" w:rsidRPr="000F23E0" w:rsidRDefault="002D33EA" w:rsidP="002D33EA">
      <w:bookmarkStart w:id="283" w:name="_Ref215131649"/>
      <w:r w:rsidRPr="000F23E0">
        <w:br w:type="page"/>
      </w:r>
    </w:p>
    <w:p w14:paraId="4E7FC058" w14:textId="7858F7EB" w:rsidR="00C12A17" w:rsidRPr="000F23E0" w:rsidRDefault="005606BF" w:rsidP="002D33EA">
      <w:pPr>
        <w:pStyle w:val="Heading3"/>
        <w:keepLines/>
      </w:pPr>
      <w:r w:rsidRPr="000F23E0">
        <w:lastRenderedPageBreak/>
        <w:t xml:space="preserve">Project </w:t>
      </w:r>
      <w:bookmarkEnd w:id="283"/>
      <w:r w:rsidR="006A304B" w:rsidRPr="000F23E0">
        <w:t>i</w:t>
      </w:r>
      <w:r w:rsidRPr="000F23E0">
        <w:t>mpacts</w:t>
      </w:r>
    </w:p>
    <w:p w14:paraId="063F6BAD" w14:textId="70580D6C" w:rsidR="005606BF" w:rsidRPr="000F23E0" w:rsidRDefault="00611CEF" w:rsidP="002D33EA">
      <w:pPr>
        <w:keepNext/>
        <w:keepLines/>
      </w:pPr>
      <w:r w:rsidRPr="000F23E0">
        <w:t>GTB</w:t>
      </w:r>
      <w:r w:rsidR="00610273" w:rsidRPr="000F23E0">
        <w:t xml:space="preserve">s have contributed to </w:t>
      </w:r>
      <w:r w:rsidR="00AD34F9" w:rsidRPr="000F23E0">
        <w:t>6</w:t>
      </w:r>
      <w:r w:rsidR="00610273" w:rsidRPr="000F23E0">
        <w:t xml:space="preserve"> bilateral initiatives, </w:t>
      </w:r>
      <w:r w:rsidR="00AD34F9" w:rsidRPr="000F23E0">
        <w:t>11</w:t>
      </w:r>
      <w:r w:rsidR="00610273" w:rsidRPr="000F23E0">
        <w:t xml:space="preserve"> regional initiatives and </w:t>
      </w:r>
      <w:r w:rsidR="00AD34F9" w:rsidRPr="000F23E0">
        <w:t>4</w:t>
      </w:r>
      <w:r w:rsidR="00610273" w:rsidRPr="000F23E0">
        <w:t xml:space="preserve"> multilateral initiatives</w:t>
      </w:r>
      <w:r w:rsidR="004D2D0B" w:rsidRPr="000F23E0">
        <w:t xml:space="preserve"> (</w:t>
      </w:r>
      <w:r w:rsidR="00462336" w:rsidRPr="000F23E0">
        <w:t>Table 3</w:t>
      </w:r>
      <w:r w:rsidR="00AA25D6" w:rsidRPr="000F23E0">
        <w:t>1</w:t>
      </w:r>
      <w:r w:rsidR="004D2D0B" w:rsidRPr="000F23E0">
        <w:t>)</w:t>
      </w:r>
      <w:r w:rsidR="00610273" w:rsidRPr="000F23E0">
        <w:t>.</w:t>
      </w:r>
    </w:p>
    <w:p w14:paraId="4AB13013" w14:textId="302982E7" w:rsidR="00C27FE1" w:rsidRPr="000F23E0" w:rsidRDefault="00FA055E" w:rsidP="00551F72">
      <w:pPr>
        <w:pStyle w:val="TableMainHeading"/>
      </w:pPr>
      <w:bookmarkStart w:id="284" w:name="_Toc220662891"/>
      <w:bookmarkStart w:id="285" w:name="_Toc224637835"/>
      <w:bookmarkStart w:id="286" w:name="_Toc224642499"/>
      <w:bookmarkStart w:id="287" w:name="_Toc225153475"/>
      <w:bookmarkStart w:id="288" w:name="_Toc225154521"/>
      <w:bookmarkStart w:id="289" w:name="_Toc225155786"/>
      <w:r w:rsidRPr="000F23E0">
        <w:t xml:space="preserve">Table </w:t>
      </w:r>
      <w:r w:rsidR="00462336" w:rsidRPr="000F23E0">
        <w:t>3</w:t>
      </w:r>
      <w:r w:rsidR="0068550D" w:rsidRPr="000F23E0">
        <w:t>1:</w:t>
      </w:r>
      <w:r w:rsidR="000973E4" w:rsidRPr="000F23E0">
        <w:t xml:space="preserve"> Impact </w:t>
      </w:r>
      <w:r w:rsidR="006A304B" w:rsidRPr="000F23E0">
        <w:t>d</w:t>
      </w:r>
      <w:r w:rsidR="000973E4" w:rsidRPr="000F23E0">
        <w:t xml:space="preserve">ata for </w:t>
      </w:r>
      <w:r w:rsidR="006A304B" w:rsidRPr="000F23E0">
        <w:t>i</w:t>
      </w:r>
      <w:r w:rsidR="000973E4" w:rsidRPr="000F23E0">
        <w:t xml:space="preserve">nternational </w:t>
      </w:r>
      <w:r w:rsidR="006A304B" w:rsidRPr="000F23E0">
        <w:t>c</w:t>
      </w:r>
      <w:r w:rsidR="000973E4" w:rsidRPr="000F23E0">
        <w:t xml:space="preserve">limate </w:t>
      </w:r>
      <w:r w:rsidR="006A304B" w:rsidRPr="000F23E0">
        <w:t>f</w:t>
      </w:r>
      <w:r w:rsidR="000973E4" w:rsidRPr="000F23E0">
        <w:t>inance projects</w:t>
      </w:r>
      <w:bookmarkEnd w:id="284"/>
      <w:bookmarkEnd w:id="285"/>
      <w:bookmarkEnd w:id="286"/>
      <w:bookmarkEnd w:id="287"/>
      <w:bookmarkEnd w:id="288"/>
      <w:bookmarkEnd w:id="289"/>
    </w:p>
    <w:tbl>
      <w:tblPr>
        <w:tblStyle w:val="GridTable4-Accent2"/>
        <w:tblpPr w:leftFromText="180" w:rightFromText="180" w:vertAnchor="text" w:horzAnchor="margin" w:tblpY="34"/>
        <w:tblW w:w="5000" w:type="pct"/>
        <w:tblInd w:w="0" w:type="dxa"/>
        <w:tblBorders>
          <w:top w:val="single" w:sz="4" w:space="0" w:color="DFA795"/>
          <w:bottom w:val="single" w:sz="4" w:space="0" w:color="DFA795"/>
          <w:insideH w:val="single" w:sz="4" w:space="0" w:color="DFA795"/>
        </w:tblBorders>
        <w:tblLook w:val="04A0" w:firstRow="1" w:lastRow="0" w:firstColumn="1" w:lastColumn="0" w:noHBand="0" w:noVBand="1"/>
      </w:tblPr>
      <w:tblGrid>
        <w:gridCol w:w="4820"/>
        <w:gridCol w:w="1134"/>
        <w:gridCol w:w="1843"/>
        <w:gridCol w:w="1273"/>
      </w:tblGrid>
      <w:tr w:rsidR="00B86CFF" w:rsidRPr="000F23E0" w14:paraId="444F6944" w14:textId="77777777" w:rsidTr="0048145F">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820" w:type="dxa"/>
            <w:shd w:val="clear" w:color="auto" w:fill="F1D0C6"/>
          </w:tcPr>
          <w:p w14:paraId="290AEFDF" w14:textId="77777777" w:rsidR="00B86CFF" w:rsidRPr="000F23E0" w:rsidRDefault="00B86CFF" w:rsidP="002D33EA">
            <w:pPr>
              <w:pStyle w:val="TableColumnHeadingLeft"/>
              <w:keepLines/>
              <w:rPr>
                <w:b/>
                <w:bCs w:val="0"/>
              </w:rPr>
            </w:pPr>
            <w:r w:rsidRPr="000F23E0">
              <w:rPr>
                <w:b/>
                <w:bCs w:val="0"/>
              </w:rPr>
              <w:t>Metric</w:t>
            </w:r>
          </w:p>
        </w:tc>
        <w:tc>
          <w:tcPr>
            <w:tcW w:w="1134" w:type="dxa"/>
            <w:shd w:val="clear" w:color="auto" w:fill="F1D0C6"/>
          </w:tcPr>
          <w:p w14:paraId="74C3E762" w14:textId="42414A47" w:rsidR="00B86CFF" w:rsidRPr="000F23E0" w:rsidRDefault="00B86CFF" w:rsidP="002D33EA">
            <w:pPr>
              <w:pStyle w:val="TableColumnHeadingRight"/>
              <w:keepLines/>
              <w:cnfStyle w:val="100000000000" w:firstRow="1" w:lastRow="0" w:firstColumn="0" w:lastColumn="0" w:oddVBand="0" w:evenVBand="0" w:oddHBand="0" w:evenHBand="0" w:firstRowFirstColumn="0" w:firstRowLastColumn="0" w:lastRowFirstColumn="0" w:lastRowLastColumn="0"/>
              <w:rPr>
                <w:b/>
              </w:rPr>
            </w:pPr>
            <w:r w:rsidRPr="000F23E0">
              <w:rPr>
                <w:b/>
              </w:rPr>
              <w:t>Value</w:t>
            </w:r>
          </w:p>
        </w:tc>
        <w:tc>
          <w:tcPr>
            <w:tcW w:w="1843" w:type="dxa"/>
            <w:shd w:val="clear" w:color="auto" w:fill="F1D0C6"/>
          </w:tcPr>
          <w:p w14:paraId="1A909629" w14:textId="77777777" w:rsidR="00B86CFF" w:rsidRPr="000F23E0" w:rsidRDefault="00B86CFF" w:rsidP="002D33EA">
            <w:pPr>
              <w:pStyle w:val="TableColumnHeadingRight"/>
              <w:keepLines/>
              <w:cnfStyle w:val="100000000000" w:firstRow="1" w:lastRow="0" w:firstColumn="0" w:lastColumn="0" w:oddVBand="0" w:evenVBand="0" w:oddHBand="0" w:evenHBand="0" w:firstRowFirstColumn="0" w:firstRowLastColumn="0" w:lastRowFirstColumn="0" w:lastRowLastColumn="0"/>
              <w:rPr>
                <w:b/>
              </w:rPr>
            </w:pPr>
            <w:r w:rsidRPr="000F23E0">
              <w:rPr>
                <w:b/>
              </w:rPr>
              <w:t>Record/ Projected</w:t>
            </w:r>
          </w:p>
        </w:tc>
        <w:tc>
          <w:tcPr>
            <w:tcW w:w="1273" w:type="dxa"/>
            <w:shd w:val="clear" w:color="auto" w:fill="F1D0C6"/>
          </w:tcPr>
          <w:p w14:paraId="37DD6A9A" w14:textId="77777777" w:rsidR="00B86CFF" w:rsidRPr="000F23E0" w:rsidRDefault="00B86CFF" w:rsidP="002D33EA">
            <w:pPr>
              <w:pStyle w:val="TableColumnHeadingRight"/>
              <w:keepLines/>
              <w:cnfStyle w:val="100000000000" w:firstRow="1" w:lastRow="0" w:firstColumn="0" w:lastColumn="0" w:oddVBand="0" w:evenVBand="0" w:oddHBand="0" w:evenHBand="0" w:firstRowFirstColumn="0" w:firstRowLastColumn="0" w:lastRowFirstColumn="0" w:lastRowLastColumn="0"/>
              <w:rPr>
                <w:b/>
              </w:rPr>
            </w:pPr>
            <w:r w:rsidRPr="000F23E0">
              <w:rPr>
                <w:b/>
              </w:rPr>
              <w:t>Time Period</w:t>
            </w:r>
          </w:p>
        </w:tc>
      </w:tr>
      <w:tr w:rsidR="00B86CFF" w:rsidRPr="000F23E0" w14:paraId="3C0E5F54" w14:textId="77777777" w:rsidTr="0048145F">
        <w:trPr>
          <w:trHeight w:val="85"/>
        </w:trPr>
        <w:tc>
          <w:tcPr>
            <w:cnfStyle w:val="001000000000" w:firstRow="0" w:lastRow="0" w:firstColumn="1" w:lastColumn="0" w:oddVBand="0" w:evenVBand="0" w:oddHBand="0" w:evenHBand="0" w:firstRowFirstColumn="0" w:firstRowLastColumn="0" w:lastRowFirstColumn="0" w:lastRowLastColumn="0"/>
            <w:tcW w:w="4820" w:type="dxa"/>
            <w:shd w:val="clear" w:color="auto" w:fill="FDF0E7"/>
            <w:vAlign w:val="center"/>
          </w:tcPr>
          <w:p w14:paraId="35862EF2" w14:textId="77777777" w:rsidR="00B86CFF" w:rsidRPr="000F23E0" w:rsidRDefault="00B86CFF" w:rsidP="002D33EA">
            <w:pPr>
              <w:pStyle w:val="TableTextLeft"/>
              <w:keepNext/>
              <w:keepLines/>
            </w:pPr>
            <w:r w:rsidRPr="000F23E0">
              <w:t>No. of bilateral investments</w:t>
            </w:r>
          </w:p>
        </w:tc>
        <w:tc>
          <w:tcPr>
            <w:tcW w:w="1134" w:type="dxa"/>
            <w:shd w:val="clear" w:color="auto" w:fill="FEFAF8"/>
            <w:vAlign w:val="center"/>
          </w:tcPr>
          <w:p w14:paraId="2ACB30E3" w14:textId="232944B5" w:rsidR="00B86CFF" w:rsidRPr="000F23E0" w:rsidRDefault="00B86CFF" w:rsidP="002D33EA">
            <w:pPr>
              <w:pStyle w:val="TableTextRight"/>
              <w:keepNext/>
              <w:keepLines/>
              <w:cnfStyle w:val="000000000000" w:firstRow="0" w:lastRow="0" w:firstColumn="0" w:lastColumn="0" w:oddVBand="0" w:evenVBand="0" w:oddHBand="0" w:evenHBand="0" w:firstRowFirstColumn="0" w:firstRowLastColumn="0" w:lastRowFirstColumn="0" w:lastRowLastColumn="0"/>
            </w:pPr>
            <w:r w:rsidRPr="000F23E0">
              <w:t>6</w:t>
            </w:r>
          </w:p>
        </w:tc>
        <w:tc>
          <w:tcPr>
            <w:tcW w:w="1843" w:type="dxa"/>
            <w:shd w:val="clear" w:color="auto" w:fill="FEFAF8"/>
            <w:vAlign w:val="center"/>
          </w:tcPr>
          <w:p w14:paraId="501F3FC4" w14:textId="08E79B0E" w:rsidR="00B86CFF" w:rsidRPr="000F23E0" w:rsidRDefault="00B86CFF" w:rsidP="002D33EA">
            <w:pPr>
              <w:pStyle w:val="TableTextRight"/>
              <w:keepNext/>
              <w:keepLines/>
              <w:cnfStyle w:val="000000000000" w:firstRow="0" w:lastRow="0" w:firstColumn="0" w:lastColumn="0" w:oddVBand="0" w:evenVBand="0" w:oddHBand="0" w:evenHBand="0" w:firstRowFirstColumn="0" w:firstRowLastColumn="0" w:lastRowFirstColumn="0" w:lastRowLastColumn="0"/>
            </w:pPr>
            <w:r w:rsidRPr="000F23E0">
              <w:t>Recorded</w:t>
            </w:r>
          </w:p>
        </w:tc>
        <w:tc>
          <w:tcPr>
            <w:tcW w:w="1273" w:type="dxa"/>
            <w:vMerge w:val="restart"/>
            <w:shd w:val="clear" w:color="auto" w:fill="FEFAF8"/>
            <w:vAlign w:val="center"/>
          </w:tcPr>
          <w:p w14:paraId="59DE3119" w14:textId="3BB88D64" w:rsidR="00B86CFF" w:rsidRPr="000F23E0" w:rsidRDefault="00B86CFF" w:rsidP="002D33EA">
            <w:pPr>
              <w:pStyle w:val="TableTextRight"/>
              <w:keepNext/>
              <w:keepLines/>
              <w:cnfStyle w:val="000000000000" w:firstRow="0" w:lastRow="0" w:firstColumn="0" w:lastColumn="0" w:oddVBand="0" w:evenVBand="0" w:oddHBand="0" w:evenHBand="0" w:firstRowFirstColumn="0" w:firstRowLastColumn="0" w:lastRowFirstColumn="0" w:lastRowLastColumn="0"/>
            </w:pPr>
            <w:r w:rsidRPr="000F23E0">
              <w:t>2024</w:t>
            </w:r>
            <w:r w:rsidR="00BB60BE" w:rsidRPr="000F23E0">
              <w:t>–</w:t>
            </w:r>
            <w:r w:rsidRPr="000F23E0">
              <w:t>25</w:t>
            </w:r>
          </w:p>
        </w:tc>
      </w:tr>
      <w:tr w:rsidR="00B86CFF" w:rsidRPr="000F23E0" w14:paraId="7084AED9" w14:textId="77777777" w:rsidTr="0048145F">
        <w:trPr>
          <w:trHeight w:val="340"/>
        </w:trPr>
        <w:tc>
          <w:tcPr>
            <w:cnfStyle w:val="001000000000" w:firstRow="0" w:lastRow="0" w:firstColumn="1" w:lastColumn="0" w:oddVBand="0" w:evenVBand="0" w:oddHBand="0" w:evenHBand="0" w:firstRowFirstColumn="0" w:firstRowLastColumn="0" w:lastRowFirstColumn="0" w:lastRowLastColumn="0"/>
            <w:tcW w:w="4820" w:type="dxa"/>
            <w:shd w:val="clear" w:color="auto" w:fill="FDF0E7"/>
            <w:vAlign w:val="center"/>
          </w:tcPr>
          <w:p w14:paraId="0E6BEBCA" w14:textId="77777777" w:rsidR="00B86CFF" w:rsidRPr="000F23E0" w:rsidRDefault="00B86CFF" w:rsidP="002D33EA">
            <w:pPr>
              <w:pStyle w:val="TableTextLeft"/>
              <w:keepNext/>
              <w:keepLines/>
            </w:pPr>
            <w:r w:rsidRPr="000F23E0">
              <w:t>No. of regional investments</w:t>
            </w:r>
          </w:p>
        </w:tc>
        <w:tc>
          <w:tcPr>
            <w:tcW w:w="1134" w:type="dxa"/>
            <w:shd w:val="clear" w:color="auto" w:fill="FEFAF8"/>
            <w:vAlign w:val="center"/>
          </w:tcPr>
          <w:p w14:paraId="315E075E" w14:textId="6AECCEAF" w:rsidR="00B86CFF" w:rsidRPr="000F23E0" w:rsidRDefault="00B86CFF" w:rsidP="002D33EA">
            <w:pPr>
              <w:pStyle w:val="TableTextRight"/>
              <w:keepNext/>
              <w:keepLines/>
              <w:cnfStyle w:val="000000000000" w:firstRow="0" w:lastRow="0" w:firstColumn="0" w:lastColumn="0" w:oddVBand="0" w:evenVBand="0" w:oddHBand="0" w:evenHBand="0" w:firstRowFirstColumn="0" w:firstRowLastColumn="0" w:lastRowFirstColumn="0" w:lastRowLastColumn="0"/>
            </w:pPr>
            <w:r w:rsidRPr="000F23E0">
              <w:t>11</w:t>
            </w:r>
          </w:p>
        </w:tc>
        <w:tc>
          <w:tcPr>
            <w:tcW w:w="1843" w:type="dxa"/>
            <w:shd w:val="clear" w:color="auto" w:fill="FEFAF8"/>
            <w:vAlign w:val="center"/>
          </w:tcPr>
          <w:p w14:paraId="7F4D6FE5" w14:textId="44C2646A" w:rsidR="00B86CFF" w:rsidRPr="000F23E0" w:rsidRDefault="00B86CFF" w:rsidP="002D33EA">
            <w:pPr>
              <w:pStyle w:val="TableTextRight"/>
              <w:keepNext/>
              <w:keepLines/>
              <w:cnfStyle w:val="000000000000" w:firstRow="0" w:lastRow="0" w:firstColumn="0" w:lastColumn="0" w:oddVBand="0" w:evenVBand="0" w:oddHBand="0" w:evenHBand="0" w:firstRowFirstColumn="0" w:firstRowLastColumn="0" w:lastRowFirstColumn="0" w:lastRowLastColumn="0"/>
            </w:pPr>
            <w:r w:rsidRPr="000F23E0">
              <w:t>Recorded</w:t>
            </w:r>
          </w:p>
        </w:tc>
        <w:tc>
          <w:tcPr>
            <w:tcW w:w="1273" w:type="dxa"/>
            <w:vMerge/>
            <w:shd w:val="clear" w:color="auto" w:fill="FEFAF8"/>
            <w:vAlign w:val="center"/>
          </w:tcPr>
          <w:p w14:paraId="58CAA0B9" w14:textId="77777777" w:rsidR="00B86CFF" w:rsidRPr="000F23E0" w:rsidRDefault="00B86CFF" w:rsidP="002D33EA">
            <w:pPr>
              <w:pStyle w:val="TableTextRight"/>
              <w:keepNext/>
              <w:keepLines/>
              <w:cnfStyle w:val="000000000000" w:firstRow="0" w:lastRow="0" w:firstColumn="0" w:lastColumn="0" w:oddVBand="0" w:evenVBand="0" w:oddHBand="0" w:evenHBand="0" w:firstRowFirstColumn="0" w:firstRowLastColumn="0" w:lastRowFirstColumn="0" w:lastRowLastColumn="0"/>
            </w:pPr>
          </w:p>
        </w:tc>
      </w:tr>
      <w:tr w:rsidR="00B86CFF" w:rsidRPr="000F23E0" w14:paraId="3035EA82" w14:textId="77777777" w:rsidTr="0048145F">
        <w:trPr>
          <w:trHeight w:val="340"/>
        </w:trPr>
        <w:tc>
          <w:tcPr>
            <w:cnfStyle w:val="001000000000" w:firstRow="0" w:lastRow="0" w:firstColumn="1" w:lastColumn="0" w:oddVBand="0" w:evenVBand="0" w:oddHBand="0" w:evenHBand="0" w:firstRowFirstColumn="0" w:firstRowLastColumn="0" w:lastRowFirstColumn="0" w:lastRowLastColumn="0"/>
            <w:tcW w:w="4820" w:type="dxa"/>
            <w:shd w:val="clear" w:color="auto" w:fill="FDF0E7"/>
            <w:vAlign w:val="center"/>
          </w:tcPr>
          <w:p w14:paraId="2D34AC46" w14:textId="77777777" w:rsidR="00B86CFF" w:rsidRPr="000F23E0" w:rsidRDefault="00B86CFF" w:rsidP="002D33EA">
            <w:pPr>
              <w:pStyle w:val="TableTextLeft"/>
              <w:keepNext/>
              <w:keepLines/>
            </w:pPr>
            <w:r w:rsidRPr="000F23E0">
              <w:t>No. of multilateral investments</w:t>
            </w:r>
          </w:p>
        </w:tc>
        <w:tc>
          <w:tcPr>
            <w:tcW w:w="1134" w:type="dxa"/>
            <w:shd w:val="clear" w:color="auto" w:fill="FEFAF8"/>
            <w:vAlign w:val="center"/>
          </w:tcPr>
          <w:p w14:paraId="1EDE4F39" w14:textId="709882B5" w:rsidR="00B86CFF" w:rsidRPr="000F23E0" w:rsidRDefault="00B86CFF" w:rsidP="002D33EA">
            <w:pPr>
              <w:pStyle w:val="TableTextRight"/>
              <w:keepNext/>
              <w:keepLines/>
              <w:cnfStyle w:val="000000000000" w:firstRow="0" w:lastRow="0" w:firstColumn="0" w:lastColumn="0" w:oddVBand="0" w:evenVBand="0" w:oddHBand="0" w:evenHBand="0" w:firstRowFirstColumn="0" w:firstRowLastColumn="0" w:lastRowFirstColumn="0" w:lastRowLastColumn="0"/>
            </w:pPr>
            <w:r w:rsidRPr="000F23E0">
              <w:t>4</w:t>
            </w:r>
          </w:p>
        </w:tc>
        <w:tc>
          <w:tcPr>
            <w:tcW w:w="1843" w:type="dxa"/>
            <w:shd w:val="clear" w:color="auto" w:fill="FEFAF8"/>
            <w:vAlign w:val="center"/>
          </w:tcPr>
          <w:p w14:paraId="5192069D" w14:textId="39E391FA" w:rsidR="00B86CFF" w:rsidRPr="000F23E0" w:rsidRDefault="00B86CFF" w:rsidP="002D33EA">
            <w:pPr>
              <w:pStyle w:val="TableTextRight"/>
              <w:keepNext/>
              <w:keepLines/>
              <w:cnfStyle w:val="000000000000" w:firstRow="0" w:lastRow="0" w:firstColumn="0" w:lastColumn="0" w:oddVBand="0" w:evenVBand="0" w:oddHBand="0" w:evenHBand="0" w:firstRowFirstColumn="0" w:firstRowLastColumn="0" w:lastRowFirstColumn="0" w:lastRowLastColumn="0"/>
            </w:pPr>
            <w:r w:rsidRPr="000F23E0">
              <w:t>Recorded</w:t>
            </w:r>
          </w:p>
        </w:tc>
        <w:tc>
          <w:tcPr>
            <w:tcW w:w="1273" w:type="dxa"/>
            <w:vMerge/>
            <w:shd w:val="clear" w:color="auto" w:fill="FEFAF8"/>
            <w:vAlign w:val="center"/>
          </w:tcPr>
          <w:p w14:paraId="6A1484C2" w14:textId="77777777" w:rsidR="00B86CFF" w:rsidRPr="000F23E0" w:rsidRDefault="00B86CFF" w:rsidP="002D33EA">
            <w:pPr>
              <w:pStyle w:val="TableTextRight"/>
              <w:keepNext/>
              <w:keepLines/>
              <w:cnfStyle w:val="000000000000" w:firstRow="0" w:lastRow="0" w:firstColumn="0" w:lastColumn="0" w:oddVBand="0" w:evenVBand="0" w:oddHBand="0" w:evenHBand="0" w:firstRowFirstColumn="0" w:firstRowLastColumn="0" w:lastRowFirstColumn="0" w:lastRowLastColumn="0"/>
            </w:pPr>
          </w:p>
        </w:tc>
      </w:tr>
      <w:tr w:rsidR="00B86CFF" w:rsidRPr="000F23E0" w14:paraId="7DE57C2D" w14:textId="77777777" w:rsidTr="0048145F">
        <w:trPr>
          <w:trHeight w:val="340"/>
        </w:trPr>
        <w:tc>
          <w:tcPr>
            <w:cnfStyle w:val="001000000000" w:firstRow="0" w:lastRow="0" w:firstColumn="1" w:lastColumn="0" w:oddVBand="0" w:evenVBand="0" w:oddHBand="0" w:evenHBand="0" w:firstRowFirstColumn="0" w:firstRowLastColumn="0" w:lastRowFirstColumn="0" w:lastRowLastColumn="0"/>
            <w:tcW w:w="4820" w:type="dxa"/>
            <w:shd w:val="clear" w:color="auto" w:fill="FDF0E7"/>
            <w:vAlign w:val="center"/>
          </w:tcPr>
          <w:p w14:paraId="111BCD22" w14:textId="21FB6FF5" w:rsidR="00B86CFF" w:rsidRPr="000F23E0" w:rsidRDefault="00B86CFF" w:rsidP="002D33EA">
            <w:pPr>
              <w:pStyle w:val="TableTextLeft"/>
              <w:keepNext/>
              <w:keepLines/>
              <w:rPr>
                <w:b/>
                <w:bCs w:val="0"/>
              </w:rPr>
            </w:pPr>
            <w:r w:rsidRPr="000F23E0">
              <w:rPr>
                <w:b/>
                <w:bCs w:val="0"/>
              </w:rPr>
              <w:t xml:space="preserve">Total </w:t>
            </w:r>
          </w:p>
        </w:tc>
        <w:tc>
          <w:tcPr>
            <w:tcW w:w="1134" w:type="dxa"/>
            <w:shd w:val="clear" w:color="auto" w:fill="FEFAF8"/>
            <w:vAlign w:val="center"/>
          </w:tcPr>
          <w:p w14:paraId="7F482FC9" w14:textId="530B2754" w:rsidR="00B86CFF" w:rsidRPr="000F23E0" w:rsidRDefault="00B86CFF" w:rsidP="002D33EA">
            <w:pPr>
              <w:pStyle w:val="TableTextRight"/>
              <w:keepNext/>
              <w:keepLines/>
              <w:cnfStyle w:val="000000000000" w:firstRow="0" w:lastRow="0" w:firstColumn="0" w:lastColumn="0" w:oddVBand="0" w:evenVBand="0" w:oddHBand="0" w:evenHBand="0" w:firstRowFirstColumn="0" w:firstRowLastColumn="0" w:lastRowFirstColumn="0" w:lastRowLastColumn="0"/>
              <w:rPr>
                <w:b/>
              </w:rPr>
            </w:pPr>
            <w:r w:rsidRPr="000F23E0">
              <w:rPr>
                <w:b/>
              </w:rPr>
              <w:t>21</w:t>
            </w:r>
          </w:p>
        </w:tc>
        <w:tc>
          <w:tcPr>
            <w:tcW w:w="1843" w:type="dxa"/>
            <w:shd w:val="clear" w:color="auto" w:fill="FEFAF8"/>
            <w:vAlign w:val="center"/>
          </w:tcPr>
          <w:p w14:paraId="0F5E24BD" w14:textId="5087191E" w:rsidR="00B86CFF" w:rsidRPr="000F23E0" w:rsidRDefault="00B86CFF" w:rsidP="002D33EA">
            <w:pPr>
              <w:pStyle w:val="TableTextRight"/>
              <w:keepNext/>
              <w:keepLines/>
              <w:cnfStyle w:val="000000000000" w:firstRow="0" w:lastRow="0" w:firstColumn="0" w:lastColumn="0" w:oddVBand="0" w:evenVBand="0" w:oddHBand="0" w:evenHBand="0" w:firstRowFirstColumn="0" w:firstRowLastColumn="0" w:lastRowFirstColumn="0" w:lastRowLastColumn="0"/>
            </w:pPr>
          </w:p>
        </w:tc>
        <w:tc>
          <w:tcPr>
            <w:tcW w:w="1273" w:type="dxa"/>
            <w:shd w:val="clear" w:color="auto" w:fill="FEFAF8"/>
            <w:vAlign w:val="center"/>
          </w:tcPr>
          <w:p w14:paraId="29B41DBC" w14:textId="25F65668" w:rsidR="00B86CFF" w:rsidRPr="000F23E0" w:rsidRDefault="00B86CFF" w:rsidP="002D33EA">
            <w:pPr>
              <w:pStyle w:val="TableTextRight"/>
              <w:keepNext/>
              <w:keepLines/>
              <w:cnfStyle w:val="000000000000" w:firstRow="0" w:lastRow="0" w:firstColumn="0" w:lastColumn="0" w:oddVBand="0" w:evenVBand="0" w:oddHBand="0" w:evenHBand="0" w:firstRowFirstColumn="0" w:firstRowLastColumn="0" w:lastRowFirstColumn="0" w:lastRowLastColumn="0"/>
            </w:pPr>
          </w:p>
        </w:tc>
      </w:tr>
    </w:tbl>
    <w:p w14:paraId="7E31B890" w14:textId="17FD7E65" w:rsidR="00926BDE" w:rsidRPr="000F23E0" w:rsidRDefault="00926BDE" w:rsidP="002D33EA">
      <w:pPr>
        <w:keepNext/>
        <w:keepLines/>
      </w:pPr>
      <w:r w:rsidRPr="000F23E0">
        <w:t>International climate finance projects report impacts on a case</w:t>
      </w:r>
      <w:r w:rsidR="002C4475" w:rsidRPr="000F23E0">
        <w:noBreakHyphen/>
      </w:r>
      <w:r w:rsidRPr="000F23E0">
        <w:t>by</w:t>
      </w:r>
      <w:r w:rsidR="002C4475" w:rsidRPr="000F23E0">
        <w:noBreakHyphen/>
      </w:r>
      <w:r w:rsidRPr="000F23E0">
        <w:t>case basis. These cannot be aggregated as impact metrics differ between sub</w:t>
      </w:r>
      <w:r w:rsidR="002C4475" w:rsidRPr="000F23E0">
        <w:noBreakHyphen/>
      </w:r>
      <w:r w:rsidRPr="000F23E0">
        <w:t>projects and methodolog</w:t>
      </w:r>
      <w:r w:rsidR="00F86195" w:rsidRPr="000F23E0">
        <w:t>ies</w:t>
      </w:r>
      <w:r w:rsidRPr="000F23E0">
        <w:t xml:space="preserve"> may differ between project owners. </w:t>
      </w:r>
      <w:r w:rsidR="00462336" w:rsidRPr="000F23E0">
        <w:t>Table 31</w:t>
      </w:r>
      <w:r w:rsidR="00797239" w:rsidRPr="000F23E0">
        <w:t xml:space="preserve"> </w:t>
      </w:r>
      <w:r w:rsidRPr="000F23E0">
        <w:t>outlines the qualitative and quantitative impacts from each international climate finance projects</w:t>
      </w:r>
      <w:r w:rsidR="007242AD" w:rsidRPr="000F23E0">
        <w:t>, including social co</w:t>
      </w:r>
      <w:r w:rsidR="002C4475" w:rsidRPr="000F23E0">
        <w:noBreakHyphen/>
      </w:r>
      <w:r w:rsidR="007242AD" w:rsidRPr="000F23E0">
        <w:t>benefits</w:t>
      </w:r>
      <w:r w:rsidRPr="000F23E0">
        <w:t xml:space="preserve">. </w:t>
      </w:r>
    </w:p>
    <w:p w14:paraId="0BF55702" w14:textId="45EA50E3" w:rsidR="00953C9F" w:rsidRPr="000F23E0" w:rsidRDefault="00606DBB" w:rsidP="00CB2703">
      <w:pPr>
        <w:rPr>
          <w:i/>
          <w:iCs/>
          <w:u w:val="single"/>
        </w:rPr>
      </w:pPr>
      <w:r w:rsidRPr="000F23E0">
        <w:t>DFAT</w:t>
      </w:r>
      <w:r w:rsidR="002C4475" w:rsidRPr="000F23E0">
        <w:t>’</w:t>
      </w:r>
      <w:r w:rsidRPr="000F23E0">
        <w:t>s</w:t>
      </w:r>
      <w:r w:rsidR="00926BDE" w:rsidRPr="000F23E0">
        <w:t xml:space="preserve"> AusDevPortal provides additional details on contributions to UN Sustainable Development Goals and performance ratings for some sub</w:t>
      </w:r>
      <w:r w:rsidR="002C4475" w:rsidRPr="000F23E0">
        <w:noBreakHyphen/>
      </w:r>
      <w:r w:rsidR="00926BDE" w:rsidRPr="000F23E0">
        <w:t>projects. Links to specific projects are provided in</w:t>
      </w:r>
      <w:r w:rsidR="00797239" w:rsidRPr="000F23E0">
        <w:t xml:space="preserve"> </w:t>
      </w:r>
      <w:r w:rsidR="00FD3F58" w:rsidRPr="000F23E0">
        <w:t xml:space="preserve">Table 32. </w:t>
      </w:r>
      <w:r w:rsidR="00926BDE" w:rsidRPr="000F23E0">
        <w:t>The AusDevPortal is updated periodically with new data.</w:t>
      </w:r>
    </w:p>
    <w:p w14:paraId="063A99D4" w14:textId="2E1D52FC" w:rsidR="00953C9F" w:rsidRPr="000F23E0" w:rsidRDefault="00953C9F" w:rsidP="00D9048C">
      <w:pPr>
        <w:pStyle w:val="Heading4"/>
        <w:keepNext/>
        <w:keepLines/>
      </w:pPr>
      <w:r w:rsidRPr="000F23E0">
        <w:t xml:space="preserve">Social </w:t>
      </w:r>
      <w:r w:rsidR="006A304B" w:rsidRPr="000F23E0">
        <w:t>c</w:t>
      </w:r>
      <w:r w:rsidRPr="000F23E0">
        <w:t>o</w:t>
      </w:r>
      <w:r w:rsidR="002C4475" w:rsidRPr="000F23E0">
        <w:noBreakHyphen/>
      </w:r>
      <w:r w:rsidRPr="000F23E0">
        <w:t>benefits</w:t>
      </w:r>
    </w:p>
    <w:p w14:paraId="785B0C42" w14:textId="537C58AC" w:rsidR="00953C9F" w:rsidRPr="000F23E0" w:rsidRDefault="00953C9F" w:rsidP="00D9048C">
      <w:pPr>
        <w:keepNext/>
        <w:keepLines/>
      </w:pPr>
      <w:r w:rsidRPr="000F23E0">
        <w:t>Australia supports various community</w:t>
      </w:r>
      <w:r w:rsidR="002C4475" w:rsidRPr="000F23E0">
        <w:noBreakHyphen/>
      </w:r>
      <w:r w:rsidRPr="000F23E0">
        <w:t>led ecosystem restoration and conservation programs in the Indo</w:t>
      </w:r>
      <w:r w:rsidR="002C4475" w:rsidRPr="000F23E0">
        <w:noBreakHyphen/>
      </w:r>
      <w:r w:rsidRPr="000F23E0">
        <w:t>Pacific. This improves biodiversity and helps make communities resilient against climate change and natural disasters. These projects also generate opportunities for employment and upskilling, helping build institutional knowledge and expertise to continue to support communities.</w:t>
      </w:r>
      <w:r w:rsidR="007A1BC9" w:rsidRPr="000F23E0">
        <w:t xml:space="preserve"> </w:t>
      </w:r>
      <w:r w:rsidR="00E308E3" w:rsidRPr="000F23E0">
        <w:t>Table 3</w:t>
      </w:r>
      <w:r w:rsidR="00AA25D6" w:rsidRPr="000F23E0">
        <w:t>2</w:t>
      </w:r>
      <w:r w:rsidR="00E308E3" w:rsidRPr="000F23E0">
        <w:t xml:space="preserve"> </w:t>
      </w:r>
      <w:r w:rsidR="00454BD3" w:rsidRPr="000F23E0">
        <w:t>outlines social co</w:t>
      </w:r>
      <w:r w:rsidR="002C4475" w:rsidRPr="000F23E0">
        <w:noBreakHyphen/>
      </w:r>
      <w:r w:rsidR="00454BD3" w:rsidRPr="000F23E0">
        <w:t xml:space="preserve">benefits </w:t>
      </w:r>
      <w:r w:rsidR="00BC4BDF" w:rsidRPr="000F23E0">
        <w:t xml:space="preserve">and other </w:t>
      </w:r>
      <w:r w:rsidR="00D3692D" w:rsidRPr="000F23E0">
        <w:t xml:space="preserve">outcomes </w:t>
      </w:r>
      <w:r w:rsidR="00454BD3" w:rsidRPr="000F23E0">
        <w:t xml:space="preserve">for individual projects, where available. </w:t>
      </w:r>
    </w:p>
    <w:p w14:paraId="521488FA" w14:textId="77777777" w:rsidR="005F45A1" w:rsidRPr="000F23E0" w:rsidRDefault="005F45A1" w:rsidP="00551F72">
      <w:pPr>
        <w:pStyle w:val="TableMainHeading"/>
      </w:pPr>
      <w:bookmarkStart w:id="290" w:name="_Toc220662892"/>
      <w:bookmarkStart w:id="291" w:name="_Toc224637836"/>
      <w:bookmarkStart w:id="292" w:name="_Toc224642500"/>
      <w:r w:rsidRPr="000F23E0">
        <w:br w:type="page"/>
      </w:r>
    </w:p>
    <w:p w14:paraId="14DD409B" w14:textId="11ADC2BD" w:rsidR="005B2D95" w:rsidRPr="000F23E0" w:rsidRDefault="00FA055E" w:rsidP="00551F72">
      <w:pPr>
        <w:pStyle w:val="TableMainHeading"/>
      </w:pPr>
      <w:bookmarkStart w:id="293" w:name="_Toc225153476"/>
      <w:bookmarkStart w:id="294" w:name="_Toc225154522"/>
      <w:bookmarkStart w:id="295" w:name="_Toc225155787"/>
      <w:r w:rsidRPr="000F23E0">
        <w:lastRenderedPageBreak/>
        <w:t xml:space="preserve">Table </w:t>
      </w:r>
      <w:r w:rsidR="00462336" w:rsidRPr="000F23E0">
        <w:t>3</w:t>
      </w:r>
      <w:r w:rsidR="0068550D" w:rsidRPr="000F23E0">
        <w:t>2:</w:t>
      </w:r>
      <w:r w:rsidR="003D67C0" w:rsidRPr="000F23E0">
        <w:t xml:space="preserve"> </w:t>
      </w:r>
      <w:r w:rsidR="00F84C86" w:rsidRPr="000F23E0">
        <w:t>Further information on</w:t>
      </w:r>
      <w:r w:rsidR="003D67C0" w:rsidRPr="000F23E0">
        <w:t xml:space="preserve"> </w:t>
      </w:r>
      <w:r w:rsidR="006A304B" w:rsidRPr="000F23E0">
        <w:t>i</w:t>
      </w:r>
      <w:r w:rsidR="003D67C0" w:rsidRPr="000F23E0">
        <w:t xml:space="preserve">nternational </w:t>
      </w:r>
      <w:r w:rsidR="006A304B" w:rsidRPr="000F23E0">
        <w:t>c</w:t>
      </w:r>
      <w:r w:rsidR="003D67C0" w:rsidRPr="000F23E0">
        <w:t xml:space="preserve">limate </w:t>
      </w:r>
      <w:r w:rsidR="006A304B" w:rsidRPr="000F23E0">
        <w:t>f</w:t>
      </w:r>
      <w:r w:rsidR="003D67C0" w:rsidRPr="000F23E0">
        <w:t>inance sub</w:t>
      </w:r>
      <w:r w:rsidR="002C4475" w:rsidRPr="000F23E0">
        <w:noBreakHyphen/>
      </w:r>
      <w:r w:rsidR="003D67C0" w:rsidRPr="000F23E0">
        <w:t>projects</w:t>
      </w:r>
      <w:bookmarkEnd w:id="290"/>
      <w:bookmarkEnd w:id="291"/>
      <w:bookmarkEnd w:id="292"/>
      <w:bookmarkEnd w:id="293"/>
      <w:bookmarkEnd w:id="294"/>
      <w:bookmarkEnd w:id="295"/>
    </w:p>
    <w:tbl>
      <w:tblPr>
        <w:tblStyle w:val="GridTable4-Accent2"/>
        <w:tblpPr w:leftFromText="180" w:rightFromText="180" w:vertAnchor="text" w:horzAnchor="margin" w:tblpY="34"/>
        <w:tblW w:w="5000" w:type="pct"/>
        <w:tblInd w:w="0" w:type="dxa"/>
        <w:tblBorders>
          <w:top w:val="single" w:sz="4" w:space="0" w:color="DFA795"/>
          <w:bottom w:val="single" w:sz="4" w:space="0" w:color="DFA795"/>
          <w:insideH w:val="single" w:sz="4" w:space="0" w:color="DFA795"/>
        </w:tblBorders>
        <w:tblLook w:val="04A0" w:firstRow="1" w:lastRow="0" w:firstColumn="1" w:lastColumn="0" w:noHBand="0" w:noVBand="1"/>
      </w:tblPr>
      <w:tblGrid>
        <w:gridCol w:w="2501"/>
        <w:gridCol w:w="6569"/>
      </w:tblGrid>
      <w:tr w:rsidR="003B6F2C" w:rsidRPr="000F23E0" w14:paraId="7C987A88" w14:textId="77777777" w:rsidTr="005F45A1">
        <w:trPr>
          <w:cnfStyle w:val="100000000000" w:firstRow="1" w:lastRow="0" w:firstColumn="0" w:lastColumn="0" w:oddVBand="0" w:evenVBand="0" w:oddHBand="0" w:evenHBand="0" w:firstRowFirstColumn="0" w:firstRowLastColumn="0" w:lastRowFirstColumn="0" w:lastRowLastColumn="0"/>
          <w:trHeight w:val="340"/>
          <w:tblHeader/>
        </w:trPr>
        <w:tc>
          <w:tcPr>
            <w:cnfStyle w:val="001000000000" w:firstRow="0" w:lastRow="0" w:firstColumn="1" w:lastColumn="0" w:oddVBand="0" w:evenVBand="0" w:oddHBand="0" w:evenHBand="0" w:firstRowFirstColumn="0" w:firstRowLastColumn="0" w:lastRowFirstColumn="0" w:lastRowLastColumn="0"/>
            <w:tcW w:w="2501" w:type="dxa"/>
            <w:shd w:val="clear" w:color="auto" w:fill="F1D0C6"/>
          </w:tcPr>
          <w:p w14:paraId="032C71A9" w14:textId="77777777" w:rsidR="007C1B83" w:rsidRPr="000F23E0" w:rsidRDefault="007C1B83" w:rsidP="006314B2">
            <w:pPr>
              <w:pStyle w:val="TableColumnHeadingLeft"/>
              <w:rPr>
                <w:b/>
              </w:rPr>
            </w:pPr>
            <w:r w:rsidRPr="000F23E0">
              <w:rPr>
                <w:b/>
                <w:bCs w:val="0"/>
              </w:rPr>
              <w:t>Project</w:t>
            </w:r>
          </w:p>
        </w:tc>
        <w:tc>
          <w:tcPr>
            <w:tcW w:w="6569" w:type="dxa"/>
            <w:shd w:val="clear" w:color="auto" w:fill="F1D0C6"/>
          </w:tcPr>
          <w:p w14:paraId="5B111DC2" w14:textId="67CDE660" w:rsidR="007C1B83" w:rsidRPr="000F23E0" w:rsidRDefault="00203591" w:rsidP="006314B2">
            <w:pPr>
              <w:pStyle w:val="TableColumnHeadingLeft"/>
              <w:cnfStyle w:val="100000000000" w:firstRow="1" w:lastRow="0" w:firstColumn="0" w:lastColumn="0" w:oddVBand="0" w:evenVBand="0" w:oddHBand="0" w:evenHBand="0" w:firstRowFirstColumn="0" w:firstRowLastColumn="0" w:lastRowFirstColumn="0" w:lastRowLastColumn="0"/>
              <w:rPr>
                <w:b/>
              </w:rPr>
            </w:pPr>
            <w:r w:rsidRPr="000F23E0">
              <w:rPr>
                <w:b/>
                <w:bCs w:val="0"/>
              </w:rPr>
              <w:t>Outcomes</w:t>
            </w:r>
          </w:p>
        </w:tc>
      </w:tr>
      <w:tr w:rsidR="003B6F2C" w:rsidRPr="000F23E0" w14:paraId="49B4223E" w14:textId="77777777" w:rsidTr="005F45A1">
        <w:trPr>
          <w:trHeight w:val="340"/>
        </w:trPr>
        <w:tc>
          <w:tcPr>
            <w:cnfStyle w:val="001000000000" w:firstRow="0" w:lastRow="0" w:firstColumn="1" w:lastColumn="0" w:oddVBand="0" w:evenVBand="0" w:oddHBand="0" w:evenHBand="0" w:firstRowFirstColumn="0" w:firstRowLastColumn="0" w:lastRowFirstColumn="0" w:lastRowLastColumn="0"/>
            <w:tcW w:w="2501" w:type="dxa"/>
            <w:shd w:val="clear" w:color="auto" w:fill="FDF0E7"/>
          </w:tcPr>
          <w:p w14:paraId="00A1AA06" w14:textId="545F71BB" w:rsidR="007C1B83" w:rsidRPr="000F23E0" w:rsidRDefault="00763B82" w:rsidP="006314B2">
            <w:pPr>
              <w:pStyle w:val="TableTextLeft"/>
              <w:rPr>
                <w:b/>
                <w:bCs w:val="0"/>
              </w:rPr>
            </w:pPr>
            <w:hyperlink r:id="rId80" w:history="1">
              <w:r w:rsidRPr="000F23E0">
                <w:rPr>
                  <w:rStyle w:val="Hyperlink"/>
                  <w:b/>
                  <w:bCs w:val="0"/>
                </w:rPr>
                <w:t xml:space="preserve">Climate </w:t>
              </w:r>
              <w:r w:rsidR="003E3A55" w:rsidRPr="000F23E0">
                <w:rPr>
                  <w:rStyle w:val="Hyperlink"/>
                  <w:b/>
                  <w:bCs w:val="0"/>
                </w:rPr>
                <w:t>r</w:t>
              </w:r>
              <w:r w:rsidRPr="000F23E0">
                <w:rPr>
                  <w:rStyle w:val="Hyperlink"/>
                  <w:b/>
                  <w:bCs w:val="0"/>
                </w:rPr>
                <w:t xml:space="preserve">esilient </w:t>
              </w:r>
              <w:r w:rsidR="003E3A55" w:rsidRPr="000F23E0">
                <w:rPr>
                  <w:rStyle w:val="Hyperlink"/>
                  <w:b/>
                  <w:bCs w:val="0"/>
                </w:rPr>
                <w:t>c</w:t>
              </w:r>
              <w:r w:rsidRPr="000F23E0">
                <w:rPr>
                  <w:rStyle w:val="Hyperlink"/>
                  <w:b/>
                  <w:bCs w:val="0"/>
                </w:rPr>
                <w:t>ommunities</w:t>
              </w:r>
            </w:hyperlink>
          </w:p>
        </w:tc>
        <w:tc>
          <w:tcPr>
            <w:tcW w:w="6569" w:type="dxa"/>
            <w:shd w:val="clear" w:color="auto" w:fill="FEFAF8"/>
          </w:tcPr>
          <w:p w14:paraId="2096AC3A" w14:textId="068E113A" w:rsidR="007C1B83" w:rsidRPr="000F23E0" w:rsidRDefault="00763B82" w:rsidP="006314B2">
            <w:pPr>
              <w:pStyle w:val="TableTextLeft"/>
              <w:cnfStyle w:val="000000000000" w:firstRow="0" w:lastRow="0" w:firstColumn="0" w:lastColumn="0" w:oddVBand="0" w:evenVBand="0" w:oddHBand="0" w:evenHBand="0" w:firstRowFirstColumn="0" w:firstRowLastColumn="0" w:lastRowFirstColumn="0" w:lastRowLastColumn="0"/>
            </w:pPr>
            <w:r w:rsidRPr="000F23E0">
              <w:t>Enhanced the integration of climate change across Australia’s development program to</w:t>
            </w:r>
            <w:r w:rsidR="00D9048C" w:rsidRPr="000F23E0">
              <w:t> </w:t>
            </w:r>
            <w:r w:rsidRPr="000F23E0">
              <w:t>help deliver on the climate commitments in the International Development Policy.</w:t>
            </w:r>
            <w:r w:rsidR="0000606D" w:rsidRPr="000F23E0">
              <w:t xml:space="preserve"> 19</w:t>
            </w:r>
            <w:r w:rsidR="00D9048C" w:rsidRPr="000F23E0">
              <w:t> </w:t>
            </w:r>
            <w:r w:rsidR="0000606D" w:rsidRPr="000F23E0">
              <w:t>ODA investments were supported in 2024</w:t>
            </w:r>
            <w:r w:rsidR="00ED5506" w:rsidRPr="000F23E0">
              <w:t>–</w:t>
            </w:r>
            <w:r w:rsidR="0000606D" w:rsidRPr="000F23E0">
              <w:t>25. Also see Case Study 1</w:t>
            </w:r>
            <w:r w:rsidR="00EE1594" w:rsidRPr="000F23E0">
              <w:t>0</w:t>
            </w:r>
            <w:r w:rsidR="0000606D" w:rsidRPr="000F23E0">
              <w:t xml:space="preserve">. </w:t>
            </w:r>
          </w:p>
        </w:tc>
      </w:tr>
      <w:tr w:rsidR="003B6F2C" w:rsidRPr="000F23E0" w14:paraId="624EE82A" w14:textId="77777777" w:rsidTr="005F45A1">
        <w:trPr>
          <w:trHeight w:val="340"/>
        </w:trPr>
        <w:tc>
          <w:tcPr>
            <w:cnfStyle w:val="001000000000" w:firstRow="0" w:lastRow="0" w:firstColumn="1" w:lastColumn="0" w:oddVBand="0" w:evenVBand="0" w:oddHBand="0" w:evenHBand="0" w:firstRowFirstColumn="0" w:firstRowLastColumn="0" w:lastRowFirstColumn="0" w:lastRowLastColumn="0"/>
            <w:tcW w:w="2501" w:type="dxa"/>
            <w:shd w:val="clear" w:color="auto" w:fill="FDF0E7"/>
          </w:tcPr>
          <w:p w14:paraId="1E92790B" w14:textId="073622AA" w:rsidR="007C1B83" w:rsidRPr="000F23E0" w:rsidRDefault="00763B82" w:rsidP="006314B2">
            <w:pPr>
              <w:pStyle w:val="TableTextLeft"/>
              <w:rPr>
                <w:b/>
                <w:bCs w:val="0"/>
              </w:rPr>
            </w:pPr>
            <w:hyperlink r:id="rId81" w:history="1">
              <w:r w:rsidRPr="000F23E0">
                <w:rPr>
                  <w:rStyle w:val="Hyperlink"/>
                  <w:b/>
                  <w:bCs w:val="0"/>
                </w:rPr>
                <w:t xml:space="preserve">SHIELD </w:t>
              </w:r>
              <w:r w:rsidR="003E3A55" w:rsidRPr="000F23E0">
                <w:rPr>
                  <w:rStyle w:val="Hyperlink"/>
                  <w:b/>
                  <w:bCs w:val="0"/>
                </w:rPr>
                <w:t>a</w:t>
              </w:r>
              <w:r w:rsidRPr="000F23E0">
                <w:rPr>
                  <w:rStyle w:val="Hyperlink"/>
                  <w:b/>
                  <w:bCs w:val="0"/>
                </w:rPr>
                <w:t xml:space="preserve">gainst </w:t>
              </w:r>
              <w:r w:rsidR="003E3A55" w:rsidRPr="000F23E0">
                <w:rPr>
                  <w:rStyle w:val="Hyperlink"/>
                  <w:b/>
                  <w:bCs w:val="0"/>
                </w:rPr>
                <w:t>d</w:t>
              </w:r>
              <w:r w:rsidRPr="000F23E0">
                <w:rPr>
                  <w:rStyle w:val="Hyperlink"/>
                  <w:b/>
                  <w:bCs w:val="0"/>
                </w:rPr>
                <w:t xml:space="preserve">isasters and </w:t>
              </w:r>
              <w:r w:rsidR="003E3A55" w:rsidRPr="000F23E0">
                <w:rPr>
                  <w:rStyle w:val="Hyperlink"/>
                  <w:b/>
                  <w:bCs w:val="0"/>
                </w:rPr>
                <w:t>c</w:t>
              </w:r>
              <w:r w:rsidRPr="000F23E0">
                <w:rPr>
                  <w:rStyle w:val="Hyperlink"/>
                  <w:b/>
                  <w:bCs w:val="0"/>
                </w:rPr>
                <w:t xml:space="preserve">limate </w:t>
              </w:r>
              <w:r w:rsidR="003E3A55" w:rsidRPr="000F23E0">
                <w:rPr>
                  <w:rStyle w:val="Hyperlink"/>
                  <w:b/>
                  <w:bCs w:val="0"/>
                </w:rPr>
                <w:t>c</w:t>
              </w:r>
              <w:r w:rsidRPr="000F23E0">
                <w:rPr>
                  <w:rStyle w:val="Hyperlink"/>
                  <w:b/>
                  <w:bCs w:val="0"/>
                </w:rPr>
                <w:t>hange (Philippines)</w:t>
              </w:r>
            </w:hyperlink>
          </w:p>
        </w:tc>
        <w:tc>
          <w:tcPr>
            <w:tcW w:w="6569" w:type="dxa"/>
            <w:shd w:val="clear" w:color="auto" w:fill="FEFAF8"/>
          </w:tcPr>
          <w:p w14:paraId="064EE643" w14:textId="6A99AB68" w:rsidR="00BA7A58" w:rsidRPr="000F23E0" w:rsidRDefault="00E92148" w:rsidP="006314B2">
            <w:pPr>
              <w:pStyle w:val="TableTextLeft"/>
              <w:cnfStyle w:val="000000000000" w:firstRow="0" w:lastRow="0" w:firstColumn="0" w:lastColumn="0" w:oddVBand="0" w:evenVBand="0" w:oddHBand="0" w:evenHBand="0" w:firstRowFirstColumn="0" w:firstRowLastColumn="0" w:lastRowFirstColumn="0" w:lastRowLastColumn="0"/>
            </w:pPr>
            <w:r w:rsidRPr="000F23E0">
              <w:t>Established structured</w:t>
            </w:r>
            <w:r w:rsidR="00213CF8" w:rsidRPr="000F23E0">
              <w:t xml:space="preserve"> multi</w:t>
            </w:r>
            <w:r w:rsidR="006A304B" w:rsidRPr="000F23E0">
              <w:t>-</w:t>
            </w:r>
            <w:r w:rsidR="00213CF8" w:rsidRPr="000F23E0">
              <w:t xml:space="preserve">stakeholder platforms across the </w:t>
            </w:r>
            <w:r w:rsidR="00032C00" w:rsidRPr="000F23E0">
              <w:t xml:space="preserve">Philippines </w:t>
            </w:r>
            <w:r w:rsidR="00213CF8" w:rsidRPr="000F23E0">
              <w:t>that led to their provincial climate risk profiles and typhoon tracking and alerts</w:t>
            </w:r>
            <w:r w:rsidR="00BC6690" w:rsidRPr="000F23E0">
              <w:t xml:space="preserve"> and</w:t>
            </w:r>
            <w:r w:rsidR="00213CF8" w:rsidRPr="000F23E0">
              <w:t xml:space="preserve"> integration of resilience </w:t>
            </w:r>
            <w:r w:rsidR="00BC6690" w:rsidRPr="000F23E0">
              <w:t>and risk</w:t>
            </w:r>
            <w:r w:rsidR="00213CF8" w:rsidRPr="000F23E0">
              <w:t xml:space="preserve"> strategies into provincial annual planning. </w:t>
            </w:r>
          </w:p>
          <w:p w14:paraId="01000EA9" w14:textId="08B99658" w:rsidR="007C1B83" w:rsidRPr="000F23E0" w:rsidRDefault="00722716" w:rsidP="006314B2">
            <w:pPr>
              <w:pStyle w:val="TableTextLeft"/>
              <w:cnfStyle w:val="000000000000" w:firstRow="0" w:lastRow="0" w:firstColumn="0" w:lastColumn="0" w:oddVBand="0" w:evenVBand="0" w:oddHBand="0" w:evenHBand="0" w:firstRowFirstColumn="0" w:firstRowLastColumn="0" w:lastRowFirstColumn="0" w:lastRowLastColumn="0"/>
            </w:pPr>
            <w:r w:rsidRPr="000F23E0">
              <w:t xml:space="preserve">The program has also </w:t>
            </w:r>
            <w:r w:rsidR="005121D2" w:rsidRPr="000F23E0">
              <w:t xml:space="preserve">enabled collaboration between the Australia’s and the Philippines scientific </w:t>
            </w:r>
            <w:r w:rsidR="00E55793" w:rsidRPr="000F23E0">
              <w:t xml:space="preserve">agencies. </w:t>
            </w:r>
            <w:r w:rsidR="00C522B9" w:rsidRPr="000F23E0">
              <w:t>This is leading</w:t>
            </w:r>
            <w:r w:rsidR="00213CF8" w:rsidRPr="000F23E0">
              <w:t xml:space="preserve"> to the development of products that enhance the existing GeoRiskPH platform</w:t>
            </w:r>
            <w:r w:rsidR="00660260" w:rsidRPr="000F23E0">
              <w:t xml:space="preserve"> which</w:t>
            </w:r>
            <w:r w:rsidR="00213CF8" w:rsidRPr="000F23E0">
              <w:t xml:space="preserve"> provides </w:t>
            </w:r>
            <w:r w:rsidR="002F4DE7" w:rsidRPr="000F23E0">
              <w:t>stakeholders</w:t>
            </w:r>
            <w:r w:rsidR="00213CF8" w:rsidRPr="000F23E0">
              <w:t xml:space="preserve"> with accessible data and analytics to better prepare for and reduce risks from natural hazards</w:t>
            </w:r>
            <w:r w:rsidR="00763B82" w:rsidRPr="000F23E0">
              <w:t>.</w:t>
            </w:r>
          </w:p>
        </w:tc>
      </w:tr>
      <w:tr w:rsidR="003B6F2C" w:rsidRPr="000F23E0" w14:paraId="3B494FFC" w14:textId="77777777" w:rsidTr="005F45A1">
        <w:trPr>
          <w:trHeight w:val="340"/>
        </w:trPr>
        <w:tc>
          <w:tcPr>
            <w:cnfStyle w:val="001000000000" w:firstRow="0" w:lastRow="0" w:firstColumn="1" w:lastColumn="0" w:oddVBand="0" w:evenVBand="0" w:oddHBand="0" w:evenHBand="0" w:firstRowFirstColumn="0" w:firstRowLastColumn="0" w:lastRowFirstColumn="0" w:lastRowLastColumn="0"/>
            <w:tcW w:w="2501" w:type="dxa"/>
            <w:shd w:val="clear" w:color="auto" w:fill="FDF0E7"/>
          </w:tcPr>
          <w:p w14:paraId="082D8E12" w14:textId="6F897827" w:rsidR="007C1B83" w:rsidRPr="000F23E0" w:rsidRDefault="00763B82" w:rsidP="006314B2">
            <w:pPr>
              <w:pStyle w:val="TableTextLeft"/>
              <w:rPr>
                <w:b/>
                <w:bCs w:val="0"/>
              </w:rPr>
            </w:pPr>
            <w:hyperlink r:id="rId82" w:history="1">
              <w:r w:rsidRPr="000F23E0">
                <w:rPr>
                  <w:rStyle w:val="Hyperlink"/>
                  <w:b/>
                  <w:bCs w:val="0"/>
                </w:rPr>
                <w:t xml:space="preserve">Inclusive </w:t>
              </w:r>
              <w:r w:rsidR="009510F5" w:rsidRPr="000F23E0">
                <w:rPr>
                  <w:rStyle w:val="Hyperlink"/>
                  <w:b/>
                  <w:bCs w:val="0"/>
                </w:rPr>
                <w:t>w</w:t>
              </w:r>
              <w:r w:rsidRPr="000F23E0">
                <w:rPr>
                  <w:rStyle w:val="Hyperlink"/>
                  <w:b/>
                  <w:bCs w:val="0"/>
                </w:rPr>
                <w:t xml:space="preserve">ater </w:t>
              </w:r>
              <w:r w:rsidR="00C676C5" w:rsidRPr="000F23E0">
                <w:rPr>
                  <w:rStyle w:val="Hyperlink"/>
                  <w:b/>
                  <w:bCs w:val="0"/>
                </w:rPr>
                <w:t>g</w:t>
              </w:r>
              <w:r w:rsidRPr="000F23E0">
                <w:rPr>
                  <w:rStyle w:val="Hyperlink"/>
                  <w:b/>
                  <w:bCs w:val="0"/>
                </w:rPr>
                <w:t xml:space="preserve">overnance and </w:t>
              </w:r>
              <w:r w:rsidR="00C676C5" w:rsidRPr="000F23E0">
                <w:rPr>
                  <w:rStyle w:val="Hyperlink"/>
                  <w:b/>
                  <w:bCs w:val="0"/>
                </w:rPr>
                <w:t>s</w:t>
              </w:r>
              <w:r w:rsidRPr="000F23E0">
                <w:rPr>
                  <w:rStyle w:val="Hyperlink"/>
                  <w:b/>
                  <w:bCs w:val="0"/>
                </w:rPr>
                <w:t xml:space="preserve">trengthening </w:t>
              </w:r>
              <w:r w:rsidR="00C676C5" w:rsidRPr="000F23E0">
                <w:rPr>
                  <w:rStyle w:val="Hyperlink"/>
                  <w:b/>
                  <w:bCs w:val="0"/>
                </w:rPr>
                <w:t>c</w:t>
              </w:r>
              <w:r w:rsidRPr="000F23E0">
                <w:rPr>
                  <w:rStyle w:val="Hyperlink"/>
                  <w:b/>
                  <w:bCs w:val="0"/>
                </w:rPr>
                <w:t xml:space="preserve">limate </w:t>
              </w:r>
              <w:r w:rsidR="00C676C5" w:rsidRPr="000F23E0">
                <w:rPr>
                  <w:rStyle w:val="Hyperlink"/>
                  <w:b/>
                  <w:bCs w:val="0"/>
                </w:rPr>
                <w:t>r</w:t>
              </w:r>
              <w:r w:rsidRPr="000F23E0">
                <w:rPr>
                  <w:rStyle w:val="Hyperlink"/>
                  <w:b/>
                  <w:bCs w:val="0"/>
                </w:rPr>
                <w:t xml:space="preserve">esilience in the Mekong </w:t>
              </w:r>
              <w:r w:rsidR="00C676C5" w:rsidRPr="000F23E0">
                <w:rPr>
                  <w:rStyle w:val="Hyperlink"/>
                  <w:b/>
                  <w:bCs w:val="0"/>
                </w:rPr>
                <w:t>r</w:t>
              </w:r>
              <w:r w:rsidRPr="000F23E0">
                <w:rPr>
                  <w:rStyle w:val="Hyperlink"/>
                  <w:b/>
                  <w:bCs w:val="0"/>
                </w:rPr>
                <w:t>egion</w:t>
              </w:r>
            </w:hyperlink>
          </w:p>
        </w:tc>
        <w:tc>
          <w:tcPr>
            <w:tcW w:w="6569" w:type="dxa"/>
            <w:shd w:val="clear" w:color="auto" w:fill="FEFAF8"/>
          </w:tcPr>
          <w:p w14:paraId="3F10BE4E" w14:textId="7F88C63F" w:rsidR="007C1B83" w:rsidRPr="000F23E0" w:rsidRDefault="00763B82" w:rsidP="006314B2">
            <w:pPr>
              <w:pStyle w:val="TableTextLeft"/>
              <w:cnfStyle w:val="000000000000" w:firstRow="0" w:lastRow="0" w:firstColumn="0" w:lastColumn="0" w:oddVBand="0" w:evenVBand="0" w:oddHBand="0" w:evenHBand="0" w:firstRowFirstColumn="0" w:firstRowLastColumn="0" w:lastRowFirstColumn="0" w:lastRowLastColumn="0"/>
            </w:pPr>
            <w:r w:rsidRPr="000F23E0">
              <w:t xml:space="preserve">Ensured water resources governance processes at the national and regional levels in the Mekong subregion were more inclusive of civil society, women and marginalised social groups, and that local communities implement inclusive disaster risk reduction and </w:t>
            </w:r>
            <w:r w:rsidR="00445AD4" w:rsidRPr="000F23E0">
              <w:t>climate change adaptation</w:t>
            </w:r>
            <w:r w:rsidRPr="000F23E0">
              <w:t xml:space="preserve"> strategies.</w:t>
            </w:r>
          </w:p>
        </w:tc>
      </w:tr>
      <w:tr w:rsidR="003B6F2C" w:rsidRPr="000F23E0" w14:paraId="5528E6B9" w14:textId="77777777" w:rsidTr="005F45A1">
        <w:trPr>
          <w:trHeight w:val="340"/>
        </w:trPr>
        <w:tc>
          <w:tcPr>
            <w:cnfStyle w:val="001000000000" w:firstRow="0" w:lastRow="0" w:firstColumn="1" w:lastColumn="0" w:oddVBand="0" w:evenVBand="0" w:oddHBand="0" w:evenHBand="0" w:firstRowFirstColumn="0" w:firstRowLastColumn="0" w:lastRowFirstColumn="0" w:lastRowLastColumn="0"/>
            <w:tcW w:w="2501" w:type="dxa"/>
            <w:shd w:val="clear" w:color="auto" w:fill="FDF0E7"/>
          </w:tcPr>
          <w:p w14:paraId="068E43A7" w14:textId="7A7ECC0E" w:rsidR="007C1B83" w:rsidRPr="000F23E0" w:rsidRDefault="00763B82" w:rsidP="006314B2">
            <w:pPr>
              <w:pStyle w:val="TableTextLeft"/>
              <w:rPr>
                <w:b/>
                <w:bCs w:val="0"/>
              </w:rPr>
            </w:pPr>
            <w:hyperlink r:id="rId83" w:history="1">
              <w:r w:rsidRPr="000F23E0">
                <w:rPr>
                  <w:rStyle w:val="Hyperlink"/>
                  <w:b/>
                  <w:bCs w:val="0"/>
                </w:rPr>
                <w:t xml:space="preserve">Building </w:t>
              </w:r>
              <w:r w:rsidR="003E3A55" w:rsidRPr="000F23E0">
                <w:rPr>
                  <w:rStyle w:val="Hyperlink"/>
                  <w:b/>
                  <w:bCs w:val="0"/>
                </w:rPr>
                <w:t>c</w:t>
              </w:r>
              <w:r w:rsidRPr="000F23E0">
                <w:rPr>
                  <w:rStyle w:val="Hyperlink"/>
                  <w:b/>
                  <w:bCs w:val="0"/>
                </w:rPr>
                <w:t xml:space="preserve">apabilities for </w:t>
              </w:r>
              <w:r w:rsidR="003E3A55" w:rsidRPr="000F23E0">
                <w:rPr>
                  <w:rStyle w:val="Hyperlink"/>
                  <w:b/>
                  <w:bCs w:val="0"/>
                </w:rPr>
                <w:t>g</w:t>
              </w:r>
              <w:r w:rsidRPr="000F23E0">
                <w:rPr>
                  <w:rStyle w:val="Hyperlink"/>
                  <w:b/>
                  <w:bCs w:val="0"/>
                </w:rPr>
                <w:t xml:space="preserve">reen, </w:t>
              </w:r>
              <w:r w:rsidR="003E3A55" w:rsidRPr="000F23E0">
                <w:rPr>
                  <w:rStyle w:val="Hyperlink"/>
                  <w:b/>
                  <w:bCs w:val="0"/>
                </w:rPr>
                <w:t>c</w:t>
              </w:r>
              <w:r w:rsidRPr="000F23E0">
                <w:rPr>
                  <w:rStyle w:val="Hyperlink"/>
                  <w:b/>
                  <w:bCs w:val="0"/>
                </w:rPr>
                <w:t xml:space="preserve">limate </w:t>
              </w:r>
              <w:r w:rsidR="003E3A55" w:rsidRPr="000F23E0">
                <w:rPr>
                  <w:rStyle w:val="Hyperlink"/>
                  <w:b/>
                  <w:bCs w:val="0"/>
                </w:rPr>
                <w:t>r</w:t>
              </w:r>
              <w:r w:rsidRPr="000F23E0">
                <w:rPr>
                  <w:rStyle w:val="Hyperlink"/>
                  <w:b/>
                  <w:bCs w:val="0"/>
                </w:rPr>
                <w:t xml:space="preserve">esilient and </w:t>
              </w:r>
              <w:r w:rsidR="003E3A55" w:rsidRPr="000F23E0">
                <w:rPr>
                  <w:rStyle w:val="Hyperlink"/>
                  <w:b/>
                  <w:bCs w:val="0"/>
                </w:rPr>
                <w:t>i</w:t>
              </w:r>
              <w:r w:rsidRPr="000F23E0">
                <w:rPr>
                  <w:rStyle w:val="Hyperlink"/>
                  <w:b/>
                  <w:bCs w:val="0"/>
                </w:rPr>
                <w:t xml:space="preserve">nclusive </w:t>
              </w:r>
              <w:r w:rsidR="003E3A55" w:rsidRPr="000F23E0">
                <w:rPr>
                  <w:rStyle w:val="Hyperlink"/>
                  <w:b/>
                  <w:bCs w:val="0"/>
                </w:rPr>
                <w:t>d</w:t>
              </w:r>
              <w:r w:rsidRPr="000F23E0">
                <w:rPr>
                  <w:rStyle w:val="Hyperlink"/>
                  <w:b/>
                  <w:bCs w:val="0"/>
                </w:rPr>
                <w:t>evelopment in the Lower Koshi</w:t>
              </w:r>
              <w:r w:rsidR="005F45A1" w:rsidRPr="000F23E0">
                <w:rPr>
                  <w:rStyle w:val="Hyperlink"/>
                  <w:b/>
                  <w:bCs w:val="0"/>
                </w:rPr>
                <w:t> </w:t>
              </w:r>
              <w:r w:rsidRPr="000F23E0">
                <w:rPr>
                  <w:rStyle w:val="Hyperlink"/>
                  <w:b/>
                  <w:bCs w:val="0"/>
                </w:rPr>
                <w:t>River Basin</w:t>
              </w:r>
            </w:hyperlink>
          </w:p>
        </w:tc>
        <w:tc>
          <w:tcPr>
            <w:tcW w:w="6569" w:type="dxa"/>
            <w:shd w:val="clear" w:color="auto" w:fill="FEFAF8"/>
          </w:tcPr>
          <w:p w14:paraId="1739759D" w14:textId="1B2A4599" w:rsidR="00281D85" w:rsidRPr="000F23E0" w:rsidRDefault="00281D85" w:rsidP="006314B2">
            <w:pPr>
              <w:pStyle w:val="TableTextLeft"/>
              <w:cnfStyle w:val="000000000000" w:firstRow="0" w:lastRow="0" w:firstColumn="0" w:lastColumn="0" w:oddVBand="0" w:evenVBand="0" w:oddHBand="0" w:evenHBand="0" w:firstRowFirstColumn="0" w:firstRowLastColumn="0" w:lastRowFirstColumn="0" w:lastRowLastColumn="0"/>
            </w:pPr>
            <w:r w:rsidRPr="000F23E0">
              <w:t xml:space="preserve">Supported local governments to integrate Gender Responsive Budgeting and GEDSI assessments into 10 Local Disaster and Climate Resilient Plans in Nepal. </w:t>
            </w:r>
          </w:p>
          <w:p w14:paraId="4B2F7914" w14:textId="3C5CDEDA" w:rsidR="00281D85" w:rsidRPr="000F23E0" w:rsidRDefault="00281D85" w:rsidP="006314B2">
            <w:pPr>
              <w:pStyle w:val="TableTextLeft"/>
              <w:cnfStyle w:val="000000000000" w:firstRow="0" w:lastRow="0" w:firstColumn="0" w:lastColumn="0" w:oddVBand="0" w:evenVBand="0" w:oddHBand="0" w:evenHBand="0" w:firstRowFirstColumn="0" w:firstRowLastColumn="0" w:lastRowFirstColumn="0" w:lastRowLastColumn="0"/>
            </w:pPr>
            <w:r w:rsidRPr="000F23E0">
              <w:t xml:space="preserve">Conducted assessments with 905 </w:t>
            </w:r>
            <w:r w:rsidR="006456BA" w:rsidRPr="000F23E0">
              <w:t>community members</w:t>
            </w:r>
            <w:r w:rsidRPr="000F23E0">
              <w:t xml:space="preserve"> to identify inclusivity gaps, such as disability-accessible shelters and flood warning systems. </w:t>
            </w:r>
          </w:p>
          <w:p w14:paraId="3D2D575D" w14:textId="5D7FA300" w:rsidR="007C1B83" w:rsidRPr="000F23E0" w:rsidRDefault="00281D85" w:rsidP="006314B2">
            <w:pPr>
              <w:pStyle w:val="TableTextLeft"/>
              <w:cnfStyle w:val="000000000000" w:firstRow="0" w:lastRow="0" w:firstColumn="0" w:lastColumn="0" w:oddVBand="0" w:evenVBand="0" w:oddHBand="0" w:evenHBand="0" w:firstRowFirstColumn="0" w:firstRowLastColumn="0" w:lastRowFirstColumn="0" w:lastRowLastColumn="0"/>
            </w:pPr>
            <w:r w:rsidRPr="000F23E0">
              <w:t>Strengthened resilience of 619 individuals through collaborative learning on watershed management, flood preparedness, and community engagement.</w:t>
            </w:r>
          </w:p>
        </w:tc>
      </w:tr>
      <w:tr w:rsidR="003B6F2C" w:rsidRPr="000F23E0" w14:paraId="208DED62" w14:textId="77777777" w:rsidTr="005F45A1">
        <w:trPr>
          <w:trHeight w:val="340"/>
        </w:trPr>
        <w:tc>
          <w:tcPr>
            <w:cnfStyle w:val="001000000000" w:firstRow="0" w:lastRow="0" w:firstColumn="1" w:lastColumn="0" w:oddVBand="0" w:evenVBand="0" w:oddHBand="0" w:evenHBand="0" w:firstRowFirstColumn="0" w:firstRowLastColumn="0" w:lastRowFirstColumn="0" w:lastRowLastColumn="0"/>
            <w:tcW w:w="2501" w:type="dxa"/>
            <w:shd w:val="clear" w:color="auto" w:fill="FDF0E7"/>
          </w:tcPr>
          <w:p w14:paraId="1D282D69" w14:textId="7871FED8" w:rsidR="007C1B83" w:rsidRPr="000F23E0" w:rsidRDefault="00763B82" w:rsidP="006314B2">
            <w:pPr>
              <w:pStyle w:val="TableTextLeft"/>
              <w:rPr>
                <w:b/>
                <w:bCs w:val="0"/>
              </w:rPr>
            </w:pPr>
            <w:hyperlink r:id="rId84" w:history="1">
              <w:r w:rsidRPr="000F23E0">
                <w:rPr>
                  <w:rStyle w:val="Hyperlink"/>
                  <w:b/>
                  <w:bCs w:val="0"/>
                </w:rPr>
                <w:t>Climate and Oceans Support Program in the Pacific Phase 3</w:t>
              </w:r>
            </w:hyperlink>
          </w:p>
        </w:tc>
        <w:tc>
          <w:tcPr>
            <w:tcW w:w="6569" w:type="dxa"/>
            <w:shd w:val="clear" w:color="auto" w:fill="FEFAF8"/>
          </w:tcPr>
          <w:p w14:paraId="52129B41" w14:textId="410FCC81" w:rsidR="007C1B83" w:rsidRPr="000F23E0" w:rsidRDefault="00763B82" w:rsidP="006314B2">
            <w:pPr>
              <w:pStyle w:val="TableTextLeft"/>
              <w:cnfStyle w:val="000000000000" w:firstRow="0" w:lastRow="0" w:firstColumn="0" w:lastColumn="0" w:oddVBand="0" w:evenVBand="0" w:oddHBand="0" w:evenHBand="0" w:firstRowFirstColumn="0" w:firstRowLastColumn="0" w:lastRowFirstColumn="0" w:lastRowLastColumn="0"/>
            </w:pPr>
            <w:r w:rsidRPr="000F23E0">
              <w:t>Support national climate services in Pacific countries to use sea</w:t>
            </w:r>
            <w:r w:rsidR="00E219A5" w:rsidRPr="000F23E0">
              <w:t>-</w:t>
            </w:r>
            <w:r w:rsidRPr="000F23E0">
              <w:t>level monitoring, tide predictions and real-time data to produce tailored agrometeorological and fisheries bulletins for use in agriculture and fisheries sectors</w:t>
            </w:r>
            <w:r w:rsidR="003848BF" w:rsidRPr="000F23E0">
              <w:t>.</w:t>
            </w:r>
          </w:p>
        </w:tc>
      </w:tr>
      <w:tr w:rsidR="003B6F2C" w:rsidRPr="000F23E0" w14:paraId="453B895B" w14:textId="77777777" w:rsidTr="005F45A1">
        <w:trPr>
          <w:trHeight w:val="340"/>
        </w:trPr>
        <w:tc>
          <w:tcPr>
            <w:cnfStyle w:val="001000000000" w:firstRow="0" w:lastRow="0" w:firstColumn="1" w:lastColumn="0" w:oddVBand="0" w:evenVBand="0" w:oddHBand="0" w:evenHBand="0" w:firstRowFirstColumn="0" w:firstRowLastColumn="0" w:lastRowFirstColumn="0" w:lastRowLastColumn="0"/>
            <w:tcW w:w="2501" w:type="dxa"/>
            <w:shd w:val="clear" w:color="auto" w:fill="FDF0E7"/>
          </w:tcPr>
          <w:p w14:paraId="7FD87CAC" w14:textId="23187E0F" w:rsidR="007C1B83" w:rsidRPr="000F23E0" w:rsidRDefault="00763B82" w:rsidP="006314B2">
            <w:pPr>
              <w:pStyle w:val="TableTextLeft"/>
              <w:rPr>
                <w:b/>
                <w:bCs w:val="0"/>
              </w:rPr>
            </w:pPr>
            <w:hyperlink r:id="rId85" w:history="1">
              <w:r w:rsidRPr="000F23E0">
                <w:rPr>
                  <w:rStyle w:val="Hyperlink"/>
                  <w:b/>
                  <w:bCs w:val="0"/>
                </w:rPr>
                <w:t>Partnership for Climate, Renewable Energy and Infrastructure (Indonesia)</w:t>
              </w:r>
            </w:hyperlink>
          </w:p>
        </w:tc>
        <w:tc>
          <w:tcPr>
            <w:tcW w:w="6569" w:type="dxa"/>
            <w:shd w:val="clear" w:color="auto" w:fill="FEFAF8"/>
          </w:tcPr>
          <w:p w14:paraId="2C741528" w14:textId="0A08FECA" w:rsidR="00621B8E" w:rsidRPr="000F23E0" w:rsidRDefault="00D52CBF" w:rsidP="006314B2">
            <w:pPr>
              <w:pStyle w:val="TableTextLeft"/>
              <w:cnfStyle w:val="000000000000" w:firstRow="0" w:lastRow="0" w:firstColumn="0" w:lastColumn="0" w:oddVBand="0" w:evenVBand="0" w:oddHBand="0" w:evenHBand="0" w:firstRowFirstColumn="0" w:firstRowLastColumn="0" w:lastRowFirstColumn="0" w:lastRowLastColumn="0"/>
            </w:pPr>
            <w:r w:rsidRPr="000F23E0">
              <w:t xml:space="preserve">Supports </w:t>
            </w:r>
            <w:r w:rsidR="00763B82" w:rsidRPr="000F23E0">
              <w:t>Indonesia-led policy and regulatory reform</w:t>
            </w:r>
            <w:r w:rsidRPr="000F23E0">
              <w:t xml:space="preserve"> </w:t>
            </w:r>
            <w:r w:rsidR="006E545C" w:rsidRPr="000F23E0">
              <w:t>to increase investment in the energy transition</w:t>
            </w:r>
            <w:r w:rsidR="00E77F2A" w:rsidRPr="000F23E0">
              <w:t xml:space="preserve">, including </w:t>
            </w:r>
            <w:r w:rsidR="00763B82" w:rsidRPr="000F23E0">
              <w:t>for small and medium-sized enterprises.</w:t>
            </w:r>
          </w:p>
          <w:p w14:paraId="2F33DBE7" w14:textId="7B1753B6" w:rsidR="007C1B83" w:rsidRPr="000F23E0" w:rsidRDefault="00763B82" w:rsidP="006314B2">
            <w:pPr>
              <w:pStyle w:val="TableTextLeft"/>
              <w:cnfStyle w:val="000000000000" w:firstRow="0" w:lastRow="0" w:firstColumn="0" w:lastColumn="0" w:oddVBand="0" w:evenVBand="0" w:oddHBand="0" w:evenHBand="0" w:firstRowFirstColumn="0" w:firstRowLastColumn="0" w:lastRowFirstColumn="0" w:lastRowLastColumn="0"/>
            </w:pPr>
            <w:r w:rsidRPr="000F23E0">
              <w:t>Promote</w:t>
            </w:r>
            <w:r w:rsidR="005B7BB3" w:rsidRPr="000F23E0">
              <w:t>s</w:t>
            </w:r>
            <w:r w:rsidRPr="000F23E0">
              <w:t xml:space="preserve"> a just transition in which the marginalised participate in and benefit from the</w:t>
            </w:r>
            <w:r w:rsidR="00D9048C" w:rsidRPr="000F23E0">
              <w:noBreakHyphen/>
            </w:r>
            <w:r w:rsidRPr="000F23E0">
              <w:t xml:space="preserve">shift to net zero. </w:t>
            </w:r>
          </w:p>
        </w:tc>
      </w:tr>
      <w:tr w:rsidR="003B6F2C" w:rsidRPr="000F23E0" w14:paraId="53280A6E" w14:textId="77777777" w:rsidTr="005F45A1">
        <w:trPr>
          <w:trHeight w:val="340"/>
        </w:trPr>
        <w:tc>
          <w:tcPr>
            <w:cnfStyle w:val="001000000000" w:firstRow="0" w:lastRow="0" w:firstColumn="1" w:lastColumn="0" w:oddVBand="0" w:evenVBand="0" w:oddHBand="0" w:evenHBand="0" w:firstRowFirstColumn="0" w:firstRowLastColumn="0" w:lastRowFirstColumn="0" w:lastRowLastColumn="0"/>
            <w:tcW w:w="2501" w:type="dxa"/>
            <w:shd w:val="clear" w:color="auto" w:fill="FDF0E7"/>
          </w:tcPr>
          <w:p w14:paraId="181135E9" w14:textId="18DDA835" w:rsidR="007C1B83" w:rsidRPr="000F23E0" w:rsidRDefault="00763B82" w:rsidP="006314B2">
            <w:pPr>
              <w:pStyle w:val="TableTextLeft"/>
              <w:rPr>
                <w:b/>
                <w:bCs w:val="0"/>
              </w:rPr>
            </w:pPr>
            <w:hyperlink r:id="rId86" w:history="1">
              <w:r w:rsidRPr="000F23E0">
                <w:rPr>
                  <w:rStyle w:val="Hyperlink"/>
                  <w:b/>
                  <w:bCs w:val="0"/>
                </w:rPr>
                <w:t>Commonwealth Climate Finance</w:t>
              </w:r>
              <w:r w:rsidR="00D9048C" w:rsidRPr="000F23E0">
                <w:rPr>
                  <w:rStyle w:val="Hyperlink"/>
                  <w:b/>
                  <w:bCs w:val="0"/>
                </w:rPr>
                <w:noBreakHyphen/>
              </w:r>
              <w:r w:rsidRPr="000F23E0">
                <w:rPr>
                  <w:rStyle w:val="Hyperlink"/>
                  <w:b/>
                  <w:bCs w:val="0"/>
                </w:rPr>
                <w:t>Access Hub</w:t>
              </w:r>
            </w:hyperlink>
          </w:p>
        </w:tc>
        <w:tc>
          <w:tcPr>
            <w:tcW w:w="6569" w:type="dxa"/>
            <w:shd w:val="clear" w:color="auto" w:fill="FEFAF8"/>
          </w:tcPr>
          <w:p w14:paraId="3F03A9D3" w14:textId="5076DB28" w:rsidR="00621B8E" w:rsidRPr="000F23E0" w:rsidRDefault="00763B82" w:rsidP="006314B2">
            <w:pPr>
              <w:pStyle w:val="TableTextLeft"/>
              <w:cnfStyle w:val="000000000000" w:firstRow="0" w:lastRow="0" w:firstColumn="0" w:lastColumn="0" w:oddVBand="0" w:evenVBand="0" w:oddHBand="0" w:evenHBand="0" w:firstRowFirstColumn="0" w:firstRowLastColumn="0" w:lastRowFirstColumn="0" w:lastRowLastColumn="0"/>
            </w:pPr>
            <w:r w:rsidRPr="000F23E0">
              <w:t>Deployed advisers to 27 Commonwealth countries, including the Pacific, to assist government departments to support with climate finance grant applications, capacity building and policy support.</w:t>
            </w:r>
          </w:p>
          <w:p w14:paraId="359FE9F4" w14:textId="70C00BDC" w:rsidR="007C1B83" w:rsidRPr="000F23E0" w:rsidRDefault="00763B82" w:rsidP="006314B2">
            <w:pPr>
              <w:pStyle w:val="TableTextLeft"/>
              <w:cnfStyle w:val="000000000000" w:firstRow="0" w:lastRow="0" w:firstColumn="0" w:lastColumn="0" w:oddVBand="0" w:evenVBand="0" w:oddHBand="0" w:evenHBand="0" w:firstRowFirstColumn="0" w:firstRowLastColumn="0" w:lastRowFirstColumn="0" w:lastRowLastColumn="0"/>
            </w:pPr>
            <w:r w:rsidRPr="000F23E0">
              <w:t>Supported 108 projects and 160 capacity-building initiatives to train officials in climate finance.</w:t>
            </w:r>
          </w:p>
        </w:tc>
      </w:tr>
      <w:tr w:rsidR="003B6F2C" w:rsidRPr="000F23E0" w14:paraId="3BAE45EA" w14:textId="77777777" w:rsidTr="005F45A1">
        <w:trPr>
          <w:trHeight w:val="340"/>
        </w:trPr>
        <w:tc>
          <w:tcPr>
            <w:cnfStyle w:val="001000000000" w:firstRow="0" w:lastRow="0" w:firstColumn="1" w:lastColumn="0" w:oddVBand="0" w:evenVBand="0" w:oddHBand="0" w:evenHBand="0" w:firstRowFirstColumn="0" w:firstRowLastColumn="0" w:lastRowFirstColumn="0" w:lastRowLastColumn="0"/>
            <w:tcW w:w="2501" w:type="dxa"/>
            <w:shd w:val="clear" w:color="auto" w:fill="FDF0E7"/>
          </w:tcPr>
          <w:p w14:paraId="42250DE7" w14:textId="4EB167D3" w:rsidR="007C1B83" w:rsidRPr="000F23E0" w:rsidRDefault="00763B82" w:rsidP="006314B2">
            <w:pPr>
              <w:pStyle w:val="TableTextLeft"/>
              <w:rPr>
                <w:b/>
                <w:bCs w:val="0"/>
              </w:rPr>
            </w:pPr>
            <w:hyperlink r:id="rId87" w:history="1">
              <w:r w:rsidRPr="000F23E0">
                <w:rPr>
                  <w:rStyle w:val="Hyperlink"/>
                  <w:b/>
                  <w:bCs w:val="0"/>
                </w:rPr>
                <w:t>Pacific Climate Finance Access</w:t>
              </w:r>
              <w:r w:rsidR="00D9048C" w:rsidRPr="000F23E0">
                <w:rPr>
                  <w:rStyle w:val="Hyperlink"/>
                  <w:b/>
                  <w:bCs w:val="0"/>
                </w:rPr>
                <w:noBreakHyphen/>
              </w:r>
              <w:r w:rsidRPr="000F23E0">
                <w:rPr>
                  <w:rStyle w:val="Hyperlink"/>
                  <w:b/>
                  <w:bCs w:val="0"/>
                </w:rPr>
                <w:t>and Effectiveness</w:t>
              </w:r>
            </w:hyperlink>
          </w:p>
        </w:tc>
        <w:tc>
          <w:tcPr>
            <w:tcW w:w="6569" w:type="dxa"/>
            <w:shd w:val="clear" w:color="auto" w:fill="FEFAF8"/>
          </w:tcPr>
          <w:p w14:paraId="662B031D" w14:textId="0B01D601" w:rsidR="005B2047" w:rsidRPr="000F23E0" w:rsidRDefault="00B17DB2" w:rsidP="006314B2">
            <w:pPr>
              <w:pStyle w:val="TableTextLeft"/>
              <w:cnfStyle w:val="000000000000" w:firstRow="0" w:lastRow="0" w:firstColumn="0" w:lastColumn="0" w:oddVBand="0" w:evenVBand="0" w:oddHBand="0" w:evenHBand="0" w:firstRowFirstColumn="0" w:firstRowLastColumn="0" w:lastRowFirstColumn="0" w:lastRowLastColumn="0"/>
            </w:pPr>
            <w:r w:rsidRPr="000F23E0">
              <w:t>M</w:t>
            </w:r>
            <w:r w:rsidR="005B2047" w:rsidRPr="000F23E0">
              <w:t>obilise</w:t>
            </w:r>
            <w:r w:rsidRPr="000F23E0">
              <w:t>d</w:t>
            </w:r>
            <w:r w:rsidR="005B2047" w:rsidRPr="000F23E0">
              <w:t xml:space="preserve"> USD53.1 million in Climate Finance into the Pacific as of August 2025 and supported a pipeline of USD96.8 million in Climate Finance for the region as of August</w:t>
            </w:r>
            <w:r w:rsidR="00D9048C" w:rsidRPr="000F23E0">
              <w:t> </w:t>
            </w:r>
            <w:r w:rsidR="005B2047" w:rsidRPr="000F23E0">
              <w:t xml:space="preserve">2025. </w:t>
            </w:r>
          </w:p>
          <w:p w14:paraId="38350656" w14:textId="2DF72481" w:rsidR="005B2047" w:rsidRPr="000F23E0" w:rsidRDefault="009D7829" w:rsidP="006314B2">
            <w:pPr>
              <w:pStyle w:val="TableTextLeft"/>
              <w:cnfStyle w:val="000000000000" w:firstRow="0" w:lastRow="0" w:firstColumn="0" w:lastColumn="0" w:oddVBand="0" w:evenVBand="0" w:oddHBand="0" w:evenHBand="0" w:firstRowFirstColumn="0" w:firstRowLastColumn="0" w:lastRowFirstColumn="0" w:lastRowLastColumn="0"/>
            </w:pPr>
            <w:r w:rsidRPr="000F23E0">
              <w:t>T</w:t>
            </w:r>
            <w:r w:rsidR="005B2047" w:rsidRPr="000F23E0">
              <w:t>rained 247 women and 191 men in the Pacific on various topics related to climate</w:t>
            </w:r>
            <w:r w:rsidR="00D9048C" w:rsidRPr="000F23E0">
              <w:t> </w:t>
            </w:r>
            <w:r w:rsidR="005B2047" w:rsidRPr="000F23E0">
              <w:t xml:space="preserve">finance. </w:t>
            </w:r>
          </w:p>
          <w:p w14:paraId="05E47B95" w14:textId="1905E049" w:rsidR="007C1B83" w:rsidRPr="000F23E0" w:rsidRDefault="005B2047" w:rsidP="006314B2">
            <w:pPr>
              <w:pStyle w:val="TableTextLeft"/>
              <w:cnfStyle w:val="000000000000" w:firstRow="0" w:lastRow="0" w:firstColumn="0" w:lastColumn="0" w:oddVBand="0" w:evenVBand="0" w:oddHBand="0" w:evenHBand="0" w:firstRowFirstColumn="0" w:firstRowLastColumn="0" w:lastRowFirstColumn="0" w:lastRowLastColumn="0"/>
            </w:pPr>
            <w:r w:rsidRPr="000F23E0">
              <w:t>Projects have accounted for an accumulated estimate of 11,424 mtCO</w:t>
            </w:r>
            <w:r w:rsidRPr="000F23E0">
              <w:rPr>
                <w:vertAlign w:val="subscript"/>
              </w:rPr>
              <w:t>2</w:t>
            </w:r>
            <w:r w:rsidRPr="000F23E0">
              <w:t xml:space="preserve"> emissions avoided or reduced.</w:t>
            </w:r>
          </w:p>
        </w:tc>
      </w:tr>
      <w:tr w:rsidR="003B6F2C" w:rsidRPr="000F23E0" w14:paraId="6DE815BA" w14:textId="77777777" w:rsidTr="005F45A1">
        <w:trPr>
          <w:trHeight w:val="340"/>
        </w:trPr>
        <w:tc>
          <w:tcPr>
            <w:cnfStyle w:val="001000000000" w:firstRow="0" w:lastRow="0" w:firstColumn="1" w:lastColumn="0" w:oddVBand="0" w:evenVBand="0" w:oddHBand="0" w:evenHBand="0" w:firstRowFirstColumn="0" w:firstRowLastColumn="0" w:lastRowFirstColumn="0" w:lastRowLastColumn="0"/>
            <w:tcW w:w="2501" w:type="dxa"/>
            <w:shd w:val="clear" w:color="auto" w:fill="FDF0E7"/>
          </w:tcPr>
          <w:p w14:paraId="27BD0331" w14:textId="4E5873FA" w:rsidR="007C1B83" w:rsidRPr="000F23E0" w:rsidRDefault="00763B82" w:rsidP="006314B2">
            <w:pPr>
              <w:pStyle w:val="TableTextLeft"/>
              <w:rPr>
                <w:b/>
                <w:bCs w:val="0"/>
              </w:rPr>
            </w:pPr>
            <w:hyperlink r:id="rId88" w:history="1">
              <w:r w:rsidRPr="000F23E0">
                <w:rPr>
                  <w:rStyle w:val="Hyperlink"/>
                  <w:b/>
                  <w:bCs w:val="0"/>
                </w:rPr>
                <w:t>Support for the Secretariat of</w:t>
              </w:r>
              <w:r w:rsidR="00D9048C" w:rsidRPr="000F23E0">
                <w:rPr>
                  <w:rStyle w:val="Hyperlink"/>
                  <w:b/>
                  <w:bCs w:val="0"/>
                </w:rPr>
                <w:noBreakHyphen/>
              </w:r>
              <w:r w:rsidRPr="000F23E0">
                <w:rPr>
                  <w:rStyle w:val="Hyperlink"/>
                  <w:b/>
                  <w:bCs w:val="0"/>
                </w:rPr>
                <w:t>the Pacific Regional Environment Programme</w:t>
              </w:r>
            </w:hyperlink>
          </w:p>
        </w:tc>
        <w:tc>
          <w:tcPr>
            <w:tcW w:w="6569" w:type="dxa"/>
            <w:shd w:val="clear" w:color="auto" w:fill="FEFAF8"/>
          </w:tcPr>
          <w:p w14:paraId="44B162B6" w14:textId="61E4AE19" w:rsidR="007C1B83" w:rsidRPr="000F23E0" w:rsidRDefault="00763B82" w:rsidP="006314B2">
            <w:pPr>
              <w:pStyle w:val="TableTextLeft"/>
              <w:cnfStyle w:val="000000000000" w:firstRow="0" w:lastRow="0" w:firstColumn="0" w:lastColumn="0" w:oddVBand="0" w:evenVBand="0" w:oddHBand="0" w:evenHBand="0" w:firstRowFirstColumn="0" w:firstRowLastColumn="0" w:lastRowFirstColumn="0" w:lastRowLastColumn="0"/>
            </w:pPr>
            <w:r w:rsidRPr="000F23E0">
              <w:t xml:space="preserve">Support all Pacific </w:t>
            </w:r>
            <w:r w:rsidR="000A2DEA" w:rsidRPr="000F23E0">
              <w:t>Island</w:t>
            </w:r>
            <w:r w:rsidRPr="000F23E0">
              <w:t xml:space="preserve"> countries preparations for international climate change meetings</w:t>
            </w:r>
            <w:r w:rsidR="00B540D2" w:rsidRPr="000F23E0">
              <w:t>, in their</w:t>
            </w:r>
            <w:r w:rsidRPr="000F23E0">
              <w:t xml:space="preserve"> climate and resilience assessments, along with strengthening climate, hydrological and </w:t>
            </w:r>
            <w:r w:rsidR="00EB0E05" w:rsidRPr="000F23E0">
              <w:t>meteorological</w:t>
            </w:r>
            <w:r w:rsidRPr="000F23E0">
              <w:t xml:space="preserve"> services.</w:t>
            </w:r>
          </w:p>
        </w:tc>
      </w:tr>
      <w:tr w:rsidR="003B6F2C" w:rsidRPr="000F23E0" w14:paraId="27485E8A" w14:textId="77777777" w:rsidTr="005F45A1">
        <w:trPr>
          <w:trHeight w:val="340"/>
        </w:trPr>
        <w:tc>
          <w:tcPr>
            <w:cnfStyle w:val="001000000000" w:firstRow="0" w:lastRow="0" w:firstColumn="1" w:lastColumn="0" w:oddVBand="0" w:evenVBand="0" w:oddHBand="0" w:evenHBand="0" w:firstRowFirstColumn="0" w:firstRowLastColumn="0" w:lastRowFirstColumn="0" w:lastRowLastColumn="0"/>
            <w:tcW w:w="2501" w:type="dxa"/>
            <w:shd w:val="clear" w:color="auto" w:fill="FDF0E7"/>
          </w:tcPr>
          <w:p w14:paraId="7B967F92" w14:textId="417AC2E0" w:rsidR="007C1B83" w:rsidRPr="000F23E0" w:rsidRDefault="00763B82" w:rsidP="006314B2">
            <w:pPr>
              <w:pStyle w:val="TableTextLeft"/>
              <w:rPr>
                <w:b/>
                <w:bCs w:val="0"/>
              </w:rPr>
            </w:pPr>
            <w:hyperlink r:id="rId89" w:history="1">
              <w:r w:rsidRPr="000F23E0">
                <w:rPr>
                  <w:rStyle w:val="Hyperlink"/>
                  <w:b/>
                  <w:bCs w:val="0"/>
                </w:rPr>
                <w:t>Papua New Guinea Climate</w:t>
              </w:r>
              <w:r w:rsidR="00D9048C" w:rsidRPr="000F23E0">
                <w:rPr>
                  <w:rStyle w:val="Hyperlink"/>
                  <w:b/>
                  <w:bCs w:val="0"/>
                </w:rPr>
                <w:t> </w:t>
              </w:r>
              <w:r w:rsidRPr="000F23E0">
                <w:rPr>
                  <w:rStyle w:val="Hyperlink"/>
                  <w:b/>
                  <w:bCs w:val="0"/>
                </w:rPr>
                <w:t>FIRST</w:t>
              </w:r>
            </w:hyperlink>
            <w:r w:rsidRPr="000F23E0">
              <w:rPr>
                <w:b/>
                <w:bCs w:val="0"/>
              </w:rPr>
              <w:t xml:space="preserve"> </w:t>
            </w:r>
          </w:p>
        </w:tc>
        <w:tc>
          <w:tcPr>
            <w:tcW w:w="6569" w:type="dxa"/>
            <w:shd w:val="clear" w:color="auto" w:fill="FEFAF8"/>
          </w:tcPr>
          <w:p w14:paraId="4C9EF341" w14:textId="0DF4E62D" w:rsidR="00840C8F" w:rsidRPr="000F23E0" w:rsidRDefault="00AE2955" w:rsidP="006314B2">
            <w:pPr>
              <w:pStyle w:val="TableTextLeft"/>
              <w:cnfStyle w:val="000000000000" w:firstRow="0" w:lastRow="0" w:firstColumn="0" w:lastColumn="0" w:oddVBand="0" w:evenVBand="0" w:oddHBand="0" w:evenHBand="0" w:firstRowFirstColumn="0" w:firstRowLastColumn="0" w:lastRowFirstColumn="0" w:lastRowLastColumn="0"/>
            </w:pPr>
            <w:r w:rsidRPr="000F23E0">
              <w:t xml:space="preserve">Develop investment proposals and partnerships to enhance PNG’s access to large-scale climate finance, with the aim to mobilise up to USD 400 million from international and domestic sources. </w:t>
            </w:r>
          </w:p>
          <w:p w14:paraId="09681809" w14:textId="1799A29D" w:rsidR="007C1B83" w:rsidRPr="000F23E0" w:rsidRDefault="00840C8F" w:rsidP="006314B2">
            <w:pPr>
              <w:pStyle w:val="TableTextLeft"/>
              <w:cnfStyle w:val="000000000000" w:firstRow="0" w:lastRow="0" w:firstColumn="0" w:lastColumn="0" w:oddVBand="0" w:evenVBand="0" w:oddHBand="0" w:evenHBand="0" w:firstRowFirstColumn="0" w:firstRowLastColumn="0" w:lastRowFirstColumn="0" w:lastRowLastColumn="0"/>
            </w:pPr>
            <w:r w:rsidRPr="000F23E0">
              <w:t>S</w:t>
            </w:r>
            <w:r w:rsidR="00AE2955" w:rsidRPr="000F23E0">
              <w:t xml:space="preserve">upporting the establishment of a Climate Finance Steering Committee for PNG </w:t>
            </w:r>
            <w:r w:rsidR="003342D0" w:rsidRPr="000F23E0">
              <w:t>g</w:t>
            </w:r>
            <w:r w:rsidR="00AE2955" w:rsidRPr="000F23E0">
              <w:t xml:space="preserve">overnment agencies. </w:t>
            </w:r>
          </w:p>
        </w:tc>
      </w:tr>
    </w:tbl>
    <w:p w14:paraId="126E6DCB" w14:textId="0EC64AED" w:rsidR="005F45A1" w:rsidRPr="000F23E0" w:rsidRDefault="005F45A1">
      <w:r w:rsidRPr="000F23E0">
        <w:br w:type="page"/>
      </w:r>
    </w:p>
    <w:tbl>
      <w:tblPr>
        <w:tblStyle w:val="GridTable4-Accent2"/>
        <w:tblpPr w:leftFromText="180" w:rightFromText="180" w:vertAnchor="text" w:horzAnchor="margin" w:tblpY="34"/>
        <w:tblW w:w="5000" w:type="pct"/>
        <w:tblInd w:w="0" w:type="dxa"/>
        <w:tblBorders>
          <w:top w:val="single" w:sz="4" w:space="0" w:color="DFA795"/>
          <w:bottom w:val="single" w:sz="4" w:space="0" w:color="DFA795"/>
          <w:insideH w:val="single" w:sz="4" w:space="0" w:color="DFA795"/>
        </w:tblBorders>
        <w:tblLook w:val="04A0" w:firstRow="1" w:lastRow="0" w:firstColumn="1" w:lastColumn="0" w:noHBand="0" w:noVBand="1"/>
      </w:tblPr>
      <w:tblGrid>
        <w:gridCol w:w="2501"/>
        <w:gridCol w:w="6569"/>
      </w:tblGrid>
      <w:tr w:rsidR="005F45A1" w:rsidRPr="000F23E0" w14:paraId="6D22113C" w14:textId="77777777" w:rsidTr="005F45A1">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501" w:type="dxa"/>
            <w:shd w:val="clear" w:color="auto" w:fill="F1D0C6"/>
          </w:tcPr>
          <w:p w14:paraId="50D14CAE" w14:textId="6DDBAB95" w:rsidR="005F45A1" w:rsidRPr="000F23E0" w:rsidRDefault="005F45A1" w:rsidP="005F45A1">
            <w:pPr>
              <w:pStyle w:val="TableTextLeft"/>
            </w:pPr>
            <w:r w:rsidRPr="000F23E0">
              <w:rPr>
                <w:bCs w:val="0"/>
              </w:rPr>
              <w:lastRenderedPageBreak/>
              <w:t>Project</w:t>
            </w:r>
          </w:p>
        </w:tc>
        <w:tc>
          <w:tcPr>
            <w:tcW w:w="6569" w:type="dxa"/>
            <w:shd w:val="clear" w:color="auto" w:fill="F1D0C6"/>
          </w:tcPr>
          <w:p w14:paraId="08778B27" w14:textId="1F527428" w:rsidR="005F45A1" w:rsidRPr="000F23E0" w:rsidRDefault="005F45A1" w:rsidP="005F45A1">
            <w:pPr>
              <w:pStyle w:val="TableTextLeft"/>
              <w:cnfStyle w:val="100000000000" w:firstRow="1" w:lastRow="0" w:firstColumn="0" w:lastColumn="0" w:oddVBand="0" w:evenVBand="0" w:oddHBand="0" w:evenHBand="0" w:firstRowFirstColumn="0" w:firstRowLastColumn="0" w:lastRowFirstColumn="0" w:lastRowLastColumn="0"/>
            </w:pPr>
            <w:r w:rsidRPr="000F23E0">
              <w:rPr>
                <w:bCs w:val="0"/>
              </w:rPr>
              <w:t>Outcomes</w:t>
            </w:r>
          </w:p>
        </w:tc>
      </w:tr>
      <w:tr w:rsidR="003B6F2C" w:rsidRPr="000F23E0" w14:paraId="426367D7" w14:textId="77777777" w:rsidTr="005F45A1">
        <w:trPr>
          <w:trHeight w:val="340"/>
        </w:trPr>
        <w:tc>
          <w:tcPr>
            <w:cnfStyle w:val="001000000000" w:firstRow="0" w:lastRow="0" w:firstColumn="1" w:lastColumn="0" w:oddVBand="0" w:evenVBand="0" w:oddHBand="0" w:evenHBand="0" w:firstRowFirstColumn="0" w:firstRowLastColumn="0" w:lastRowFirstColumn="0" w:lastRowLastColumn="0"/>
            <w:tcW w:w="2501" w:type="dxa"/>
            <w:shd w:val="clear" w:color="auto" w:fill="FDF0E7"/>
          </w:tcPr>
          <w:p w14:paraId="1E5F8D75" w14:textId="1628820D" w:rsidR="007C1B83" w:rsidRPr="000F23E0" w:rsidRDefault="00763B82" w:rsidP="006314B2">
            <w:pPr>
              <w:pStyle w:val="TableTextLeft"/>
              <w:rPr>
                <w:b/>
                <w:bCs w:val="0"/>
              </w:rPr>
            </w:pPr>
            <w:hyperlink r:id="rId90" w:history="1">
              <w:r w:rsidRPr="000F23E0">
                <w:rPr>
                  <w:rStyle w:val="Hyperlink"/>
                  <w:b/>
                  <w:bCs w:val="0"/>
                </w:rPr>
                <w:t>Global Environment Facility</w:t>
              </w:r>
              <w:r w:rsidR="00442341" w:rsidRPr="000F23E0">
                <w:rPr>
                  <w:rStyle w:val="Hyperlink"/>
                  <w:b/>
                  <w:bCs w:val="0"/>
                </w:rPr>
                <w:t xml:space="preserve"> (GEF)</w:t>
              </w:r>
              <w:r w:rsidRPr="000F23E0">
                <w:rPr>
                  <w:rStyle w:val="Hyperlink"/>
                  <w:b/>
                  <w:bCs w:val="0"/>
                </w:rPr>
                <w:t xml:space="preserve"> 7 &amp; 8</w:t>
              </w:r>
            </w:hyperlink>
          </w:p>
        </w:tc>
        <w:tc>
          <w:tcPr>
            <w:tcW w:w="6569" w:type="dxa"/>
            <w:shd w:val="clear" w:color="auto" w:fill="FEFAF8"/>
          </w:tcPr>
          <w:p w14:paraId="002117E4" w14:textId="5CCFEE2F" w:rsidR="00A903E8" w:rsidRPr="000F23E0" w:rsidRDefault="00442341" w:rsidP="006314B2">
            <w:pPr>
              <w:pStyle w:val="TableTextLeft"/>
              <w:cnfStyle w:val="000000000000" w:firstRow="0" w:lastRow="0" w:firstColumn="0" w:lastColumn="0" w:oddVBand="0" w:evenVBand="0" w:oddHBand="0" w:evenHBand="0" w:firstRowFirstColumn="0" w:firstRowLastColumn="0" w:lastRowFirstColumn="0" w:lastRowLastColumn="0"/>
            </w:pPr>
            <w:r w:rsidRPr="000F23E0">
              <w:t>Appr</w:t>
            </w:r>
            <w:r w:rsidR="00AE2955" w:rsidRPr="000F23E0">
              <w:t xml:space="preserve">oved 29 </w:t>
            </w:r>
            <w:r w:rsidR="00445AD4" w:rsidRPr="000F23E0">
              <w:t>climate change mitigation</w:t>
            </w:r>
            <w:r w:rsidR="00AE2955" w:rsidRPr="000F23E0">
              <w:t xml:space="preserve"> projects and programs totalling USD251.7</w:t>
            </w:r>
            <w:r w:rsidR="00D9048C" w:rsidRPr="000F23E0">
              <w:t> </w:t>
            </w:r>
            <w:r w:rsidR="00AE2955" w:rsidRPr="000F23E0">
              <w:t xml:space="preserve">million in support of climate change mitigation through the GEF Trust Fund, as reported in its </w:t>
            </w:r>
            <w:r w:rsidR="00A17132" w:rsidRPr="000F23E0">
              <w:t>2025 submission to the UNFCCC</w:t>
            </w:r>
            <w:r w:rsidR="00AE2955" w:rsidRPr="000F23E0">
              <w:t xml:space="preserve">. </w:t>
            </w:r>
          </w:p>
          <w:p w14:paraId="7BB1C2DC" w14:textId="3C1161BA" w:rsidR="00AE2955" w:rsidRPr="000F23E0" w:rsidRDefault="00AE2955" w:rsidP="006314B2">
            <w:pPr>
              <w:pStyle w:val="TableTextLeft"/>
              <w:cnfStyle w:val="000000000000" w:firstRow="0" w:lastRow="0" w:firstColumn="0" w:lastColumn="0" w:oddVBand="0" w:evenVBand="0" w:oddHBand="0" w:evenHBand="0" w:firstRowFirstColumn="0" w:firstRowLastColumn="0" w:lastRowFirstColumn="0" w:lastRowLastColumn="0"/>
            </w:pPr>
            <w:r w:rsidRPr="000F23E0">
              <w:t>Projects and programs under GEF-8 are on track to generate transformative results: protecting over 218.4 million hectares of critical ecosystems, restoring 8.6</w:t>
            </w:r>
            <w:r w:rsidR="00D9048C" w:rsidRPr="000F23E0">
              <w:t> </w:t>
            </w:r>
            <w:r w:rsidRPr="000F23E0">
              <w:t xml:space="preserve">million hectares of degraded land, avoiding </w:t>
            </w:r>
            <w:r w:rsidR="00FD3F58" w:rsidRPr="000F23E0">
              <w:t>1,905.4</w:t>
            </w:r>
            <w:r w:rsidRPr="000F23E0">
              <w:t xml:space="preserve"> million tons of greenhouse gas emissions, supporting transboundary cooperation in 40 shared water ecosystems, and eliminating 261.8 thousand tons of hazardous chemicals and waste. </w:t>
            </w:r>
          </w:p>
          <w:p w14:paraId="08CC75D5" w14:textId="6D56C8F5" w:rsidR="007C1B83" w:rsidRPr="000F23E0" w:rsidRDefault="00AE2955" w:rsidP="006314B2">
            <w:pPr>
              <w:pStyle w:val="TableTextLeft"/>
              <w:cnfStyle w:val="000000000000" w:firstRow="0" w:lastRow="0" w:firstColumn="0" w:lastColumn="0" w:oddVBand="0" w:evenVBand="0" w:oddHBand="0" w:evenHBand="0" w:firstRowFirstColumn="0" w:firstRowLastColumn="0" w:lastRowFirstColumn="0" w:lastRowLastColumn="0"/>
            </w:pPr>
            <w:r w:rsidRPr="000F23E0">
              <w:t>Co-financing continues to exceed GEF-8 targets, with over $30.2 billion mobili</w:t>
            </w:r>
            <w:r w:rsidR="00E406DB" w:rsidRPr="000F23E0">
              <w:t>s</w:t>
            </w:r>
            <w:r w:rsidRPr="000F23E0">
              <w:t>ed</w:t>
            </w:r>
            <w:r w:rsidR="00E406DB" w:rsidRPr="000F23E0">
              <w:t xml:space="preserve"> – </w:t>
            </w:r>
            <w:r w:rsidRPr="000F23E0">
              <w:t xml:space="preserve">equivalent to $8.70 for every GEF dollar invested. </w:t>
            </w:r>
          </w:p>
        </w:tc>
      </w:tr>
      <w:tr w:rsidR="003B6F2C" w:rsidRPr="000F23E0" w14:paraId="5B3AE2F8" w14:textId="77777777" w:rsidTr="005F45A1">
        <w:trPr>
          <w:trHeight w:val="340"/>
        </w:trPr>
        <w:tc>
          <w:tcPr>
            <w:cnfStyle w:val="001000000000" w:firstRow="0" w:lastRow="0" w:firstColumn="1" w:lastColumn="0" w:oddVBand="0" w:evenVBand="0" w:oddHBand="0" w:evenHBand="0" w:firstRowFirstColumn="0" w:firstRowLastColumn="0" w:lastRowFirstColumn="0" w:lastRowLastColumn="0"/>
            <w:tcW w:w="2501" w:type="dxa"/>
            <w:shd w:val="clear" w:color="auto" w:fill="FDF0E7"/>
          </w:tcPr>
          <w:p w14:paraId="7A937320" w14:textId="7004CDE4" w:rsidR="007C1B83" w:rsidRPr="000F23E0" w:rsidRDefault="00763B82" w:rsidP="006314B2">
            <w:pPr>
              <w:pStyle w:val="TableTextLeft"/>
              <w:rPr>
                <w:b/>
                <w:bCs w:val="0"/>
              </w:rPr>
            </w:pPr>
            <w:hyperlink r:id="rId91" w:history="1">
              <w:r w:rsidRPr="000F23E0">
                <w:rPr>
                  <w:rStyle w:val="Hyperlink"/>
                  <w:b/>
                  <w:bCs w:val="0"/>
                </w:rPr>
                <w:t>Montreal Protocol Multilateral</w:t>
              </w:r>
              <w:r w:rsidR="0048145F" w:rsidRPr="000F23E0">
                <w:rPr>
                  <w:rStyle w:val="Hyperlink"/>
                  <w:b/>
                  <w:bCs w:val="0"/>
                </w:rPr>
                <w:t> </w:t>
              </w:r>
              <w:r w:rsidRPr="000F23E0">
                <w:rPr>
                  <w:rStyle w:val="Hyperlink"/>
                  <w:b/>
                  <w:bCs w:val="0"/>
                </w:rPr>
                <w:t>Fund</w:t>
              </w:r>
            </w:hyperlink>
          </w:p>
        </w:tc>
        <w:tc>
          <w:tcPr>
            <w:tcW w:w="6569" w:type="dxa"/>
            <w:shd w:val="clear" w:color="auto" w:fill="FEFAF8"/>
          </w:tcPr>
          <w:p w14:paraId="77782D5D" w14:textId="069B81AB" w:rsidR="00621B8E" w:rsidRPr="000F23E0" w:rsidRDefault="00763B82" w:rsidP="006314B2">
            <w:pPr>
              <w:pStyle w:val="TableTextLeft"/>
              <w:cnfStyle w:val="000000000000" w:firstRow="0" w:lastRow="0" w:firstColumn="0" w:lastColumn="0" w:oddVBand="0" w:evenVBand="0" w:oddHBand="0" w:evenHBand="0" w:firstRowFirstColumn="0" w:firstRowLastColumn="0" w:lastRowFirstColumn="0" w:lastRowLastColumn="0"/>
            </w:pPr>
            <w:r w:rsidRPr="000F23E0">
              <w:t>Since commencement (1995–2021), 51.1 Gt CO2-e in avoided greenhouse gas emissions.</w:t>
            </w:r>
          </w:p>
          <w:p w14:paraId="7B662147" w14:textId="225379E6" w:rsidR="007C1B83" w:rsidRPr="000F23E0" w:rsidRDefault="00763B82" w:rsidP="006314B2">
            <w:pPr>
              <w:pStyle w:val="TableTextLeft"/>
              <w:cnfStyle w:val="000000000000" w:firstRow="0" w:lastRow="0" w:firstColumn="0" w:lastColumn="0" w:oddVBand="0" w:evenVBand="0" w:oddHBand="0" w:evenHBand="0" w:firstRowFirstColumn="0" w:firstRowLastColumn="0" w:lastRowFirstColumn="0" w:lastRowLastColumn="0"/>
            </w:pPr>
            <w:r w:rsidRPr="000F23E0">
              <w:t>10,198 projects funded across 144 developing countries as of 2025.</w:t>
            </w:r>
          </w:p>
        </w:tc>
      </w:tr>
      <w:tr w:rsidR="003B6F2C" w:rsidRPr="000F23E0" w14:paraId="52F76A99" w14:textId="77777777" w:rsidTr="005F45A1">
        <w:trPr>
          <w:trHeight w:val="340"/>
        </w:trPr>
        <w:tc>
          <w:tcPr>
            <w:cnfStyle w:val="001000000000" w:firstRow="0" w:lastRow="0" w:firstColumn="1" w:lastColumn="0" w:oddVBand="0" w:evenVBand="0" w:oddHBand="0" w:evenHBand="0" w:firstRowFirstColumn="0" w:firstRowLastColumn="0" w:lastRowFirstColumn="0" w:lastRowLastColumn="0"/>
            <w:tcW w:w="2501" w:type="dxa"/>
            <w:shd w:val="clear" w:color="auto" w:fill="FDF0E7"/>
          </w:tcPr>
          <w:p w14:paraId="7D222C3E" w14:textId="5298CDA8" w:rsidR="007C1B83" w:rsidRPr="000F23E0" w:rsidRDefault="00763B82" w:rsidP="006314B2">
            <w:pPr>
              <w:pStyle w:val="TableTextLeft"/>
              <w:rPr>
                <w:b/>
                <w:bCs w:val="0"/>
              </w:rPr>
            </w:pPr>
            <w:hyperlink r:id="rId92" w:history="1">
              <w:r w:rsidRPr="000F23E0">
                <w:rPr>
                  <w:rStyle w:val="Hyperlink"/>
                  <w:b/>
                  <w:bCs w:val="0"/>
                </w:rPr>
                <w:t>Green Climate Fund (GCF)</w:t>
              </w:r>
            </w:hyperlink>
          </w:p>
        </w:tc>
        <w:tc>
          <w:tcPr>
            <w:tcW w:w="6569" w:type="dxa"/>
            <w:shd w:val="clear" w:color="auto" w:fill="FEFAF8"/>
          </w:tcPr>
          <w:p w14:paraId="68E777B1" w14:textId="659D1FDA" w:rsidR="00C5222E" w:rsidRPr="000F23E0" w:rsidRDefault="00C84EFE" w:rsidP="006314B2">
            <w:pPr>
              <w:pStyle w:val="TableTextLeft"/>
              <w:cnfStyle w:val="000000000000" w:firstRow="0" w:lastRow="0" w:firstColumn="0" w:lastColumn="0" w:oddVBand="0" w:evenVBand="0" w:oddHBand="0" w:evenHBand="0" w:firstRowFirstColumn="0" w:firstRowLastColumn="0" w:lastRowFirstColumn="0" w:lastRowLastColumn="0"/>
            </w:pPr>
            <w:r w:rsidRPr="000F23E0">
              <w:t>In 2024, the</w:t>
            </w:r>
            <w:r w:rsidR="00C5222E" w:rsidRPr="000F23E0">
              <w:t xml:space="preserve"> GCF committed USD 2.5 billion to 44 new climate projects </w:t>
            </w:r>
            <w:r w:rsidRPr="000F23E0">
              <w:t>and</w:t>
            </w:r>
            <w:r w:rsidR="00C5222E" w:rsidRPr="000F23E0">
              <w:t xml:space="preserve"> </w:t>
            </w:r>
            <w:r w:rsidRPr="000F23E0">
              <w:t>expanded</w:t>
            </w:r>
            <w:r w:rsidR="00C5222E" w:rsidRPr="000F23E0">
              <w:t xml:space="preserve"> its private-sector engagement by approving USD 1.2 billion for 12 private-sector projects. </w:t>
            </w:r>
            <w:r w:rsidRPr="000F23E0">
              <w:t>A</w:t>
            </w:r>
            <w:r w:rsidR="00C5222E" w:rsidRPr="000F23E0">
              <w:t>daptation comprised 43</w:t>
            </w:r>
            <w:r w:rsidR="009A0FD9" w:rsidRPr="000F23E0">
              <w:t xml:space="preserve"> per cent </w:t>
            </w:r>
            <w:r w:rsidR="00C5222E" w:rsidRPr="000F23E0">
              <w:t>of GCF’s new funding commitments.</w:t>
            </w:r>
          </w:p>
          <w:p w14:paraId="452A3FDE" w14:textId="08049CC4" w:rsidR="007C1B83" w:rsidRPr="000F23E0" w:rsidRDefault="00C5222E" w:rsidP="006314B2">
            <w:pPr>
              <w:pStyle w:val="TableTextLeft"/>
              <w:cnfStyle w:val="000000000000" w:firstRow="0" w:lastRow="0" w:firstColumn="0" w:lastColumn="0" w:oddVBand="0" w:evenVBand="0" w:oddHBand="0" w:evenHBand="0" w:firstRowFirstColumn="0" w:firstRowLastColumn="0" w:lastRowFirstColumn="0" w:lastRowLastColumn="0"/>
            </w:pPr>
            <w:r w:rsidRPr="000F23E0">
              <w:t xml:space="preserve">As at October 2025, the GCF has had the following impacts: </w:t>
            </w:r>
            <w:r w:rsidR="00FD3F58" w:rsidRPr="000F23E0">
              <w:t>95.9 mtCO</w:t>
            </w:r>
            <w:r w:rsidR="00FD3F58" w:rsidRPr="000F23E0">
              <w:rPr>
                <w:vertAlign w:val="subscript"/>
              </w:rPr>
              <w:t>2</w:t>
            </w:r>
            <w:r w:rsidR="00FD3F58" w:rsidRPr="000F23E0">
              <w:t xml:space="preserve">-e </w:t>
            </w:r>
            <w:r w:rsidR="009A0FD9" w:rsidRPr="000F23E0">
              <w:t>emissions</w:t>
            </w:r>
            <w:r w:rsidRPr="000F23E0">
              <w:t xml:space="preserve"> reduced; 249.3m beneficiaries reached; USD443.2</w:t>
            </w:r>
            <w:r w:rsidR="00F60C1D" w:rsidRPr="000F23E0">
              <w:t>m</w:t>
            </w:r>
            <w:r w:rsidRPr="000F23E0">
              <w:t xml:space="preserve"> value to resilient and low emission assets; 33.2m </w:t>
            </w:r>
            <w:r w:rsidR="00421B29" w:rsidRPr="000F23E0">
              <w:t>hectares</w:t>
            </w:r>
            <w:r w:rsidRPr="000F23E0">
              <w:t xml:space="preserve"> of resilient and low emission ecosystem coverage; 7</w:t>
            </w:r>
            <w:r w:rsidR="00FD3F58" w:rsidRPr="000F23E0">
              <w:t>,</w:t>
            </w:r>
            <w:r w:rsidRPr="000F23E0">
              <w:t>275MW low emission energy capacity installed and 9.7M</w:t>
            </w:r>
            <w:r w:rsidR="003D1604" w:rsidRPr="000F23E0">
              <w:t>W</w:t>
            </w:r>
            <w:r w:rsidRPr="000F23E0">
              <w:t>h of energy intensity/improved efficiency.</w:t>
            </w:r>
          </w:p>
        </w:tc>
      </w:tr>
      <w:tr w:rsidR="003B6F2C" w:rsidRPr="000F23E0" w14:paraId="71373F3E" w14:textId="77777777" w:rsidTr="005F45A1">
        <w:trPr>
          <w:trHeight w:val="340"/>
        </w:trPr>
        <w:tc>
          <w:tcPr>
            <w:cnfStyle w:val="001000000000" w:firstRow="0" w:lastRow="0" w:firstColumn="1" w:lastColumn="0" w:oddVBand="0" w:evenVBand="0" w:oddHBand="0" w:evenHBand="0" w:firstRowFirstColumn="0" w:firstRowLastColumn="0" w:lastRowFirstColumn="0" w:lastRowLastColumn="0"/>
            <w:tcW w:w="2501" w:type="dxa"/>
            <w:shd w:val="clear" w:color="auto" w:fill="FDF0E7"/>
          </w:tcPr>
          <w:p w14:paraId="78C15974" w14:textId="6475DFEF" w:rsidR="007C1B83" w:rsidRPr="000F23E0" w:rsidRDefault="00763B82" w:rsidP="006314B2">
            <w:pPr>
              <w:pStyle w:val="TableTextLeft"/>
              <w:rPr>
                <w:b/>
                <w:bCs w:val="0"/>
              </w:rPr>
            </w:pPr>
            <w:hyperlink r:id="rId93" w:history="1">
              <w:r w:rsidRPr="000F23E0">
                <w:rPr>
                  <w:rStyle w:val="Hyperlink"/>
                  <w:b/>
                  <w:bCs w:val="0"/>
                </w:rPr>
                <w:t>Water for Women Climate Resilient Inclusive Water, Sanitation and Hygiene Fund (2018-2025)</w:t>
              </w:r>
            </w:hyperlink>
          </w:p>
        </w:tc>
        <w:tc>
          <w:tcPr>
            <w:tcW w:w="6569" w:type="dxa"/>
            <w:shd w:val="clear" w:color="auto" w:fill="FEFAF8"/>
          </w:tcPr>
          <w:p w14:paraId="3D873852" w14:textId="328E2CB3" w:rsidR="00801459" w:rsidRPr="000F23E0" w:rsidRDefault="00763B82" w:rsidP="006314B2">
            <w:pPr>
              <w:pStyle w:val="TableTextLeft"/>
              <w:cnfStyle w:val="000000000000" w:firstRow="0" w:lastRow="0" w:firstColumn="0" w:lastColumn="0" w:oddVBand="0" w:evenVBand="0" w:oddHBand="0" w:evenHBand="0" w:firstRowFirstColumn="0" w:firstRowLastColumn="0" w:lastRowFirstColumn="0" w:lastRowLastColumn="0"/>
            </w:pPr>
            <w:r w:rsidRPr="000F23E0">
              <w:t>Support sustainable access to climate resilient water, sanitation and hygiene services in 16 Asia Pacific countries.</w:t>
            </w:r>
          </w:p>
          <w:p w14:paraId="2C91B5B2" w14:textId="12400AD0" w:rsidR="007C1B83" w:rsidRPr="000F23E0" w:rsidRDefault="00763B82" w:rsidP="006314B2">
            <w:pPr>
              <w:pStyle w:val="TableTextLeft"/>
              <w:cnfStyle w:val="000000000000" w:firstRow="0" w:lastRow="0" w:firstColumn="0" w:lastColumn="0" w:oddVBand="0" w:evenVBand="0" w:oddHBand="0" w:evenHBand="0" w:firstRowFirstColumn="0" w:firstRowLastColumn="0" w:lastRowFirstColumn="0" w:lastRowLastColumn="0"/>
            </w:pPr>
            <w:r w:rsidRPr="000F23E0">
              <w:t>The fund has supported more than 3.7 million people</w:t>
            </w:r>
            <w:r w:rsidR="000D5694" w:rsidRPr="000F23E0">
              <w:t xml:space="preserve"> to date</w:t>
            </w:r>
            <w:r w:rsidRPr="000F23E0">
              <w:t>, including those in the most marginalised communities.</w:t>
            </w:r>
          </w:p>
        </w:tc>
      </w:tr>
      <w:tr w:rsidR="003B6F2C" w:rsidRPr="000F23E0" w14:paraId="7940D1BF" w14:textId="77777777" w:rsidTr="005F45A1">
        <w:trPr>
          <w:trHeight w:val="340"/>
        </w:trPr>
        <w:tc>
          <w:tcPr>
            <w:cnfStyle w:val="001000000000" w:firstRow="0" w:lastRow="0" w:firstColumn="1" w:lastColumn="0" w:oddVBand="0" w:evenVBand="0" w:oddHBand="0" w:evenHBand="0" w:firstRowFirstColumn="0" w:firstRowLastColumn="0" w:lastRowFirstColumn="0" w:lastRowLastColumn="0"/>
            <w:tcW w:w="2501" w:type="dxa"/>
            <w:shd w:val="clear" w:color="auto" w:fill="FDF0E7"/>
          </w:tcPr>
          <w:p w14:paraId="6F8215BF" w14:textId="789BE645" w:rsidR="007C1B83" w:rsidRPr="000F23E0" w:rsidRDefault="00763B82" w:rsidP="006314B2">
            <w:pPr>
              <w:pStyle w:val="TableTextLeft"/>
              <w:rPr>
                <w:b/>
                <w:bCs w:val="0"/>
              </w:rPr>
            </w:pPr>
            <w:hyperlink r:id="rId94" w:history="1">
              <w:r w:rsidRPr="000F23E0">
                <w:rPr>
                  <w:rStyle w:val="Hyperlink"/>
                  <w:b/>
                  <w:bCs w:val="0"/>
                </w:rPr>
                <w:t xml:space="preserve">Pacific Climate Infrastructure Financing Partnership (PCIFP) </w:t>
              </w:r>
              <w:r w:rsidR="00E406DB" w:rsidRPr="000F23E0">
                <w:rPr>
                  <w:rStyle w:val="Hyperlink"/>
                  <w:b/>
                  <w:bCs w:val="0"/>
                </w:rPr>
                <w:t>–</w:t>
              </w:r>
              <w:r w:rsidRPr="000F23E0">
                <w:rPr>
                  <w:rStyle w:val="Hyperlink"/>
                  <w:b/>
                  <w:bCs w:val="0"/>
                </w:rPr>
                <w:t xml:space="preserve"> Off-Grid Programs </w:t>
              </w:r>
            </w:hyperlink>
          </w:p>
        </w:tc>
        <w:tc>
          <w:tcPr>
            <w:tcW w:w="6569" w:type="dxa"/>
            <w:shd w:val="clear" w:color="auto" w:fill="FEFAF8"/>
          </w:tcPr>
          <w:p w14:paraId="6EA4792E" w14:textId="04CE8737" w:rsidR="007C1B83" w:rsidRPr="000F23E0" w:rsidRDefault="00763B82" w:rsidP="006314B2">
            <w:pPr>
              <w:pStyle w:val="TableTextLeft"/>
              <w:cnfStyle w:val="000000000000" w:firstRow="0" w:lastRow="0" w:firstColumn="0" w:lastColumn="0" w:oddVBand="0" w:evenVBand="0" w:oddHBand="0" w:evenHBand="0" w:firstRowFirstColumn="0" w:firstRowLastColumn="0" w:lastRowFirstColumn="0" w:lastRowLastColumn="0"/>
            </w:pPr>
            <w:r w:rsidRPr="000F23E0">
              <w:t xml:space="preserve">Supporting small, off-grid renewable energy infrastructure to boost development in remote and rural communities as a component of the </w:t>
            </w:r>
            <w:hyperlink r:id="rId95" w:history="1">
              <w:r w:rsidRPr="000F23E0">
                <w:rPr>
                  <w:rStyle w:val="Hyperlink"/>
                </w:rPr>
                <w:t>Renew Pacific program</w:t>
              </w:r>
            </w:hyperlink>
            <w:r w:rsidRPr="000F23E0">
              <w:t xml:space="preserve">. </w:t>
            </w:r>
          </w:p>
        </w:tc>
      </w:tr>
      <w:tr w:rsidR="00763B82" w:rsidRPr="000F23E0" w14:paraId="3DB07CD5" w14:textId="77777777" w:rsidTr="005F45A1">
        <w:trPr>
          <w:trHeight w:val="340"/>
        </w:trPr>
        <w:tc>
          <w:tcPr>
            <w:cnfStyle w:val="001000000000" w:firstRow="0" w:lastRow="0" w:firstColumn="1" w:lastColumn="0" w:oddVBand="0" w:evenVBand="0" w:oddHBand="0" w:evenHBand="0" w:firstRowFirstColumn="0" w:firstRowLastColumn="0" w:lastRowFirstColumn="0" w:lastRowLastColumn="0"/>
            <w:tcW w:w="2501" w:type="dxa"/>
            <w:shd w:val="clear" w:color="auto" w:fill="FDF0E7"/>
          </w:tcPr>
          <w:p w14:paraId="08B92B76" w14:textId="797964CB" w:rsidR="00763B82" w:rsidRPr="000F23E0" w:rsidRDefault="00763B82" w:rsidP="006314B2">
            <w:pPr>
              <w:pStyle w:val="TableTextLeft"/>
              <w:rPr>
                <w:b/>
                <w:bCs w:val="0"/>
              </w:rPr>
            </w:pPr>
            <w:hyperlink r:id="rId96" w:history="1">
              <w:r w:rsidRPr="000F23E0">
                <w:rPr>
                  <w:rStyle w:val="Hyperlink"/>
                  <w:b/>
                  <w:bCs w:val="0"/>
                </w:rPr>
                <w:t>Australia Water Partnership for</w:t>
              </w:r>
              <w:r w:rsidR="00D9048C" w:rsidRPr="000F23E0">
                <w:rPr>
                  <w:rStyle w:val="Hyperlink"/>
                  <w:b/>
                  <w:bCs w:val="0"/>
                </w:rPr>
                <w:t> </w:t>
              </w:r>
              <w:r w:rsidRPr="000F23E0">
                <w:rPr>
                  <w:rStyle w:val="Hyperlink"/>
                  <w:b/>
                  <w:bCs w:val="0"/>
                </w:rPr>
                <w:t>the Indo-Pacific Phase 3 </w:t>
              </w:r>
            </w:hyperlink>
          </w:p>
        </w:tc>
        <w:tc>
          <w:tcPr>
            <w:tcW w:w="6569" w:type="dxa"/>
            <w:shd w:val="clear" w:color="auto" w:fill="FEFAF8"/>
          </w:tcPr>
          <w:p w14:paraId="42C509A9" w14:textId="6B28AAD4" w:rsidR="00763B82" w:rsidRPr="000F23E0" w:rsidRDefault="00763B82" w:rsidP="006314B2">
            <w:pPr>
              <w:pStyle w:val="TableTextLeft"/>
              <w:cnfStyle w:val="000000000000" w:firstRow="0" w:lastRow="0" w:firstColumn="0" w:lastColumn="0" w:oddVBand="0" w:evenVBand="0" w:oddHBand="0" w:evenHBand="0" w:firstRowFirstColumn="0" w:firstRowLastColumn="0" w:lastRowFirstColumn="0" w:lastRowLastColumn="0"/>
            </w:pPr>
            <w:r w:rsidRPr="000F23E0">
              <w:t>Enhance climate resilient water resource management in the Indo-Pacific</w:t>
            </w:r>
            <w:r w:rsidR="00C01308" w:rsidRPr="000F23E0">
              <w:t>, including</w:t>
            </w:r>
            <w:r w:rsidRPr="000F23E0">
              <w:t xml:space="preserve"> co</w:t>
            </w:r>
            <w:r w:rsidR="00D9048C" w:rsidRPr="000F23E0">
              <w:noBreakHyphen/>
            </w:r>
            <w:r w:rsidRPr="000F23E0">
              <w:t>create policies, practices and tools.</w:t>
            </w:r>
          </w:p>
        </w:tc>
      </w:tr>
      <w:tr w:rsidR="00763B82" w:rsidRPr="000F23E0" w14:paraId="72DEFAFB" w14:textId="77777777" w:rsidTr="005F45A1">
        <w:trPr>
          <w:trHeight w:val="340"/>
        </w:trPr>
        <w:tc>
          <w:tcPr>
            <w:cnfStyle w:val="001000000000" w:firstRow="0" w:lastRow="0" w:firstColumn="1" w:lastColumn="0" w:oddVBand="0" w:evenVBand="0" w:oddHBand="0" w:evenHBand="0" w:firstRowFirstColumn="0" w:firstRowLastColumn="0" w:lastRowFirstColumn="0" w:lastRowLastColumn="0"/>
            <w:tcW w:w="2501" w:type="dxa"/>
            <w:shd w:val="clear" w:color="auto" w:fill="FDF0E7"/>
          </w:tcPr>
          <w:p w14:paraId="36B1C8D4" w14:textId="19334A84" w:rsidR="00763B82" w:rsidRPr="000F23E0" w:rsidRDefault="00763B82" w:rsidP="006314B2">
            <w:pPr>
              <w:pStyle w:val="TableTextLeft"/>
              <w:rPr>
                <w:b/>
                <w:bCs w:val="0"/>
              </w:rPr>
            </w:pPr>
            <w:hyperlink r:id="rId97" w:history="1">
              <w:r w:rsidRPr="000F23E0">
                <w:rPr>
                  <w:rStyle w:val="Hyperlink"/>
                  <w:b/>
                  <w:bCs w:val="0"/>
                </w:rPr>
                <w:t>Tuvalu Coastal Adaptation</w:t>
              </w:r>
              <w:r w:rsidR="00D9048C" w:rsidRPr="000F23E0">
                <w:rPr>
                  <w:rStyle w:val="Hyperlink"/>
                  <w:b/>
                  <w:bCs w:val="0"/>
                </w:rPr>
                <w:t> </w:t>
              </w:r>
              <w:r w:rsidRPr="000F23E0">
                <w:rPr>
                  <w:rStyle w:val="Hyperlink"/>
                  <w:b/>
                  <w:bCs w:val="0"/>
                </w:rPr>
                <w:t>Project </w:t>
              </w:r>
            </w:hyperlink>
          </w:p>
        </w:tc>
        <w:tc>
          <w:tcPr>
            <w:tcW w:w="6569" w:type="dxa"/>
            <w:shd w:val="clear" w:color="auto" w:fill="FEFAF8"/>
          </w:tcPr>
          <w:p w14:paraId="5D723180" w14:textId="213B7862" w:rsidR="00763B82" w:rsidRPr="000F23E0" w:rsidRDefault="00763B82" w:rsidP="006314B2">
            <w:pPr>
              <w:pStyle w:val="TableTextLeft"/>
              <w:cnfStyle w:val="000000000000" w:firstRow="0" w:lastRow="0" w:firstColumn="0" w:lastColumn="0" w:oddVBand="0" w:evenVBand="0" w:oddHBand="0" w:evenHBand="0" w:firstRowFirstColumn="0" w:firstRowLastColumn="0" w:lastRowFirstColumn="0" w:lastRowLastColumn="0"/>
            </w:pPr>
            <w:r w:rsidRPr="000F23E0">
              <w:t xml:space="preserve">Support the </w:t>
            </w:r>
            <w:r w:rsidR="00A50640" w:rsidRPr="000F23E0">
              <w:t>reclamation</w:t>
            </w:r>
            <w:r w:rsidRPr="000F23E0">
              <w:t xml:space="preserve"> of land and the reduction of vulnerability in the islands of Funafuti, Nanumea, and Nanu</w:t>
            </w:r>
            <w:r w:rsidR="00740F8B" w:rsidRPr="000F23E0">
              <w:t>maga</w:t>
            </w:r>
            <w:r w:rsidR="003910DD" w:rsidRPr="000F23E0">
              <w:t xml:space="preserve"> through s</w:t>
            </w:r>
            <w:r w:rsidRPr="000F23E0">
              <w:t>trengthen</w:t>
            </w:r>
            <w:r w:rsidR="003910DD" w:rsidRPr="000F23E0">
              <w:t>ing</w:t>
            </w:r>
            <w:r w:rsidRPr="000F23E0">
              <w:t xml:space="preserve"> institutions, </w:t>
            </w:r>
            <w:r w:rsidR="00A50640" w:rsidRPr="000F23E0">
              <w:t>human resources</w:t>
            </w:r>
            <w:r w:rsidRPr="000F23E0">
              <w:t xml:space="preserve"> and build</w:t>
            </w:r>
            <w:r w:rsidR="003910DD" w:rsidRPr="000F23E0">
              <w:t>ing</w:t>
            </w:r>
            <w:r w:rsidRPr="000F23E0">
              <w:t xml:space="preserve"> awareness</w:t>
            </w:r>
            <w:r w:rsidR="003910DD" w:rsidRPr="000F23E0">
              <w:t>.</w:t>
            </w:r>
          </w:p>
        </w:tc>
      </w:tr>
      <w:tr w:rsidR="00763B82" w:rsidRPr="000F23E0" w14:paraId="37DFF489" w14:textId="77777777" w:rsidTr="005F45A1">
        <w:trPr>
          <w:trHeight w:val="340"/>
        </w:trPr>
        <w:tc>
          <w:tcPr>
            <w:cnfStyle w:val="001000000000" w:firstRow="0" w:lastRow="0" w:firstColumn="1" w:lastColumn="0" w:oddVBand="0" w:evenVBand="0" w:oddHBand="0" w:evenHBand="0" w:firstRowFirstColumn="0" w:firstRowLastColumn="0" w:lastRowFirstColumn="0" w:lastRowLastColumn="0"/>
            <w:tcW w:w="2501" w:type="dxa"/>
            <w:shd w:val="clear" w:color="auto" w:fill="FDF0E7"/>
          </w:tcPr>
          <w:p w14:paraId="6F4F6C16" w14:textId="12AD0CD8" w:rsidR="00763B82" w:rsidRPr="000F23E0" w:rsidRDefault="00763B82" w:rsidP="006314B2">
            <w:pPr>
              <w:pStyle w:val="TableTextLeft"/>
              <w:rPr>
                <w:b/>
                <w:bCs w:val="0"/>
              </w:rPr>
            </w:pPr>
            <w:hyperlink r:id="rId98" w:history="1">
              <w:r w:rsidRPr="000F23E0">
                <w:rPr>
                  <w:rStyle w:val="Hyperlink"/>
                  <w:b/>
                  <w:bCs w:val="0"/>
                </w:rPr>
                <w:t>Kiribati-Australia Climate Partnership </w:t>
              </w:r>
            </w:hyperlink>
          </w:p>
        </w:tc>
        <w:tc>
          <w:tcPr>
            <w:tcW w:w="6569" w:type="dxa"/>
            <w:shd w:val="clear" w:color="auto" w:fill="FEFAF8"/>
            <w:vAlign w:val="bottom"/>
          </w:tcPr>
          <w:p w14:paraId="54F28BF1" w14:textId="78A86414" w:rsidR="00763B82" w:rsidRPr="000F23E0" w:rsidRDefault="00763B82" w:rsidP="006314B2">
            <w:pPr>
              <w:pStyle w:val="TableTextLeft"/>
              <w:cnfStyle w:val="000000000000" w:firstRow="0" w:lastRow="0" w:firstColumn="0" w:lastColumn="0" w:oddVBand="0" w:evenVBand="0" w:oddHBand="0" w:evenHBand="0" w:firstRowFirstColumn="0" w:firstRowLastColumn="0" w:lastRowFirstColumn="0" w:lastRowLastColumn="0"/>
            </w:pPr>
            <w:r w:rsidRPr="000F23E0">
              <w:t>The partnership aims to increase supply and access to renewable energy and implement sustainable coastal protection solutions.</w:t>
            </w:r>
          </w:p>
        </w:tc>
      </w:tr>
      <w:tr w:rsidR="00763B82" w:rsidRPr="000F23E0" w14:paraId="7298BFC1" w14:textId="77777777" w:rsidTr="005F45A1">
        <w:trPr>
          <w:trHeight w:val="340"/>
        </w:trPr>
        <w:tc>
          <w:tcPr>
            <w:cnfStyle w:val="001000000000" w:firstRow="0" w:lastRow="0" w:firstColumn="1" w:lastColumn="0" w:oddVBand="0" w:evenVBand="0" w:oddHBand="0" w:evenHBand="0" w:firstRowFirstColumn="0" w:firstRowLastColumn="0" w:lastRowFirstColumn="0" w:lastRowLastColumn="0"/>
            <w:tcW w:w="2501" w:type="dxa"/>
            <w:shd w:val="clear" w:color="auto" w:fill="FDF0E7"/>
          </w:tcPr>
          <w:p w14:paraId="25B5089C" w14:textId="2B1FE3EB" w:rsidR="00763B82" w:rsidRPr="000F23E0" w:rsidRDefault="00763B82" w:rsidP="006314B2">
            <w:pPr>
              <w:pStyle w:val="TableTextLeft"/>
              <w:rPr>
                <w:b/>
                <w:bCs w:val="0"/>
              </w:rPr>
            </w:pPr>
            <w:hyperlink r:id="rId99" w:history="1">
              <w:r w:rsidRPr="000F23E0">
                <w:rPr>
                  <w:rStyle w:val="Hyperlink"/>
                  <w:b/>
                  <w:bCs w:val="0"/>
                </w:rPr>
                <w:t xml:space="preserve">Fund for </w:t>
              </w:r>
              <w:r w:rsidR="00E2313A" w:rsidRPr="000F23E0">
                <w:rPr>
                  <w:rStyle w:val="Hyperlink"/>
                  <w:b/>
                  <w:bCs w:val="0"/>
                </w:rPr>
                <w:t>R</w:t>
              </w:r>
              <w:r w:rsidRPr="000F23E0">
                <w:rPr>
                  <w:rStyle w:val="Hyperlink"/>
                  <w:b/>
                  <w:bCs w:val="0"/>
                </w:rPr>
                <w:t>esponding to Loss</w:t>
              </w:r>
              <w:r w:rsidR="00D9048C" w:rsidRPr="000F23E0">
                <w:rPr>
                  <w:rStyle w:val="Hyperlink"/>
                  <w:b/>
                  <w:bCs w:val="0"/>
                </w:rPr>
                <w:t> </w:t>
              </w:r>
              <w:r w:rsidRPr="000F23E0">
                <w:rPr>
                  <w:rStyle w:val="Hyperlink"/>
                  <w:b/>
                  <w:bCs w:val="0"/>
                </w:rPr>
                <w:t>and</w:t>
              </w:r>
              <w:r w:rsidR="00D9048C" w:rsidRPr="000F23E0">
                <w:rPr>
                  <w:rStyle w:val="Hyperlink"/>
                  <w:b/>
                  <w:bCs w:val="0"/>
                </w:rPr>
                <w:t> </w:t>
              </w:r>
              <w:r w:rsidRPr="000F23E0">
                <w:rPr>
                  <w:rStyle w:val="Hyperlink"/>
                  <w:b/>
                  <w:bCs w:val="0"/>
                </w:rPr>
                <w:t>Damage (FRLD) </w:t>
              </w:r>
            </w:hyperlink>
          </w:p>
        </w:tc>
        <w:tc>
          <w:tcPr>
            <w:tcW w:w="6569" w:type="dxa"/>
            <w:shd w:val="clear" w:color="auto" w:fill="FEFAF8"/>
            <w:vAlign w:val="bottom"/>
          </w:tcPr>
          <w:p w14:paraId="2D17FE2C" w14:textId="599087AE" w:rsidR="00763B82" w:rsidRPr="000F23E0" w:rsidRDefault="00763B82" w:rsidP="006314B2">
            <w:pPr>
              <w:pStyle w:val="TableTextLeft"/>
              <w:cnfStyle w:val="000000000000" w:firstRow="0" w:lastRow="0" w:firstColumn="0" w:lastColumn="0" w:oddVBand="0" w:evenVBand="0" w:oddHBand="0" w:evenHBand="0" w:firstRowFirstColumn="0" w:firstRowLastColumn="0" w:lastRowFirstColumn="0" w:lastRowLastColumn="0"/>
            </w:pPr>
            <w:r w:rsidRPr="000F23E0">
              <w:t xml:space="preserve">The Fund launched a call for proposals under the Barbados Implementation Modalities (BIM) at COP30 in Belem. The BIM is a </w:t>
            </w:r>
            <w:r w:rsidR="00BC1AC9" w:rsidRPr="000F23E0">
              <w:t>USD</w:t>
            </w:r>
            <w:r w:rsidR="005F2DD2" w:rsidRPr="000F23E0">
              <w:t>250</w:t>
            </w:r>
            <w:r w:rsidR="006975D2" w:rsidRPr="000F23E0">
              <w:t xml:space="preserve"> </w:t>
            </w:r>
            <w:r w:rsidR="00AF5CB2" w:rsidRPr="000F23E0">
              <w:t>million</w:t>
            </w:r>
            <w:r w:rsidRPr="000F23E0">
              <w:t xml:space="preserve"> program that will support a range of interventions to address </w:t>
            </w:r>
            <w:r w:rsidR="00CD5FD0" w:rsidRPr="000F23E0">
              <w:t>climate change</w:t>
            </w:r>
            <w:r w:rsidRPr="000F23E0">
              <w:t xml:space="preserve"> losses and damages. </w:t>
            </w:r>
          </w:p>
        </w:tc>
      </w:tr>
      <w:tr w:rsidR="00763B82" w:rsidRPr="000F23E0" w14:paraId="413E362B" w14:textId="77777777" w:rsidTr="005F45A1">
        <w:trPr>
          <w:trHeight w:val="340"/>
        </w:trPr>
        <w:tc>
          <w:tcPr>
            <w:cnfStyle w:val="001000000000" w:firstRow="0" w:lastRow="0" w:firstColumn="1" w:lastColumn="0" w:oddVBand="0" w:evenVBand="0" w:oddHBand="0" w:evenHBand="0" w:firstRowFirstColumn="0" w:firstRowLastColumn="0" w:lastRowFirstColumn="0" w:lastRowLastColumn="0"/>
            <w:tcW w:w="2501" w:type="dxa"/>
            <w:shd w:val="clear" w:color="auto" w:fill="FDF0E7"/>
          </w:tcPr>
          <w:p w14:paraId="69014DD1" w14:textId="70E9BFA8" w:rsidR="00763B82" w:rsidRPr="000F23E0" w:rsidRDefault="00763B82" w:rsidP="006314B2">
            <w:pPr>
              <w:pStyle w:val="TableTextLeft"/>
              <w:rPr>
                <w:b/>
                <w:bCs w:val="0"/>
              </w:rPr>
            </w:pPr>
            <w:hyperlink r:id="rId100" w:history="1">
              <w:r w:rsidRPr="000F23E0">
                <w:rPr>
                  <w:rStyle w:val="Hyperlink"/>
                  <w:b/>
                  <w:bCs w:val="0"/>
                </w:rPr>
                <w:t>Support for Weather Ready</w:t>
              </w:r>
              <w:r w:rsidR="00D9048C" w:rsidRPr="000F23E0">
                <w:rPr>
                  <w:rStyle w:val="Hyperlink"/>
                  <w:b/>
                  <w:bCs w:val="0"/>
                </w:rPr>
                <w:t> </w:t>
              </w:r>
              <w:r w:rsidRPr="000F23E0">
                <w:rPr>
                  <w:rStyle w:val="Hyperlink"/>
                  <w:b/>
                  <w:bCs w:val="0"/>
                </w:rPr>
                <w:t>Pacific </w:t>
              </w:r>
            </w:hyperlink>
          </w:p>
        </w:tc>
        <w:tc>
          <w:tcPr>
            <w:tcW w:w="6569" w:type="dxa"/>
            <w:shd w:val="clear" w:color="auto" w:fill="FEFAF8"/>
            <w:vAlign w:val="bottom"/>
          </w:tcPr>
          <w:p w14:paraId="72132AC2" w14:textId="5ED25106" w:rsidR="00763B82" w:rsidRPr="000F23E0" w:rsidRDefault="00763B82" w:rsidP="006314B2">
            <w:pPr>
              <w:pStyle w:val="TableTextLeft"/>
              <w:cnfStyle w:val="000000000000" w:firstRow="0" w:lastRow="0" w:firstColumn="0" w:lastColumn="0" w:oddVBand="0" w:evenVBand="0" w:oddHBand="0" w:evenHBand="0" w:firstRowFirstColumn="0" w:firstRowLastColumn="0" w:lastRowFirstColumn="0" w:lastRowLastColumn="0"/>
            </w:pPr>
            <w:r w:rsidRPr="000F23E0">
              <w:t>Support all Pacific nations access to localised, accurate and timely forecast and warning products to help communities plan for and respond to weather conditions.</w:t>
            </w:r>
          </w:p>
        </w:tc>
      </w:tr>
      <w:tr w:rsidR="00763B82" w:rsidRPr="000F23E0" w14:paraId="2B229A7B" w14:textId="77777777" w:rsidTr="005F45A1">
        <w:trPr>
          <w:trHeight w:val="340"/>
        </w:trPr>
        <w:tc>
          <w:tcPr>
            <w:cnfStyle w:val="001000000000" w:firstRow="0" w:lastRow="0" w:firstColumn="1" w:lastColumn="0" w:oddVBand="0" w:evenVBand="0" w:oddHBand="0" w:evenHBand="0" w:firstRowFirstColumn="0" w:firstRowLastColumn="0" w:lastRowFirstColumn="0" w:lastRowLastColumn="0"/>
            <w:tcW w:w="2501" w:type="dxa"/>
            <w:shd w:val="clear" w:color="auto" w:fill="FDF0E7"/>
          </w:tcPr>
          <w:p w14:paraId="0AB0E365" w14:textId="3B8F9B2C" w:rsidR="00763B82" w:rsidRPr="000F23E0" w:rsidRDefault="00763B82" w:rsidP="00D9048C">
            <w:pPr>
              <w:pStyle w:val="TableTextLeft"/>
              <w:rPr>
                <w:b/>
                <w:bCs w:val="0"/>
              </w:rPr>
            </w:pPr>
            <w:r w:rsidRPr="000F23E0">
              <w:rPr>
                <w:b/>
                <w:bCs w:val="0"/>
              </w:rPr>
              <w:t xml:space="preserve">Solomon Islands Humanitarian and Disaster Relief and Resilience </w:t>
            </w:r>
            <w:r w:rsidR="0007145B" w:rsidRPr="000F23E0">
              <w:rPr>
                <w:b/>
                <w:bCs w:val="0"/>
              </w:rPr>
              <w:t>Program</w:t>
            </w:r>
            <w:r w:rsidRPr="000F23E0">
              <w:rPr>
                <w:b/>
                <w:bCs w:val="0"/>
              </w:rPr>
              <w:t> </w:t>
            </w:r>
          </w:p>
        </w:tc>
        <w:tc>
          <w:tcPr>
            <w:tcW w:w="6569" w:type="dxa"/>
            <w:shd w:val="clear" w:color="auto" w:fill="FEFAF8"/>
          </w:tcPr>
          <w:p w14:paraId="3F105004" w14:textId="6BA6D3DD" w:rsidR="00763B82" w:rsidRPr="000F23E0" w:rsidRDefault="00763B82" w:rsidP="006314B2">
            <w:pPr>
              <w:pStyle w:val="TableTextLeft"/>
              <w:cnfStyle w:val="000000000000" w:firstRow="0" w:lastRow="0" w:firstColumn="0" w:lastColumn="0" w:oddVBand="0" w:evenVBand="0" w:oddHBand="0" w:evenHBand="0" w:firstRowFirstColumn="0" w:firstRowLastColumn="0" w:lastRowFirstColumn="0" w:lastRowLastColumn="0"/>
            </w:pPr>
            <w:r w:rsidRPr="000F23E0">
              <w:t xml:space="preserve">Support the Solomon Islands </w:t>
            </w:r>
            <w:r w:rsidR="003342D0" w:rsidRPr="000F23E0">
              <w:t>g</w:t>
            </w:r>
            <w:r w:rsidRPr="000F23E0">
              <w:t>overnment to improve responses to disaster, including via</w:t>
            </w:r>
            <w:r w:rsidR="00D9048C" w:rsidRPr="000F23E0">
              <w:noBreakHyphen/>
            </w:r>
            <w:r w:rsidRPr="000F23E0">
              <w:t>capacity development for national personnel and infrastructure improvement.</w:t>
            </w:r>
          </w:p>
        </w:tc>
      </w:tr>
    </w:tbl>
    <w:p w14:paraId="2869709C" w14:textId="77777777" w:rsidR="00AC5B82" w:rsidRPr="000F23E0" w:rsidRDefault="00AC5B82">
      <w:pPr>
        <w:spacing w:before="0" w:after="160" w:line="259" w:lineRule="auto"/>
      </w:pPr>
    </w:p>
    <w:tbl>
      <w:tblPr>
        <w:tblW w:w="5000" w:type="pct"/>
        <w:shd w:val="clear" w:color="auto" w:fill="FDF0E7"/>
        <w:tblCellMar>
          <w:top w:w="113" w:type="dxa"/>
          <w:left w:w="284" w:type="dxa"/>
          <w:bottom w:w="113" w:type="dxa"/>
          <w:right w:w="284" w:type="dxa"/>
        </w:tblCellMar>
        <w:tblLook w:val="04A0" w:firstRow="1" w:lastRow="0" w:firstColumn="1" w:lastColumn="0" w:noHBand="0" w:noVBand="1"/>
      </w:tblPr>
      <w:tblGrid>
        <w:gridCol w:w="9070"/>
      </w:tblGrid>
      <w:tr w:rsidR="00AC5B82" w:rsidRPr="000F23E0" w14:paraId="220955AD" w14:textId="77777777" w:rsidTr="00D9048C">
        <w:tc>
          <w:tcPr>
            <w:tcW w:w="5000" w:type="pct"/>
            <w:shd w:val="clear" w:color="auto" w:fill="FDF0E7"/>
            <w:hideMark/>
          </w:tcPr>
          <w:p w14:paraId="4CB12734" w14:textId="1DCFCF01" w:rsidR="00AC5B82" w:rsidRPr="000F23E0" w:rsidRDefault="00AC5B82">
            <w:pPr>
              <w:pStyle w:val="Caseheading"/>
            </w:pPr>
            <w:bookmarkStart w:id="296" w:name="_Hlk222317356"/>
            <w:r w:rsidRPr="000F23E0">
              <w:lastRenderedPageBreak/>
              <w:t xml:space="preserve">Case study 10: </w:t>
            </w:r>
            <w:hyperlink r:id="rId101" w:history="1">
              <w:r w:rsidRPr="000F23E0">
                <w:rPr>
                  <w:rStyle w:val="Hyperlink"/>
                </w:rPr>
                <w:t>Climate Resilient Communities</w:t>
              </w:r>
            </w:hyperlink>
          </w:p>
          <w:p w14:paraId="38904A3A" w14:textId="77777777" w:rsidR="00AC5B82" w:rsidRPr="000F23E0" w:rsidRDefault="00AC5B82" w:rsidP="00D05E2B">
            <w:pPr>
              <w:pStyle w:val="BoxText"/>
            </w:pPr>
            <w:r w:rsidRPr="000F23E0">
              <w:rPr>
                <w:b/>
              </w:rPr>
              <w:t>Australia's International Development Policy acknowledges climate change as the greatest shared threat to all countries.</w:t>
            </w:r>
            <w:r w:rsidRPr="000F23E0">
              <w:rPr>
                <w:bCs/>
              </w:rPr>
              <w:t xml:space="preserve"> DFAT’s flagship climate program, Climate Resilient Communities (CRC), supports the</w:t>
            </w:r>
            <w:r w:rsidRPr="000F23E0">
              <w:t xml:space="preserve"> implementation of Australia’s climate change commitments under the International Development Policy, helping to meet Australia’s climate finance targets. Relevant programs are being financed by the Australian Government through GTBs.</w:t>
            </w:r>
          </w:p>
          <w:p w14:paraId="127C67E4" w14:textId="77777777" w:rsidR="00AC5B82" w:rsidRPr="000F23E0" w:rsidRDefault="00AC5B82" w:rsidP="00D05E2B">
            <w:pPr>
              <w:pStyle w:val="BoxText"/>
            </w:pPr>
            <w:r w:rsidRPr="000F23E0">
              <w:t xml:space="preserve">CRC bolsters support for DFAT to increase investment in climate change with a particular focus on water, agriculture, food, nature-based solutions and energy sectors. </w:t>
            </w:r>
          </w:p>
          <w:p w14:paraId="49AA60FB" w14:textId="77777777" w:rsidR="00AC5B82" w:rsidRPr="000F23E0" w:rsidRDefault="00AC5B82" w:rsidP="00D05E2B">
            <w:pPr>
              <w:pStyle w:val="BoxText"/>
            </w:pPr>
            <w:r w:rsidRPr="000F23E0">
              <w:t xml:space="preserve">CRC is designed to help integrate climate and disaster resilience across all sectors in the Development Program, including the following co-funded climate resilient initiatives. </w:t>
            </w:r>
          </w:p>
          <w:p w14:paraId="28575E24" w14:textId="0C311C5D" w:rsidR="00AC5B82" w:rsidRPr="000F23E0" w:rsidRDefault="00AC5B82" w:rsidP="00D05E2B">
            <w:pPr>
              <w:pStyle w:val="Boxbullet"/>
            </w:pPr>
            <w:r w:rsidRPr="000F23E0">
              <w:t>The Atoll Food Futures (AFF) program – running in Tuvalu, Kiribati and Fiji – addresses food insecurity by increasing household-level fruit and vegetable production and consumption. As</w:t>
            </w:r>
            <w:r w:rsidR="00D9048C" w:rsidRPr="000F23E0">
              <w:t> </w:t>
            </w:r>
            <w:r w:rsidRPr="000F23E0">
              <w:t>growing food in atolls can be challenging due to poor soil and saltwater intrusion, the program introduced climate-adapted garden beds and ran demonstrations on composting, natural pest protection, seed saving and food preservation. AFF reached 4,500</w:t>
            </w:r>
            <w:r w:rsidR="00D9048C" w:rsidRPr="000F23E0">
              <w:t> </w:t>
            </w:r>
            <w:r w:rsidRPr="000F23E0">
              <w:t xml:space="preserve">people. Nearly all (94 per cent) reported they grew more fresh food. Half participating households also earned income by selling surplus produce. </w:t>
            </w:r>
          </w:p>
          <w:p w14:paraId="3AC36691" w14:textId="77E9C2C1" w:rsidR="00AC5B82" w:rsidRPr="000F23E0" w:rsidRDefault="00AC5B82" w:rsidP="00D05E2B">
            <w:pPr>
              <w:pStyle w:val="Boxbullet"/>
            </w:pPr>
            <w:r w:rsidRPr="000F23E0">
              <w:t xml:space="preserve">In the Marshall Islands, Australia is co-funding climate-resilient WASH systems in schools, improving access for children, particularly adolescent girls and girls with disabilities. The program targets 45 public schools – around 40 per cent of schools nationwide. The program is upgrading water infrastructure and raising awareness of sustainable WASH practices, including menstrual health and hygiene. </w:t>
            </w:r>
          </w:p>
          <w:p w14:paraId="75429A32" w14:textId="1F0660DB" w:rsidR="00AC5B82" w:rsidRPr="000F23E0" w:rsidRDefault="00AC5B82" w:rsidP="00D05E2B">
            <w:pPr>
              <w:pStyle w:val="Boxbullet"/>
            </w:pPr>
            <w:r w:rsidRPr="000F23E0">
              <w:t xml:space="preserve">Through the new Cambodia Climate Resilience Program (CCRP), Australia is partnering with Cambodia to strengthen water systems to withstand climate impacts. The program will support Cambodia’s </w:t>
            </w:r>
            <w:r w:rsidR="00445AD4" w:rsidRPr="000F23E0">
              <w:t>climate change adaptation</w:t>
            </w:r>
            <w:r w:rsidRPr="000F23E0">
              <w:t xml:space="preserve"> targets by strengthening water governance and policies, with a sub-national focus on 3 key river basins. The program also promotes inclusive water strategies (involving women, people with disabilities and Indigenous peoples) and provides grants to NGOs and civil society to pilot climate-smart approaches, with successful models shared and scaled across the country. </w:t>
            </w:r>
          </w:p>
          <w:p w14:paraId="172261FC" w14:textId="08312239" w:rsidR="00AC5B82" w:rsidRPr="000F23E0" w:rsidRDefault="00AC5B82" w:rsidP="00D05E2B">
            <w:pPr>
              <w:pStyle w:val="Boxbullet"/>
            </w:pPr>
            <w:r w:rsidRPr="000F23E0">
              <w:t>Through the new Tonga Australia Resilient Communities Program (TARCP), Australia is supporting community-driven solutions for climate action. The program will support climate</w:t>
            </w:r>
            <w:r w:rsidR="00BB60BE" w:rsidRPr="000F23E0">
              <w:noBreakHyphen/>
            </w:r>
            <w:r w:rsidRPr="000F23E0">
              <w:t>resilient infrastructure and disaster risk reduction (DRR) activities in 122</w:t>
            </w:r>
            <w:r w:rsidR="00D9048C" w:rsidRPr="000F23E0">
              <w:t> </w:t>
            </w:r>
            <w:r w:rsidRPr="000F23E0">
              <w:t xml:space="preserve">rural communities in Tonga, including resilient cyclone shelters, water supply systems and roads. This community-driven approach prioritises the voices and needs of local people. </w:t>
            </w:r>
          </w:p>
          <w:p w14:paraId="370A5270" w14:textId="1D15B0BA" w:rsidR="00AC5B82" w:rsidRPr="000F23E0" w:rsidRDefault="00AC5B82" w:rsidP="00D05E2B">
            <w:pPr>
              <w:pStyle w:val="BoxText"/>
            </w:pPr>
            <w:r w:rsidRPr="000F23E0">
              <w:t>Through the CRC, development programs across DFAT can access resources, specialist skills and capability to help deliver the climate targets in Australia’s International Development Policy.</w:t>
            </w:r>
          </w:p>
        </w:tc>
      </w:tr>
      <w:bookmarkEnd w:id="296"/>
    </w:tbl>
    <w:p w14:paraId="735F00BD" w14:textId="3266F41A" w:rsidR="001037FE" w:rsidRPr="000F23E0" w:rsidRDefault="001037FE">
      <w:pPr>
        <w:spacing w:before="0" w:after="160" w:line="259" w:lineRule="auto"/>
      </w:pPr>
      <w:r w:rsidRPr="000F23E0">
        <w:br w:type="page"/>
      </w:r>
    </w:p>
    <w:p w14:paraId="3A666D46" w14:textId="21B4475E" w:rsidR="0080369F" w:rsidRPr="000F23E0" w:rsidRDefault="00D3586C" w:rsidP="00557D2D">
      <w:pPr>
        <w:pStyle w:val="Heading1"/>
      </w:pPr>
      <w:bookmarkStart w:id="297" w:name="_Toc188028329"/>
      <w:bookmarkStart w:id="298" w:name="_Toc225155788"/>
      <w:r w:rsidRPr="000F23E0">
        <w:lastRenderedPageBreak/>
        <w:t xml:space="preserve">Chapter 6: </w:t>
      </w:r>
      <w:r w:rsidR="00DF3B54" w:rsidRPr="000F23E0">
        <w:t xml:space="preserve">Environmentally sustainable </w:t>
      </w:r>
      <w:r w:rsidR="004A2483" w:rsidRPr="000F23E0">
        <w:t xml:space="preserve">management of </w:t>
      </w:r>
      <w:r w:rsidR="00A83143" w:rsidRPr="000F23E0">
        <w:t xml:space="preserve">living natural resources </w:t>
      </w:r>
      <w:r w:rsidR="008F25D9" w:rsidRPr="000F23E0">
        <w:t>and land use</w:t>
      </w:r>
      <w:bookmarkEnd w:id="297"/>
      <w:bookmarkEnd w:id="298"/>
    </w:p>
    <w:p w14:paraId="45F06AAF" w14:textId="0618B366" w:rsidR="005A6B37" w:rsidRPr="000F23E0" w:rsidRDefault="005A6B37" w:rsidP="00D54EA5">
      <w:pPr>
        <w:shd w:val="clear" w:color="auto" w:fill="FFFFFF" w:themeFill="background1"/>
      </w:pPr>
      <w:r w:rsidRPr="000F23E0">
        <w:t>Australia</w:t>
      </w:r>
      <w:r w:rsidR="002C4475" w:rsidRPr="000F23E0">
        <w:t>’</w:t>
      </w:r>
      <w:r w:rsidRPr="000F23E0">
        <w:t>s unique ecosystems</w:t>
      </w:r>
      <w:r w:rsidR="007A430E" w:rsidRPr="000F23E0">
        <w:t xml:space="preserve"> are under pressure from </w:t>
      </w:r>
      <w:r w:rsidR="00CF682B" w:rsidRPr="000F23E0">
        <w:t xml:space="preserve">use of natural resources, habitat loss, </w:t>
      </w:r>
      <w:r w:rsidR="000E7204" w:rsidRPr="000F23E0">
        <w:t xml:space="preserve">invasive species, pollution and climate change. A holistic </w:t>
      </w:r>
      <w:r w:rsidR="008766A6" w:rsidRPr="000F23E0">
        <w:t xml:space="preserve">approach </w:t>
      </w:r>
      <w:r w:rsidR="00A21D26" w:rsidRPr="000F23E0">
        <w:t xml:space="preserve">that brings together land, water and living resources management practices including adaptive management is crucial to </w:t>
      </w:r>
      <w:r w:rsidR="00C31CA8" w:rsidRPr="000F23E0">
        <w:t>keeping</w:t>
      </w:r>
      <w:r w:rsidR="00E004AA" w:rsidRPr="000F23E0">
        <w:t xml:space="preserve"> Austr</w:t>
      </w:r>
      <w:r w:rsidR="00B22715" w:rsidRPr="000F23E0">
        <w:t>alia</w:t>
      </w:r>
      <w:r w:rsidR="002C4475" w:rsidRPr="000F23E0">
        <w:t>’</w:t>
      </w:r>
      <w:r w:rsidR="00B22715" w:rsidRPr="000F23E0">
        <w:t>s</w:t>
      </w:r>
      <w:r w:rsidR="00E004AA" w:rsidRPr="000F23E0">
        <w:t xml:space="preserve"> </w:t>
      </w:r>
      <w:r w:rsidR="00B2768B" w:rsidRPr="000F23E0">
        <w:t>complex and dynamic ecosystems functioning and maintain</w:t>
      </w:r>
      <w:r w:rsidR="00D54EA5" w:rsidRPr="000F23E0">
        <w:t>ing</w:t>
      </w:r>
      <w:r w:rsidR="00B2768B" w:rsidRPr="000F23E0">
        <w:t xml:space="preserve"> healthy biodiversity</w:t>
      </w:r>
      <w:r w:rsidR="003E1676" w:rsidRPr="000F23E0">
        <w:t>.</w:t>
      </w:r>
    </w:p>
    <w:p w14:paraId="4A7FB8BF" w14:textId="60765B01" w:rsidR="00D04C28" w:rsidRPr="000F23E0" w:rsidRDefault="00D04C28" w:rsidP="00D04C28">
      <w:pPr>
        <w:shd w:val="clear" w:color="auto" w:fill="FFFFFF" w:themeFill="background1"/>
      </w:pPr>
      <w:r w:rsidRPr="000F23E0">
        <w:t>Australia</w:t>
      </w:r>
      <w:r w:rsidR="002C4475" w:rsidRPr="000F23E0">
        <w:t>’</w:t>
      </w:r>
      <w:r w:rsidRPr="000F23E0">
        <w:t>s economy and future growth potential are linked to our natural resources, many of which are finite or may be irreparabl</w:t>
      </w:r>
      <w:r w:rsidR="009B7471" w:rsidRPr="000F23E0">
        <w:t>y damaged</w:t>
      </w:r>
      <w:r w:rsidRPr="000F23E0">
        <w:t xml:space="preserve"> if managed unsustainably. Land use and the sustainable management of living natural resources must be responsibly handled to secure the safety of Australia</w:t>
      </w:r>
      <w:r w:rsidR="002C4475" w:rsidRPr="000F23E0">
        <w:t>’</w:t>
      </w:r>
      <w:r w:rsidRPr="000F23E0">
        <w:t>s complex ecosystems.</w:t>
      </w:r>
    </w:p>
    <w:p w14:paraId="33E9E3EB" w14:textId="2F5BAB0A" w:rsidR="00FD6773" w:rsidRPr="000F23E0" w:rsidRDefault="00FD6773" w:rsidP="00D54EA5">
      <w:pPr>
        <w:shd w:val="clear" w:color="auto" w:fill="FFFFFF" w:themeFill="background1"/>
      </w:pPr>
      <w:r w:rsidRPr="000F23E0">
        <w:t>Objective</w:t>
      </w:r>
      <w:r w:rsidRPr="000F23E0" w:rsidDel="00731F0A">
        <w:t xml:space="preserve"> </w:t>
      </w:r>
      <w:r w:rsidR="00731F0A" w:rsidRPr="000F23E0">
        <w:t xml:space="preserve">5 </w:t>
      </w:r>
      <w:r w:rsidRPr="000F23E0">
        <w:t>of the Australian Government</w:t>
      </w:r>
      <w:r w:rsidR="002C4475" w:rsidRPr="000F23E0">
        <w:t>’</w:t>
      </w:r>
      <w:r w:rsidRPr="000F23E0">
        <w:t>s Strategy for Nature is to improve conservation management of Australia</w:t>
      </w:r>
      <w:r w:rsidR="002C4475" w:rsidRPr="000F23E0">
        <w:t>’</w:t>
      </w:r>
      <w:r w:rsidRPr="000F23E0">
        <w:t>s landscapes, waterways, wetlands and seascapes. This includes targets of protecting and conserving 30 per cent of Australia</w:t>
      </w:r>
      <w:r w:rsidR="002C4475" w:rsidRPr="000F23E0">
        <w:t>’</w:t>
      </w:r>
      <w:r w:rsidRPr="000F23E0">
        <w:t>s landmass and marine areas by 2030</w:t>
      </w:r>
      <w:r w:rsidR="00A22145" w:rsidRPr="000F23E0">
        <w:t xml:space="preserve"> and</w:t>
      </w:r>
      <w:r w:rsidRPr="000F23E0">
        <w:t xml:space="preserve"> ensuring priority degraded ecosystem areas are under effective restoration by 2030. The Strategy targets use and develop</w:t>
      </w:r>
      <w:r w:rsidR="00A22145" w:rsidRPr="000F23E0">
        <w:t>ment of</w:t>
      </w:r>
      <w:r w:rsidRPr="000F23E0">
        <w:t xml:space="preserve"> natural resources in an ecologically sustainable way. </w:t>
      </w:r>
    </w:p>
    <w:p w14:paraId="7B64BA60" w14:textId="7DEC77DB" w:rsidR="00C546D4" w:rsidRPr="000F23E0" w:rsidRDefault="00611CEF" w:rsidP="00D54EA5">
      <w:pPr>
        <w:shd w:val="clear" w:color="auto" w:fill="FFFFFF" w:themeFill="background1"/>
      </w:pPr>
      <w:r w:rsidRPr="000F23E0">
        <w:t>GTB</w:t>
      </w:r>
      <w:r w:rsidR="00FD6773" w:rsidRPr="000F23E0">
        <w:t>s are supporting Australia</w:t>
      </w:r>
      <w:r w:rsidR="002C4475" w:rsidRPr="000F23E0">
        <w:t>’</w:t>
      </w:r>
      <w:r w:rsidR="00FD6773" w:rsidRPr="000F23E0">
        <w:t>s urban waterways through the Urban Rivers and Catchments Program.</w:t>
      </w:r>
    </w:p>
    <w:p w14:paraId="7D9F677A" w14:textId="4614899B" w:rsidR="00D9048C" w:rsidRPr="000F23E0" w:rsidRDefault="00D9048C" w:rsidP="00D9048C">
      <w:pPr>
        <w:pStyle w:val="ChartGraphic"/>
      </w:pPr>
      <w:r w:rsidRPr="000F23E0">
        <w:drawing>
          <wp:inline distT="0" distB="0" distL="0" distR="0" wp14:anchorId="1CEFDD45" wp14:editId="185854B6">
            <wp:extent cx="5759450" cy="3546068"/>
            <wp:effectExtent l="0" t="0" r="0" b="0"/>
            <wp:docPr id="246417649" name="Picture 9" descr="A Bassian Thrush (a brown bird) sitting amongst trees and twi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417649" name="Picture 9" descr="A Bassian Thrush (a brown bird) sitting amongst trees and twigs."/>
                    <pic:cNvPicPr/>
                  </pic:nvPicPr>
                  <pic:blipFill rotWithShape="1">
                    <a:blip r:embed="rId102" cstate="print">
                      <a:extLst>
                        <a:ext uri="{28A0092B-C50C-407E-A947-70E740481C1C}">
                          <a14:useLocalDpi xmlns:a14="http://schemas.microsoft.com/office/drawing/2010/main" val="0"/>
                        </a:ext>
                      </a:extLst>
                    </a:blip>
                    <a:srcRect/>
                    <a:stretch>
                      <a:fillRect/>
                    </a:stretch>
                  </pic:blipFill>
                  <pic:spPr bwMode="auto">
                    <a:xfrm>
                      <a:off x="0" y="0"/>
                      <a:ext cx="5759450" cy="3546068"/>
                    </a:xfrm>
                    <a:prstGeom prst="rect">
                      <a:avLst/>
                    </a:prstGeom>
                    <a:ln>
                      <a:noFill/>
                    </a:ln>
                    <a:extLst>
                      <a:ext uri="{53640926-AAD7-44D8-BBD7-CCE9431645EC}">
                        <a14:shadowObscured xmlns:a14="http://schemas.microsoft.com/office/drawing/2010/main"/>
                      </a:ext>
                    </a:extLst>
                  </pic:spPr>
                </pic:pic>
              </a:graphicData>
            </a:graphic>
          </wp:inline>
        </w:drawing>
      </w:r>
    </w:p>
    <w:p w14:paraId="00BD78B7" w14:textId="7D0DFDBC" w:rsidR="00D9048C" w:rsidRPr="000F23E0" w:rsidRDefault="00D9048C" w:rsidP="00D9048C">
      <w:pPr>
        <w:pStyle w:val="ChartorTableNote"/>
      </w:pPr>
      <w:r w:rsidRPr="000F23E0">
        <w:rPr>
          <w:rFonts w:eastAsiaTheme="minorHAnsi"/>
        </w:rPr>
        <w:t>Bassian Thrush at Blackwater Dam. Photo courtesy of Peter Watton.</w:t>
      </w:r>
    </w:p>
    <w:p w14:paraId="4BAD158D" w14:textId="63EE252B" w:rsidR="005F4B33" w:rsidRPr="000F23E0" w:rsidRDefault="005968B0" w:rsidP="006475BB">
      <w:pPr>
        <w:pStyle w:val="Heading2"/>
      </w:pPr>
      <w:bookmarkStart w:id="299" w:name="_Urban_Rivers_and"/>
      <w:bookmarkStart w:id="300" w:name="_Toc188028330"/>
      <w:bookmarkStart w:id="301" w:name="_Toc225155789"/>
      <w:bookmarkEnd w:id="299"/>
      <w:r w:rsidRPr="000F23E0">
        <w:lastRenderedPageBreak/>
        <w:t>Urban Rivers and Catchments Program</w:t>
      </w:r>
      <w:bookmarkEnd w:id="300"/>
      <w:bookmarkEnd w:id="301"/>
    </w:p>
    <w:p w14:paraId="5FD4BE42" w14:textId="01C6F8B2" w:rsidR="00591A64" w:rsidRPr="000F23E0" w:rsidRDefault="00591A64" w:rsidP="00ED2A61">
      <w:r w:rsidRPr="000F23E0">
        <w:t>The Urban Rivers and Catchments Program (URCP) is restoring the health of Australia</w:t>
      </w:r>
      <w:r w:rsidR="002C4475" w:rsidRPr="000F23E0">
        <w:t>’</w:t>
      </w:r>
      <w:r w:rsidRPr="000F23E0">
        <w:t>s urban waterways for native plants, animals, and local communities. </w:t>
      </w:r>
    </w:p>
    <w:p w14:paraId="7F93D7E5" w14:textId="242740CA" w:rsidR="00591A64" w:rsidRPr="000F23E0" w:rsidRDefault="00591A64" w:rsidP="00ED2A61">
      <w:r w:rsidRPr="000F23E0">
        <w:t>Nearly half of all nationally listed threatened animals and a quarter of threatened plants occur in urban areas. They share these areas with 96 per cent of Australia</w:t>
      </w:r>
      <w:r w:rsidR="002C4475" w:rsidRPr="000F23E0">
        <w:t>’</w:t>
      </w:r>
      <w:r w:rsidRPr="000F23E0">
        <w:t>s population. </w:t>
      </w:r>
    </w:p>
    <w:p w14:paraId="2B44D4DA" w14:textId="4386927F" w:rsidR="005968B0" w:rsidRPr="000F23E0" w:rsidRDefault="00591A64" w:rsidP="00ED2A61">
      <w:r w:rsidRPr="000F23E0">
        <w:t xml:space="preserve">The program is funding over 100 projects around Australia </w:t>
      </w:r>
      <w:r w:rsidR="00C127CD" w:rsidRPr="000F23E0">
        <w:t>to</w:t>
      </w:r>
      <w:r w:rsidRPr="000F23E0">
        <w:t xml:space="preserve"> help</w:t>
      </w:r>
      <w:r w:rsidR="00162F82" w:rsidRPr="000F23E0">
        <w:t xml:space="preserve"> conserve native plants and animals </w:t>
      </w:r>
      <w:r w:rsidRPr="000F23E0">
        <w:t>including</w:t>
      </w:r>
      <w:r w:rsidR="00162F82" w:rsidRPr="000F23E0">
        <w:t xml:space="preserve"> platypus</w:t>
      </w:r>
      <w:r w:rsidRPr="000F23E0">
        <w:t>, birds</w:t>
      </w:r>
      <w:r w:rsidR="00162F82" w:rsidRPr="000F23E0">
        <w:t xml:space="preserve"> and native fish. </w:t>
      </w:r>
      <w:r w:rsidRPr="000F23E0">
        <w:t>Additionally, many projects are</w:t>
      </w:r>
      <w:r w:rsidR="00162F82" w:rsidRPr="000F23E0">
        <w:t xml:space="preserve"> also </w:t>
      </w:r>
      <w:r w:rsidRPr="000F23E0">
        <w:t>improving</w:t>
      </w:r>
      <w:r w:rsidR="00162F82" w:rsidRPr="000F23E0">
        <w:t xml:space="preserve"> access to waterways </w:t>
      </w:r>
      <w:r w:rsidR="00F220C3" w:rsidRPr="000F23E0">
        <w:t xml:space="preserve">that </w:t>
      </w:r>
      <w:r w:rsidR="00162F82" w:rsidRPr="000F23E0">
        <w:t xml:space="preserve">provide </w:t>
      </w:r>
      <w:r w:rsidR="000330F3" w:rsidRPr="000F23E0">
        <w:t xml:space="preserve">benefits </w:t>
      </w:r>
      <w:r w:rsidR="00162F82" w:rsidRPr="000F23E0">
        <w:t>for health and social wellbeing.</w:t>
      </w:r>
      <w:r w:rsidR="0021574E" w:rsidRPr="000F23E0">
        <w:rPr>
          <w:rStyle w:val="EndnoteReference"/>
        </w:rPr>
        <w:endnoteReference w:id="67"/>
      </w:r>
      <w:r w:rsidRPr="000F23E0">
        <w:t> </w:t>
      </w:r>
    </w:p>
    <w:p w14:paraId="5BA1F441" w14:textId="63B7F372" w:rsidR="008D027A" w:rsidRPr="000F23E0" w:rsidRDefault="00434838" w:rsidP="00E13D28">
      <w:r w:rsidRPr="000F23E0">
        <w:t xml:space="preserve">The Australian Government first supported the program through the </w:t>
      </w:r>
      <w:r w:rsidR="008D027A" w:rsidRPr="000F23E0">
        <w:t xml:space="preserve">2022–23 October Budget, </w:t>
      </w:r>
      <w:r w:rsidRPr="000F23E0">
        <w:t xml:space="preserve">committing </w:t>
      </w:r>
      <w:r w:rsidR="008D027A" w:rsidRPr="000F23E0">
        <w:t>$91 million of funding to deliver Round 1 of URCP. In the 2023–24 Budget, an additional $109</w:t>
      </w:r>
      <w:r w:rsidRPr="000F23E0">
        <w:t> </w:t>
      </w:r>
      <w:r w:rsidR="008D027A" w:rsidRPr="000F23E0">
        <w:t>million of funding was committed under URCP to deliver Round 2.</w:t>
      </w:r>
    </w:p>
    <w:p w14:paraId="599DBE0C" w14:textId="099B8308" w:rsidR="00162F82" w:rsidRPr="000F23E0" w:rsidRDefault="00046B10" w:rsidP="00752C5F">
      <w:pPr>
        <w:pStyle w:val="Heading3"/>
      </w:pPr>
      <w:r w:rsidRPr="000F23E0">
        <w:t>Green Treasury Bond Allocation</w:t>
      </w:r>
    </w:p>
    <w:p w14:paraId="514F2A4E" w14:textId="09291E31" w:rsidR="00D51DD9" w:rsidRPr="000F23E0" w:rsidRDefault="00611CEF" w:rsidP="00AA7422">
      <w:r w:rsidRPr="000F23E0">
        <w:t>GTB</w:t>
      </w:r>
      <w:r w:rsidR="00D51DD9" w:rsidRPr="000F23E0">
        <w:t>s contributed $</w:t>
      </w:r>
      <w:r w:rsidR="008F1BD9" w:rsidRPr="000F23E0">
        <w:t>24.5</w:t>
      </w:r>
      <w:r w:rsidR="00D51DD9" w:rsidRPr="000F23E0">
        <w:t xml:space="preserve"> million under URCP in </w:t>
      </w:r>
      <w:r w:rsidR="00FF258B" w:rsidRPr="000F23E0">
        <w:t>202</w:t>
      </w:r>
      <w:r w:rsidR="00DC4ACD" w:rsidRPr="000F23E0">
        <w:t>4</w:t>
      </w:r>
      <w:r w:rsidR="00FF258B" w:rsidRPr="000F23E0">
        <w:t>–</w:t>
      </w:r>
      <w:r w:rsidR="00D51DD9" w:rsidRPr="000F23E0">
        <w:t>2</w:t>
      </w:r>
      <w:r w:rsidR="00DC4ACD" w:rsidRPr="000F23E0">
        <w:t>5</w:t>
      </w:r>
      <w:r w:rsidR="00D51DD9" w:rsidRPr="000F23E0">
        <w:t xml:space="preserve"> (</w:t>
      </w:r>
      <w:r w:rsidR="00694969" w:rsidRPr="000F23E0">
        <w:t xml:space="preserve">Table </w:t>
      </w:r>
      <w:r w:rsidR="00E308E3" w:rsidRPr="000F23E0">
        <w:t>3</w:t>
      </w:r>
      <w:r w:rsidR="007D5CD1" w:rsidRPr="000F23E0">
        <w:t>3</w:t>
      </w:r>
      <w:r w:rsidR="00D51DD9" w:rsidRPr="000F23E0">
        <w:t xml:space="preserve">). </w:t>
      </w:r>
    </w:p>
    <w:p w14:paraId="24295652" w14:textId="5D1F30E2" w:rsidR="00046B10" w:rsidRPr="000F23E0" w:rsidRDefault="00D51DD9" w:rsidP="00AA7422">
      <w:r w:rsidRPr="000F23E0">
        <w:t xml:space="preserve">The total </w:t>
      </w:r>
      <w:r w:rsidR="00701BDC" w:rsidRPr="000F23E0">
        <w:t>G</w:t>
      </w:r>
      <w:r w:rsidRPr="000F23E0">
        <w:t xml:space="preserve">overnment contribution represents expected funding over the life of the program as at the </w:t>
      </w:r>
      <w:r w:rsidR="00FF258B" w:rsidRPr="000F23E0">
        <w:t>202</w:t>
      </w:r>
      <w:r w:rsidR="00DC4ACD" w:rsidRPr="000F23E0">
        <w:t>5</w:t>
      </w:r>
      <w:r w:rsidR="009E7609" w:rsidRPr="000F23E0">
        <w:t>–</w:t>
      </w:r>
      <w:r w:rsidR="00DC4ACD" w:rsidRPr="000F23E0">
        <w:t>26</w:t>
      </w:r>
      <w:r w:rsidRPr="000F23E0">
        <w:t xml:space="preserve"> MYEFO. Funding in future financial years is anticipated to be financed through </w:t>
      </w:r>
      <w:r w:rsidR="00611CEF" w:rsidRPr="000F23E0">
        <w:t>GTB</w:t>
      </w:r>
      <w:r w:rsidRPr="000F23E0">
        <w:t>s.</w:t>
      </w:r>
    </w:p>
    <w:p w14:paraId="57708CFD" w14:textId="1D28CEDF" w:rsidR="00D51DD9" w:rsidRPr="000F23E0" w:rsidRDefault="005D16D2" w:rsidP="00AA7422">
      <w:r w:rsidRPr="000F23E0">
        <w:t xml:space="preserve">The total cost of projects is not reported </w:t>
      </w:r>
      <w:r w:rsidR="00C33A98" w:rsidRPr="000F23E0">
        <w:t>in this</w:t>
      </w:r>
      <w:r w:rsidRPr="000F23E0">
        <w:t xml:space="preserve"> grant program.</w:t>
      </w:r>
    </w:p>
    <w:p w14:paraId="08C17355" w14:textId="7F63D728" w:rsidR="005D16D2" w:rsidRPr="000F23E0" w:rsidRDefault="00FA055E" w:rsidP="00551F72">
      <w:pPr>
        <w:pStyle w:val="TableMainHeading"/>
      </w:pPr>
      <w:bookmarkStart w:id="302" w:name="_Toc220662893"/>
      <w:bookmarkStart w:id="303" w:name="_Toc224637839"/>
      <w:bookmarkStart w:id="304" w:name="_Toc224642503"/>
      <w:bookmarkStart w:id="305" w:name="_Toc225153479"/>
      <w:bookmarkStart w:id="306" w:name="_Toc225154525"/>
      <w:bookmarkStart w:id="307" w:name="_Toc225155790"/>
      <w:r w:rsidRPr="000F23E0">
        <w:t xml:space="preserve">Table </w:t>
      </w:r>
      <w:r w:rsidR="00E308E3" w:rsidRPr="000F23E0">
        <w:t>3</w:t>
      </w:r>
      <w:r w:rsidR="0068550D" w:rsidRPr="000F23E0">
        <w:t>3:</w:t>
      </w:r>
      <w:r w:rsidR="00A20F09" w:rsidRPr="000F23E0">
        <w:t xml:space="preserve"> Allocation Data for the Urban Rivers and Catchments Program ($ million)</w:t>
      </w:r>
      <w:bookmarkEnd w:id="302"/>
      <w:bookmarkEnd w:id="303"/>
      <w:bookmarkEnd w:id="304"/>
      <w:bookmarkEnd w:id="305"/>
      <w:bookmarkEnd w:id="306"/>
      <w:bookmarkEnd w:id="307"/>
    </w:p>
    <w:tbl>
      <w:tblPr>
        <w:tblStyle w:val="GridTable4-Accent2"/>
        <w:tblW w:w="5000" w:type="pct"/>
        <w:tblInd w:w="-3" w:type="dxa"/>
        <w:tblBorders>
          <w:top w:val="single" w:sz="4" w:space="0" w:color="DFA795"/>
          <w:bottom w:val="single" w:sz="4" w:space="0" w:color="DFA795"/>
          <w:insideH w:val="single" w:sz="4" w:space="0" w:color="DFA795"/>
        </w:tblBorders>
        <w:tblLayout w:type="fixed"/>
        <w:tblLook w:val="04A0" w:firstRow="1" w:lastRow="0" w:firstColumn="1" w:lastColumn="0" w:noHBand="0" w:noVBand="1"/>
      </w:tblPr>
      <w:tblGrid>
        <w:gridCol w:w="3547"/>
        <w:gridCol w:w="1134"/>
        <w:gridCol w:w="1134"/>
        <w:gridCol w:w="1441"/>
        <w:gridCol w:w="1814"/>
      </w:tblGrid>
      <w:tr w:rsidR="00EB7950" w:rsidRPr="000F23E0" w14:paraId="2A587EE2" w14:textId="77777777" w:rsidTr="0048145F">
        <w:trPr>
          <w:cnfStyle w:val="100000000000" w:firstRow="1" w:lastRow="0" w:firstColumn="0" w:lastColumn="0" w:oddVBand="0" w:evenVBand="0" w:oddHBand="0"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3547" w:type="dxa"/>
            <w:shd w:val="clear" w:color="auto" w:fill="F1D0C6"/>
          </w:tcPr>
          <w:p w14:paraId="7753CD7F" w14:textId="69D0986F" w:rsidR="008916AF" w:rsidRPr="000F23E0" w:rsidRDefault="0050168D" w:rsidP="00507E86">
            <w:pPr>
              <w:pStyle w:val="TableColumnHeadingLeft"/>
              <w:rPr>
                <w:b/>
                <w:bCs w:val="0"/>
              </w:rPr>
            </w:pPr>
            <w:r w:rsidRPr="000F23E0">
              <w:rPr>
                <w:b/>
                <w:bCs w:val="0"/>
              </w:rPr>
              <w:t>Eligible Green Expenditure</w:t>
            </w:r>
          </w:p>
        </w:tc>
        <w:tc>
          <w:tcPr>
            <w:tcW w:w="1134" w:type="dxa"/>
            <w:shd w:val="clear" w:color="auto" w:fill="F1D0C6"/>
          </w:tcPr>
          <w:p w14:paraId="43FCE8A7" w14:textId="5C61D1F8" w:rsidR="008916AF" w:rsidRPr="000F23E0" w:rsidRDefault="008916AF" w:rsidP="00507E86">
            <w:pPr>
              <w:pStyle w:val="TableColumnHeadingRight"/>
              <w:cnfStyle w:val="100000000000" w:firstRow="1" w:lastRow="0" w:firstColumn="0" w:lastColumn="0" w:oddVBand="0" w:evenVBand="0" w:oddHBand="0" w:evenHBand="0" w:firstRowFirstColumn="0" w:firstRowLastColumn="0" w:lastRowFirstColumn="0" w:lastRowLastColumn="0"/>
              <w:rPr>
                <w:b/>
              </w:rPr>
            </w:pPr>
            <w:r w:rsidRPr="000F23E0">
              <w:rPr>
                <w:b/>
              </w:rPr>
              <w:t>2024</w:t>
            </w:r>
            <w:r w:rsidR="00ED5506" w:rsidRPr="000F23E0">
              <w:rPr>
                <w:b/>
              </w:rPr>
              <w:t>–</w:t>
            </w:r>
            <w:r w:rsidRPr="000F23E0">
              <w:rPr>
                <w:b/>
              </w:rPr>
              <w:t xml:space="preserve">25 Expenditure </w:t>
            </w:r>
          </w:p>
        </w:tc>
        <w:tc>
          <w:tcPr>
            <w:tcW w:w="1134" w:type="dxa"/>
            <w:shd w:val="clear" w:color="auto" w:fill="F1D0C6"/>
          </w:tcPr>
          <w:p w14:paraId="0FABFB5A" w14:textId="65EB3664" w:rsidR="008916AF" w:rsidRPr="000F23E0" w:rsidRDefault="00EA0F10" w:rsidP="00507E86">
            <w:pPr>
              <w:pStyle w:val="TableColumnHeadingRight"/>
              <w:cnfStyle w:val="100000000000" w:firstRow="1" w:lastRow="0" w:firstColumn="0" w:lastColumn="0" w:oddVBand="0" w:evenVBand="0" w:oddHBand="0" w:evenHBand="0" w:firstRowFirstColumn="0" w:firstRowLastColumn="0" w:lastRowFirstColumn="0" w:lastRowLastColumn="0"/>
              <w:rPr>
                <w:b/>
              </w:rPr>
            </w:pPr>
            <w:r w:rsidRPr="000F23E0">
              <w:rPr>
                <w:b/>
              </w:rPr>
              <w:t>Allocation 2026 Report</w:t>
            </w:r>
            <w:r w:rsidR="008916AF" w:rsidRPr="000F23E0">
              <w:rPr>
                <w:b/>
              </w:rPr>
              <w:t xml:space="preserve"> </w:t>
            </w:r>
          </w:p>
        </w:tc>
        <w:tc>
          <w:tcPr>
            <w:tcW w:w="1441" w:type="dxa"/>
            <w:shd w:val="clear" w:color="auto" w:fill="F1D0C6"/>
          </w:tcPr>
          <w:p w14:paraId="3700D026" w14:textId="2D2AAB38" w:rsidR="008916AF" w:rsidRPr="000F23E0" w:rsidRDefault="008916AF" w:rsidP="00507E86">
            <w:pPr>
              <w:pStyle w:val="TableColumnHeadingRight"/>
              <w:cnfStyle w:val="100000000000" w:firstRow="1" w:lastRow="0" w:firstColumn="0" w:lastColumn="0" w:oddVBand="0" w:evenVBand="0" w:oddHBand="0" w:evenHBand="0" w:firstRowFirstColumn="0" w:firstRowLastColumn="0" w:lastRowFirstColumn="0" w:lastRowLastColumn="0"/>
              <w:rPr>
                <w:b/>
              </w:rPr>
            </w:pPr>
            <w:r w:rsidRPr="000F23E0">
              <w:rPr>
                <w:b/>
              </w:rPr>
              <w:t xml:space="preserve">Total Australian Government Contribution </w:t>
            </w:r>
          </w:p>
        </w:tc>
        <w:tc>
          <w:tcPr>
            <w:tcW w:w="1814" w:type="dxa"/>
            <w:shd w:val="clear" w:color="auto" w:fill="F1D0C6"/>
          </w:tcPr>
          <w:p w14:paraId="353E192C" w14:textId="04C3B5B0" w:rsidR="008916AF" w:rsidRPr="000F23E0" w:rsidRDefault="008916AF" w:rsidP="00507E86">
            <w:pPr>
              <w:pStyle w:val="TableColumnHeadingRight"/>
              <w:cnfStyle w:val="100000000000" w:firstRow="1" w:lastRow="0" w:firstColumn="0" w:lastColumn="0" w:oddVBand="0" w:evenVBand="0" w:oddHBand="0" w:evenHBand="0" w:firstRowFirstColumn="0" w:firstRowLastColumn="0" w:lastRowFirstColumn="0" w:lastRowLastColumn="0"/>
              <w:rPr>
                <w:b/>
              </w:rPr>
            </w:pPr>
            <w:r w:rsidRPr="000F23E0">
              <w:rPr>
                <w:b/>
              </w:rPr>
              <w:t xml:space="preserve">Total Cost of Project </w:t>
            </w:r>
          </w:p>
        </w:tc>
      </w:tr>
      <w:tr w:rsidR="00EB7950" w:rsidRPr="000F23E0" w14:paraId="190C1909" w14:textId="77777777" w:rsidTr="0048145F">
        <w:trPr>
          <w:trHeight w:val="256"/>
        </w:trPr>
        <w:tc>
          <w:tcPr>
            <w:cnfStyle w:val="001000000000" w:firstRow="0" w:lastRow="0" w:firstColumn="1" w:lastColumn="0" w:oddVBand="0" w:evenVBand="0" w:oddHBand="0" w:evenHBand="0" w:firstRowFirstColumn="0" w:firstRowLastColumn="0" w:lastRowFirstColumn="0" w:lastRowLastColumn="0"/>
            <w:tcW w:w="3547" w:type="dxa"/>
            <w:shd w:val="clear" w:color="auto" w:fill="FDF0E7"/>
            <w:vAlign w:val="center"/>
          </w:tcPr>
          <w:p w14:paraId="27EB6F7F" w14:textId="78CF03E3" w:rsidR="00242543" w:rsidRPr="000F23E0" w:rsidRDefault="00242543" w:rsidP="00507E86">
            <w:pPr>
              <w:pStyle w:val="TableTextLeft"/>
            </w:pPr>
            <w:r w:rsidRPr="000F23E0">
              <w:t>Urban Rivers and Catchments Program</w:t>
            </w:r>
            <w:r w:rsidRPr="000F23E0">
              <w:rPr>
                <w:rStyle w:val="EndnoteReference"/>
                <w:b/>
                <w:bCs w:val="0"/>
              </w:rPr>
              <w:endnoteReference w:id="68"/>
            </w:r>
          </w:p>
        </w:tc>
        <w:tc>
          <w:tcPr>
            <w:tcW w:w="1134" w:type="dxa"/>
            <w:shd w:val="clear" w:color="auto" w:fill="FEFAF8"/>
            <w:vAlign w:val="center"/>
          </w:tcPr>
          <w:p w14:paraId="6AAFF000" w14:textId="0EE5226B" w:rsidR="00242543" w:rsidRPr="000F23E0" w:rsidRDefault="002C296D" w:rsidP="00507E86">
            <w:pPr>
              <w:pStyle w:val="TableTextRight"/>
              <w:cnfStyle w:val="000000000000" w:firstRow="0" w:lastRow="0" w:firstColumn="0" w:lastColumn="0" w:oddVBand="0" w:evenVBand="0" w:oddHBand="0" w:evenHBand="0" w:firstRowFirstColumn="0" w:firstRowLastColumn="0" w:lastRowFirstColumn="0" w:lastRowLastColumn="0"/>
            </w:pPr>
            <w:r w:rsidRPr="000F23E0">
              <w:t>45.3</w:t>
            </w:r>
          </w:p>
        </w:tc>
        <w:tc>
          <w:tcPr>
            <w:tcW w:w="1134" w:type="dxa"/>
            <w:shd w:val="clear" w:color="auto" w:fill="FEFAF8"/>
            <w:vAlign w:val="center"/>
          </w:tcPr>
          <w:p w14:paraId="494FF441" w14:textId="6863D9EC" w:rsidR="00242543" w:rsidRPr="000F23E0" w:rsidRDefault="00276708" w:rsidP="00507E86">
            <w:pPr>
              <w:pStyle w:val="TableTextRight"/>
              <w:cnfStyle w:val="000000000000" w:firstRow="0" w:lastRow="0" w:firstColumn="0" w:lastColumn="0" w:oddVBand="0" w:evenVBand="0" w:oddHBand="0" w:evenHBand="0" w:firstRowFirstColumn="0" w:firstRowLastColumn="0" w:lastRowFirstColumn="0" w:lastRowLastColumn="0"/>
            </w:pPr>
            <w:r w:rsidRPr="000F23E0">
              <w:t>2</w:t>
            </w:r>
            <w:r w:rsidR="008F1BD9" w:rsidRPr="000F23E0">
              <w:t>4.5</w:t>
            </w:r>
          </w:p>
        </w:tc>
        <w:tc>
          <w:tcPr>
            <w:tcW w:w="1441" w:type="dxa"/>
            <w:shd w:val="clear" w:color="auto" w:fill="FEFAF8"/>
            <w:vAlign w:val="center"/>
          </w:tcPr>
          <w:p w14:paraId="1AAFA7E0" w14:textId="27129F2D" w:rsidR="00242543" w:rsidRPr="000F23E0" w:rsidRDefault="00242543" w:rsidP="00507E86">
            <w:pPr>
              <w:pStyle w:val="TableTextRight"/>
              <w:cnfStyle w:val="000000000000" w:firstRow="0" w:lastRow="0" w:firstColumn="0" w:lastColumn="0" w:oddVBand="0" w:evenVBand="0" w:oddHBand="0" w:evenHBand="0" w:firstRowFirstColumn="0" w:firstRowLastColumn="0" w:lastRowFirstColumn="0" w:lastRowLastColumn="0"/>
            </w:pPr>
            <w:r w:rsidRPr="000F23E0">
              <w:t>200.0</w:t>
            </w:r>
          </w:p>
        </w:tc>
        <w:tc>
          <w:tcPr>
            <w:tcW w:w="1814" w:type="dxa"/>
            <w:shd w:val="clear" w:color="auto" w:fill="FEFAF8"/>
            <w:vAlign w:val="center"/>
          </w:tcPr>
          <w:p w14:paraId="5FC80F9E" w14:textId="4F2D8AA3" w:rsidR="00242543" w:rsidRPr="000F23E0" w:rsidRDefault="00242543" w:rsidP="00507E86">
            <w:pPr>
              <w:pStyle w:val="TableTextRight"/>
              <w:cnfStyle w:val="000000000000" w:firstRow="0" w:lastRow="0" w:firstColumn="0" w:lastColumn="0" w:oddVBand="0" w:evenVBand="0" w:oddHBand="0" w:evenHBand="0" w:firstRowFirstColumn="0" w:firstRowLastColumn="0" w:lastRowFirstColumn="0" w:lastRowLastColumn="0"/>
            </w:pPr>
            <w:r w:rsidRPr="000F23E0">
              <w:t>N/A</w:t>
            </w:r>
          </w:p>
        </w:tc>
      </w:tr>
    </w:tbl>
    <w:p w14:paraId="2065D4EC" w14:textId="22BAF4BD" w:rsidR="005D16D2" w:rsidRPr="000F23E0" w:rsidRDefault="00CD070C" w:rsidP="00752C5F">
      <w:pPr>
        <w:pStyle w:val="Heading4"/>
      </w:pPr>
      <w:r w:rsidRPr="000F23E0">
        <w:t>Co</w:t>
      </w:r>
      <w:r w:rsidR="002C4475" w:rsidRPr="000F23E0">
        <w:noBreakHyphen/>
      </w:r>
      <w:r w:rsidRPr="000F23E0">
        <w:t xml:space="preserve">financing </w:t>
      </w:r>
      <w:r w:rsidR="00701BDC" w:rsidRPr="000F23E0">
        <w:t>a</w:t>
      </w:r>
      <w:r w:rsidRPr="000F23E0">
        <w:t>rrangements</w:t>
      </w:r>
    </w:p>
    <w:p w14:paraId="7DAC91B1" w14:textId="66B6B34A" w:rsidR="00946834" w:rsidRPr="000F23E0" w:rsidRDefault="00946834" w:rsidP="00946834">
      <w:r w:rsidRPr="000F23E0">
        <w:t>Round 1 of the program is delivered through Specific Purpose Payments to States and Territories by state and territory governments and nominated delivery agents. Co</w:t>
      </w:r>
      <w:r w:rsidR="002C4475" w:rsidRPr="000F23E0">
        <w:noBreakHyphen/>
      </w:r>
      <w:r w:rsidRPr="000F23E0">
        <w:t>investment was not a requirement for Round 1 projects.</w:t>
      </w:r>
    </w:p>
    <w:p w14:paraId="1607EEED" w14:textId="48A4A744" w:rsidR="00946834" w:rsidRPr="000F23E0" w:rsidRDefault="00946834" w:rsidP="00946834">
      <w:r w:rsidRPr="000F23E0">
        <w:t>Round 2 is delivered through competitive grants. For Round 2, recipients delivering Stream 2 (large) projects (with grant funding between $2 million and $10 million) were required to provide matching co</w:t>
      </w:r>
      <w:r w:rsidR="002C4475" w:rsidRPr="000F23E0">
        <w:noBreakHyphen/>
      </w:r>
      <w:r w:rsidRPr="000F23E0">
        <w:t>investment. Some recipients delivering Stream 1 (small to medium) projects (with grant funding between $0.15 million and $2 million) also contribute co</w:t>
      </w:r>
      <w:r w:rsidR="002C4475" w:rsidRPr="000F23E0">
        <w:noBreakHyphen/>
      </w:r>
      <w:r w:rsidRPr="000F23E0">
        <w:t>investment; however, the amounts vary by project, as a cash contribution was not mandatory for these grants.</w:t>
      </w:r>
    </w:p>
    <w:p w14:paraId="4DE4F28A" w14:textId="76C90B2C" w:rsidR="00B356DE" w:rsidRPr="000F23E0" w:rsidRDefault="00B356DE" w:rsidP="00B356DE">
      <w:r w:rsidRPr="000F23E0">
        <w:t xml:space="preserve">As at 31 December 2025, Round 2 is leveraging an additional $72.66 million in cash co investment, plus $18.20 million </w:t>
      </w:r>
      <w:r w:rsidR="00ED0C2F" w:rsidRPr="000F23E0">
        <w:t xml:space="preserve">in </w:t>
      </w:r>
      <w:r w:rsidRPr="000F23E0">
        <w:t>in</w:t>
      </w:r>
      <w:r w:rsidR="002C4475" w:rsidRPr="000F23E0">
        <w:noBreakHyphen/>
      </w:r>
      <w:r w:rsidRPr="000F23E0">
        <w:t>kind contributions, from all grantees across both Streams. Grantees include community groups, NGOs, regional organisations, councils, state/territory governments (for Stream 2 projects only) and First Nations land and water management groups. Co</w:t>
      </w:r>
      <w:r w:rsidR="002C4475" w:rsidRPr="000F23E0">
        <w:noBreakHyphen/>
      </w:r>
      <w:r w:rsidRPr="000F23E0">
        <w:t>contributions are detailed in each project</w:t>
      </w:r>
      <w:r w:rsidR="002C4475" w:rsidRPr="000F23E0">
        <w:t>’</w:t>
      </w:r>
      <w:r w:rsidRPr="000F23E0">
        <w:t>s</w:t>
      </w:r>
      <w:r w:rsidR="00080BFE" w:rsidRPr="000F23E0">
        <w:t xml:space="preserve"> </w:t>
      </w:r>
      <w:r w:rsidRPr="000F23E0">
        <w:t>grant agreement.</w:t>
      </w:r>
    </w:p>
    <w:p w14:paraId="58D4881B" w14:textId="026726AE" w:rsidR="00F003AC" w:rsidRPr="000F23E0" w:rsidRDefault="00C27771" w:rsidP="00752C5F">
      <w:pPr>
        <w:pStyle w:val="Heading4"/>
      </w:pPr>
      <w:r w:rsidRPr="000F23E0">
        <w:lastRenderedPageBreak/>
        <w:t xml:space="preserve">Material </w:t>
      </w:r>
      <w:r w:rsidR="009D2388" w:rsidRPr="000F23E0">
        <w:t>r</w:t>
      </w:r>
      <w:r w:rsidRPr="000F23E0">
        <w:t>isks</w:t>
      </w:r>
    </w:p>
    <w:p w14:paraId="7E16C6BF" w14:textId="26221380" w:rsidR="00701659" w:rsidRPr="000F23E0" w:rsidRDefault="00701659" w:rsidP="00F32CF3">
      <w:r w:rsidRPr="000F23E0">
        <w:t>No material risks have been identified to deliver the Urban Rivers and Catchments Program. </w:t>
      </w:r>
    </w:p>
    <w:p w14:paraId="02317C7B" w14:textId="79AA3BF3" w:rsidR="00F32CF3" w:rsidRPr="000F23E0" w:rsidRDefault="00F32CF3" w:rsidP="00F32CF3">
      <w:r w:rsidRPr="000F23E0">
        <w:t>Risk management frameworks are in place at program and project levels, with risk settings actively monitored through established governance processes.</w:t>
      </w:r>
    </w:p>
    <w:p w14:paraId="3F8133EE" w14:textId="635907DB" w:rsidR="00F32CF3" w:rsidRPr="000F23E0" w:rsidRDefault="00F32CF3" w:rsidP="00F32CF3">
      <w:r w:rsidRPr="000F23E0">
        <w:t xml:space="preserve">For Round 1, risks are managed through the </w:t>
      </w:r>
      <w:r w:rsidR="00ED0C2F" w:rsidRPr="000F23E0">
        <w:t>Federation Funding Agreement – Environment Schedule</w:t>
      </w:r>
      <w:r w:rsidRPr="000F23E0">
        <w:t>, project</w:t>
      </w:r>
      <w:r w:rsidR="002C4475" w:rsidRPr="000F23E0">
        <w:noBreakHyphen/>
      </w:r>
      <w:r w:rsidRPr="000F23E0">
        <w:t>specific conditions, and payments based on the demonstrated delivery of milestones.</w:t>
      </w:r>
    </w:p>
    <w:p w14:paraId="5AB2029C" w14:textId="06D9883C" w:rsidR="00F32CF3" w:rsidRPr="000F23E0" w:rsidRDefault="00F32CF3" w:rsidP="00F32CF3">
      <w:r w:rsidRPr="000F23E0">
        <w:t>For Round 2, risks are managed through the Grant Opportunity Guidelines, grant agreements, project</w:t>
      </w:r>
      <w:r w:rsidR="005F45A1" w:rsidRPr="000F23E0">
        <w:t> </w:t>
      </w:r>
      <w:r w:rsidRPr="000F23E0">
        <w:t xml:space="preserve">conditions, </w:t>
      </w:r>
      <w:r w:rsidR="00731F0A" w:rsidRPr="000F23E0">
        <w:t>6</w:t>
      </w:r>
      <w:r w:rsidR="002C4475" w:rsidRPr="000F23E0">
        <w:noBreakHyphen/>
      </w:r>
      <w:r w:rsidRPr="000F23E0">
        <w:t>monthly reporting to DCCEEW, and payments based on the demonstrated delivery milestones. </w:t>
      </w:r>
    </w:p>
    <w:p w14:paraId="7A1B00A5" w14:textId="220707FC" w:rsidR="00F32CF3" w:rsidRPr="000F23E0" w:rsidRDefault="00871497" w:rsidP="00F32CF3">
      <w:r w:rsidRPr="000F23E0">
        <w:t>M</w:t>
      </w:r>
      <w:r w:rsidR="00F32CF3" w:rsidRPr="000F23E0">
        <w:t xml:space="preserve">ost projects </w:t>
      </w:r>
      <w:r w:rsidRPr="000F23E0">
        <w:t xml:space="preserve">across both rounds </w:t>
      </w:r>
      <w:r w:rsidR="00F32CF3" w:rsidRPr="000F23E0">
        <w:t>include funding conditions to ensure risks are managed at an acceptable level. Higher</w:t>
      </w:r>
      <w:r w:rsidR="00252EAA" w:rsidRPr="000F23E0">
        <w:t xml:space="preserve"> </w:t>
      </w:r>
      <w:r w:rsidR="00F32CF3" w:rsidRPr="000F23E0">
        <w:t xml:space="preserve">risk projects also include </w:t>
      </w:r>
      <w:r w:rsidR="002C4475" w:rsidRPr="000F23E0">
        <w:t>‘</w:t>
      </w:r>
      <w:r w:rsidR="00F32CF3" w:rsidRPr="000F23E0">
        <w:t>hold point</w:t>
      </w:r>
      <w:r w:rsidR="002C4475" w:rsidRPr="000F23E0">
        <w:t>’</w:t>
      </w:r>
      <w:r w:rsidR="00F32CF3" w:rsidRPr="000F23E0">
        <w:t xml:space="preserve"> milestones where progress is paused until specified deliverables or conditions are met and approved by the Australian Government.</w:t>
      </w:r>
    </w:p>
    <w:p w14:paraId="61E8D345" w14:textId="24B6E743" w:rsidR="002A4857" w:rsidRPr="000F23E0" w:rsidRDefault="00A1194C" w:rsidP="005531A4">
      <w:pPr>
        <w:pStyle w:val="Heading3"/>
      </w:pPr>
      <w:r w:rsidRPr="000F23E0">
        <w:t xml:space="preserve">Project </w:t>
      </w:r>
      <w:r w:rsidR="00871497" w:rsidRPr="000F23E0">
        <w:t>i</w:t>
      </w:r>
      <w:r w:rsidRPr="000F23E0">
        <w:t>mpacts</w:t>
      </w:r>
    </w:p>
    <w:p w14:paraId="181DD1CC" w14:textId="254D6FC0" w:rsidR="00EB4F1B" w:rsidRPr="000F23E0" w:rsidRDefault="00EB4F1B" w:rsidP="003441C4">
      <w:r w:rsidRPr="000F23E0">
        <w:t>As of the 2024</w:t>
      </w:r>
      <w:r w:rsidR="00ED5506" w:rsidRPr="000F23E0">
        <w:t>–</w:t>
      </w:r>
      <w:r w:rsidRPr="000F23E0">
        <w:t>25 Financial Year, the Urban Rivers and Catchments Program has delivered biodiversity and ecohydrological outcomes across more than 100 projects.</w:t>
      </w:r>
      <w:r w:rsidR="000A6A6E" w:rsidRPr="000F23E0">
        <w:t xml:space="preserve"> These efforts have contributed to the restoration and </w:t>
      </w:r>
      <w:r w:rsidR="5BD683B1" w:rsidRPr="000F23E0">
        <w:t>re</w:t>
      </w:r>
      <w:r w:rsidR="002C4475" w:rsidRPr="000F23E0">
        <w:noBreakHyphen/>
      </w:r>
      <w:r w:rsidR="5BD683B1" w:rsidRPr="000F23E0">
        <w:t>naturalisation</w:t>
      </w:r>
      <w:r w:rsidR="000A6A6E" w:rsidRPr="000F23E0">
        <w:t xml:space="preserve"> of aquatic and riparian environments</w:t>
      </w:r>
      <w:r w:rsidR="00F2023C" w:rsidRPr="000F23E0">
        <w:t xml:space="preserve"> (</w:t>
      </w:r>
      <w:r w:rsidR="00E308E3" w:rsidRPr="000F23E0">
        <w:t>Table 3</w:t>
      </w:r>
      <w:r w:rsidR="007D5CD1" w:rsidRPr="000F23E0">
        <w:t>4</w:t>
      </w:r>
      <w:r w:rsidR="003A35E6" w:rsidRPr="000F23E0">
        <w:t>)</w:t>
      </w:r>
      <w:r w:rsidR="000A6A6E" w:rsidRPr="000F23E0">
        <w:t>.</w:t>
      </w:r>
    </w:p>
    <w:p w14:paraId="30A690B4" w14:textId="71A28DAC" w:rsidR="00863284" w:rsidRPr="000F23E0" w:rsidRDefault="00863284" w:rsidP="003441C4">
      <w:r w:rsidRPr="000F23E0">
        <w:t xml:space="preserve">The Program will produce environmental outcome reporting through </w:t>
      </w:r>
      <w:r w:rsidR="003441C4" w:rsidRPr="000F23E0">
        <w:t xml:space="preserve">the </w:t>
      </w:r>
      <w:r w:rsidR="00975EFA" w:rsidRPr="000F23E0">
        <w:t xml:space="preserve">DCCEEW </w:t>
      </w:r>
      <w:r w:rsidR="003441C4" w:rsidRPr="000F23E0">
        <w:t>Monitoring, Evaluation, Reporting and Improvement Tool (</w:t>
      </w:r>
      <w:r w:rsidRPr="000F23E0">
        <w:t>MERIT</w:t>
      </w:r>
      <w:r w:rsidR="003441C4" w:rsidRPr="000F23E0">
        <w:t>)</w:t>
      </w:r>
      <w:r w:rsidRPr="000F23E0">
        <w:t xml:space="preserve"> – a publicly available reporting product delivered through CSIRO</w:t>
      </w:r>
      <w:r w:rsidR="002C4475" w:rsidRPr="000F23E0">
        <w:t>’</w:t>
      </w:r>
      <w:r w:rsidRPr="000F23E0">
        <w:t>s Atlas of Living Australia (</w:t>
      </w:r>
      <w:hyperlink r:id="rId103" w:history="1">
        <w:r w:rsidRPr="000F23E0">
          <w:rPr>
            <w:rStyle w:val="Hyperlink"/>
          </w:rPr>
          <w:t>MERIT website</w:t>
        </w:r>
      </w:hyperlink>
      <w:r w:rsidRPr="000F23E0">
        <w:t>).</w:t>
      </w:r>
    </w:p>
    <w:p w14:paraId="2672B9C6" w14:textId="4727A324" w:rsidR="00500F67" w:rsidRPr="000F23E0" w:rsidRDefault="00500F67" w:rsidP="00551F72">
      <w:pPr>
        <w:pStyle w:val="TableMainHeading"/>
      </w:pPr>
      <w:bookmarkStart w:id="308" w:name="_Toc220662894"/>
      <w:bookmarkStart w:id="309" w:name="_Toc224637840"/>
      <w:bookmarkStart w:id="310" w:name="_Toc224642504"/>
      <w:bookmarkStart w:id="311" w:name="_Toc225153480"/>
      <w:bookmarkStart w:id="312" w:name="_Toc225154526"/>
      <w:bookmarkStart w:id="313" w:name="_Toc225155791"/>
      <w:r w:rsidRPr="000F23E0">
        <w:t xml:space="preserve">Table </w:t>
      </w:r>
      <w:r w:rsidR="00E308E3" w:rsidRPr="000F23E0">
        <w:t>3</w:t>
      </w:r>
      <w:r w:rsidR="0068550D" w:rsidRPr="000F23E0">
        <w:t>4:</w:t>
      </w:r>
      <w:r w:rsidRPr="000F23E0">
        <w:t xml:space="preserve"> Impact Data for the Urban Rivers and Catchments Program</w:t>
      </w:r>
      <w:bookmarkEnd w:id="308"/>
      <w:bookmarkEnd w:id="309"/>
      <w:bookmarkEnd w:id="310"/>
      <w:bookmarkEnd w:id="311"/>
      <w:bookmarkEnd w:id="312"/>
      <w:bookmarkEnd w:id="313"/>
    </w:p>
    <w:tbl>
      <w:tblPr>
        <w:tblStyle w:val="GridTable4-Accent2"/>
        <w:tblpPr w:leftFromText="180" w:rightFromText="180" w:vertAnchor="text" w:horzAnchor="margin" w:tblpY="34"/>
        <w:tblW w:w="5000" w:type="pct"/>
        <w:tblInd w:w="0" w:type="dxa"/>
        <w:tblBorders>
          <w:top w:val="single" w:sz="4" w:space="0" w:color="DFA795"/>
          <w:bottom w:val="single" w:sz="4" w:space="0" w:color="DFA795"/>
          <w:insideH w:val="single" w:sz="4" w:space="0" w:color="DFA795"/>
        </w:tblBorders>
        <w:tblLook w:val="04A0" w:firstRow="1" w:lastRow="0" w:firstColumn="1" w:lastColumn="0" w:noHBand="0" w:noVBand="1"/>
      </w:tblPr>
      <w:tblGrid>
        <w:gridCol w:w="5103"/>
        <w:gridCol w:w="709"/>
        <w:gridCol w:w="1701"/>
        <w:gridCol w:w="1557"/>
      </w:tblGrid>
      <w:tr w:rsidR="002974A4" w:rsidRPr="000F23E0" w14:paraId="7E49A422" w14:textId="77777777" w:rsidTr="00C71B7B">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5103" w:type="dxa"/>
            <w:shd w:val="clear" w:color="auto" w:fill="F1D0C6"/>
          </w:tcPr>
          <w:p w14:paraId="227B554C" w14:textId="77777777" w:rsidR="004700EE" w:rsidRPr="000F23E0" w:rsidRDefault="004700EE" w:rsidP="009336F5">
            <w:pPr>
              <w:pStyle w:val="TableColumnHeadingLeft"/>
              <w:rPr>
                <w:b/>
                <w:bCs w:val="0"/>
              </w:rPr>
            </w:pPr>
            <w:r w:rsidRPr="000F23E0">
              <w:rPr>
                <w:b/>
                <w:bCs w:val="0"/>
              </w:rPr>
              <w:t>Metric</w:t>
            </w:r>
          </w:p>
        </w:tc>
        <w:tc>
          <w:tcPr>
            <w:tcW w:w="709" w:type="dxa"/>
            <w:shd w:val="clear" w:color="auto" w:fill="F1D0C6"/>
          </w:tcPr>
          <w:p w14:paraId="16186465" w14:textId="5273C4A7" w:rsidR="004700EE" w:rsidRPr="000F23E0" w:rsidRDefault="004700EE" w:rsidP="009336F5">
            <w:pPr>
              <w:pStyle w:val="TableColumnHeadingRight"/>
              <w:cnfStyle w:val="100000000000" w:firstRow="1" w:lastRow="0" w:firstColumn="0" w:lastColumn="0" w:oddVBand="0" w:evenVBand="0" w:oddHBand="0" w:evenHBand="0" w:firstRowFirstColumn="0" w:firstRowLastColumn="0" w:lastRowFirstColumn="0" w:lastRowLastColumn="0"/>
              <w:rPr>
                <w:b/>
              </w:rPr>
            </w:pPr>
            <w:r w:rsidRPr="000F23E0">
              <w:rPr>
                <w:b/>
              </w:rPr>
              <w:t>Value</w:t>
            </w:r>
          </w:p>
        </w:tc>
        <w:tc>
          <w:tcPr>
            <w:tcW w:w="1701" w:type="dxa"/>
            <w:shd w:val="clear" w:color="auto" w:fill="F1D0C6"/>
          </w:tcPr>
          <w:p w14:paraId="40D02C91" w14:textId="77777777" w:rsidR="004700EE" w:rsidRPr="000F23E0" w:rsidRDefault="004700EE" w:rsidP="009336F5">
            <w:pPr>
              <w:pStyle w:val="TableColumnHeadingRight"/>
              <w:cnfStyle w:val="100000000000" w:firstRow="1" w:lastRow="0" w:firstColumn="0" w:lastColumn="0" w:oddVBand="0" w:evenVBand="0" w:oddHBand="0" w:evenHBand="0" w:firstRowFirstColumn="0" w:firstRowLastColumn="0" w:lastRowFirstColumn="0" w:lastRowLastColumn="0"/>
              <w:rPr>
                <w:b/>
              </w:rPr>
            </w:pPr>
            <w:r w:rsidRPr="000F23E0">
              <w:rPr>
                <w:b/>
              </w:rPr>
              <w:t>Record/ Projected</w:t>
            </w:r>
          </w:p>
        </w:tc>
        <w:tc>
          <w:tcPr>
            <w:tcW w:w="1557" w:type="dxa"/>
            <w:shd w:val="clear" w:color="auto" w:fill="F1D0C6"/>
          </w:tcPr>
          <w:p w14:paraId="0D4A8128" w14:textId="402ECC2C" w:rsidR="004700EE" w:rsidRPr="000F23E0" w:rsidRDefault="004700EE" w:rsidP="009336F5">
            <w:pPr>
              <w:pStyle w:val="TableColumnHeadingRight"/>
              <w:cnfStyle w:val="100000000000" w:firstRow="1" w:lastRow="0" w:firstColumn="0" w:lastColumn="0" w:oddVBand="0" w:evenVBand="0" w:oddHBand="0" w:evenHBand="0" w:firstRowFirstColumn="0" w:firstRowLastColumn="0" w:lastRowFirstColumn="0" w:lastRowLastColumn="0"/>
              <w:rPr>
                <w:b/>
              </w:rPr>
            </w:pPr>
            <w:r w:rsidRPr="000F23E0">
              <w:rPr>
                <w:b/>
              </w:rPr>
              <w:t>Time Period</w:t>
            </w:r>
          </w:p>
        </w:tc>
      </w:tr>
      <w:tr w:rsidR="007D254A" w:rsidRPr="000F23E0" w14:paraId="418BC34C" w14:textId="77777777" w:rsidTr="00C71B7B">
        <w:trPr>
          <w:trHeight w:val="340"/>
        </w:trPr>
        <w:tc>
          <w:tcPr>
            <w:cnfStyle w:val="001000000000" w:firstRow="0" w:lastRow="0" w:firstColumn="1" w:lastColumn="0" w:oddVBand="0" w:evenVBand="0" w:oddHBand="0" w:evenHBand="0" w:firstRowFirstColumn="0" w:firstRowLastColumn="0" w:lastRowFirstColumn="0" w:lastRowLastColumn="0"/>
            <w:tcW w:w="5103" w:type="dxa"/>
            <w:shd w:val="clear" w:color="auto" w:fill="FDF0E7"/>
            <w:vAlign w:val="center"/>
          </w:tcPr>
          <w:p w14:paraId="6A2AACED" w14:textId="57ECB615" w:rsidR="004700EE" w:rsidRPr="000F23E0" w:rsidRDefault="004700EE" w:rsidP="009336F5">
            <w:pPr>
              <w:pStyle w:val="TableTextLeft"/>
            </w:pPr>
            <w:r w:rsidRPr="000F23E0">
              <w:t xml:space="preserve">No. of </w:t>
            </w:r>
            <w:r w:rsidR="00D355CB" w:rsidRPr="000F23E0">
              <w:t>EPBC-listed species benefited</w:t>
            </w:r>
          </w:p>
        </w:tc>
        <w:tc>
          <w:tcPr>
            <w:tcW w:w="709" w:type="dxa"/>
            <w:shd w:val="clear" w:color="auto" w:fill="FEFAF8"/>
            <w:vAlign w:val="center"/>
          </w:tcPr>
          <w:p w14:paraId="5E0CEFD1" w14:textId="1DB515B5" w:rsidR="004700EE" w:rsidRPr="000F23E0" w:rsidRDefault="002D0E71" w:rsidP="009336F5">
            <w:pPr>
              <w:pStyle w:val="TableTextRight"/>
              <w:cnfStyle w:val="000000000000" w:firstRow="0" w:lastRow="0" w:firstColumn="0" w:lastColumn="0" w:oddVBand="0" w:evenVBand="0" w:oddHBand="0" w:evenHBand="0" w:firstRowFirstColumn="0" w:firstRowLastColumn="0" w:lastRowFirstColumn="0" w:lastRowLastColumn="0"/>
            </w:pPr>
            <w:r w:rsidRPr="000F23E0">
              <w:t>76</w:t>
            </w:r>
          </w:p>
        </w:tc>
        <w:tc>
          <w:tcPr>
            <w:tcW w:w="1701" w:type="dxa"/>
            <w:shd w:val="clear" w:color="auto" w:fill="FEFAF8"/>
            <w:vAlign w:val="center"/>
          </w:tcPr>
          <w:p w14:paraId="31591B64" w14:textId="0DA7499A" w:rsidR="004700EE" w:rsidRPr="000F23E0" w:rsidRDefault="00A5146C" w:rsidP="009336F5">
            <w:pPr>
              <w:pStyle w:val="TableTextRight"/>
              <w:cnfStyle w:val="000000000000" w:firstRow="0" w:lastRow="0" w:firstColumn="0" w:lastColumn="0" w:oddVBand="0" w:evenVBand="0" w:oddHBand="0" w:evenHBand="0" w:firstRowFirstColumn="0" w:firstRowLastColumn="0" w:lastRowFirstColumn="0" w:lastRowLastColumn="0"/>
            </w:pPr>
            <w:r w:rsidRPr="000F23E0">
              <w:t>Projected</w:t>
            </w:r>
          </w:p>
        </w:tc>
        <w:tc>
          <w:tcPr>
            <w:tcW w:w="1557" w:type="dxa"/>
            <w:shd w:val="clear" w:color="auto" w:fill="FEFAF8"/>
            <w:vAlign w:val="center"/>
          </w:tcPr>
          <w:p w14:paraId="427C9C7A" w14:textId="5A32D304" w:rsidR="004700EE" w:rsidRPr="000F23E0" w:rsidRDefault="00601012" w:rsidP="009336F5">
            <w:pPr>
              <w:pStyle w:val="TableTextRight"/>
              <w:cnfStyle w:val="000000000000" w:firstRow="0" w:lastRow="0" w:firstColumn="0" w:lastColumn="0" w:oddVBand="0" w:evenVBand="0" w:oddHBand="0" w:evenHBand="0" w:firstRowFirstColumn="0" w:firstRowLastColumn="0" w:lastRowFirstColumn="0" w:lastRowLastColumn="0"/>
            </w:pPr>
            <w:r w:rsidRPr="000F23E0">
              <w:t>2025</w:t>
            </w:r>
            <w:r w:rsidR="00BB60BE" w:rsidRPr="000F23E0">
              <w:t>–</w:t>
            </w:r>
            <w:r w:rsidR="00AE1461" w:rsidRPr="000F23E0">
              <w:t>June 2028</w:t>
            </w:r>
          </w:p>
        </w:tc>
      </w:tr>
      <w:tr w:rsidR="007D254A" w:rsidRPr="000F23E0" w14:paraId="3A87A3DB" w14:textId="77777777" w:rsidTr="00C71B7B">
        <w:trPr>
          <w:trHeight w:val="340"/>
        </w:trPr>
        <w:tc>
          <w:tcPr>
            <w:cnfStyle w:val="001000000000" w:firstRow="0" w:lastRow="0" w:firstColumn="1" w:lastColumn="0" w:oddVBand="0" w:evenVBand="0" w:oddHBand="0" w:evenHBand="0" w:firstRowFirstColumn="0" w:firstRowLastColumn="0" w:lastRowFirstColumn="0" w:lastRowLastColumn="0"/>
            <w:tcW w:w="5103" w:type="dxa"/>
            <w:shd w:val="clear" w:color="auto" w:fill="FDF0E7"/>
            <w:vAlign w:val="center"/>
          </w:tcPr>
          <w:p w14:paraId="29CFFF52" w14:textId="066CCFDF" w:rsidR="004700EE" w:rsidRPr="000F23E0" w:rsidRDefault="00D355CB" w:rsidP="009336F5">
            <w:pPr>
              <w:pStyle w:val="TableTextLeft"/>
            </w:pPr>
            <w:r w:rsidRPr="000F23E0">
              <w:t>No. of EPBC-listed Threatened Ecological Communities benefited</w:t>
            </w:r>
          </w:p>
        </w:tc>
        <w:tc>
          <w:tcPr>
            <w:tcW w:w="709" w:type="dxa"/>
            <w:shd w:val="clear" w:color="auto" w:fill="FEFAF8"/>
            <w:vAlign w:val="center"/>
          </w:tcPr>
          <w:p w14:paraId="5089DD00" w14:textId="65BF4F44" w:rsidR="004700EE" w:rsidRPr="000F23E0" w:rsidRDefault="002D0E71" w:rsidP="009336F5">
            <w:pPr>
              <w:pStyle w:val="TableTextRight"/>
              <w:cnfStyle w:val="000000000000" w:firstRow="0" w:lastRow="0" w:firstColumn="0" w:lastColumn="0" w:oddVBand="0" w:evenVBand="0" w:oddHBand="0" w:evenHBand="0" w:firstRowFirstColumn="0" w:firstRowLastColumn="0" w:lastRowFirstColumn="0" w:lastRowLastColumn="0"/>
            </w:pPr>
            <w:r w:rsidRPr="000F23E0">
              <w:t>1</w:t>
            </w:r>
            <w:r w:rsidR="0017693E" w:rsidRPr="000F23E0">
              <w:t>9</w:t>
            </w:r>
          </w:p>
        </w:tc>
        <w:tc>
          <w:tcPr>
            <w:tcW w:w="1701" w:type="dxa"/>
            <w:shd w:val="clear" w:color="auto" w:fill="FEFAF8"/>
            <w:vAlign w:val="center"/>
          </w:tcPr>
          <w:p w14:paraId="53F020AA" w14:textId="7750D7FD" w:rsidR="004700EE" w:rsidRPr="000F23E0" w:rsidRDefault="00A5146C" w:rsidP="009336F5">
            <w:pPr>
              <w:pStyle w:val="TableTextRight"/>
              <w:cnfStyle w:val="000000000000" w:firstRow="0" w:lastRow="0" w:firstColumn="0" w:lastColumn="0" w:oddVBand="0" w:evenVBand="0" w:oddHBand="0" w:evenHBand="0" w:firstRowFirstColumn="0" w:firstRowLastColumn="0" w:lastRowFirstColumn="0" w:lastRowLastColumn="0"/>
            </w:pPr>
            <w:r w:rsidRPr="000F23E0">
              <w:t>Projected</w:t>
            </w:r>
          </w:p>
        </w:tc>
        <w:tc>
          <w:tcPr>
            <w:tcW w:w="1557" w:type="dxa"/>
            <w:shd w:val="clear" w:color="auto" w:fill="FEFAF8"/>
            <w:vAlign w:val="center"/>
          </w:tcPr>
          <w:p w14:paraId="3E220787" w14:textId="09298D56" w:rsidR="004700EE" w:rsidRPr="000F23E0" w:rsidRDefault="00AE1461" w:rsidP="009336F5">
            <w:pPr>
              <w:pStyle w:val="TableTextRight"/>
              <w:cnfStyle w:val="000000000000" w:firstRow="0" w:lastRow="0" w:firstColumn="0" w:lastColumn="0" w:oddVBand="0" w:evenVBand="0" w:oddHBand="0" w:evenHBand="0" w:firstRowFirstColumn="0" w:firstRowLastColumn="0" w:lastRowFirstColumn="0" w:lastRowLastColumn="0"/>
            </w:pPr>
            <w:r w:rsidRPr="000F23E0">
              <w:t>2025</w:t>
            </w:r>
            <w:r w:rsidR="00BB60BE" w:rsidRPr="000F23E0">
              <w:t>–</w:t>
            </w:r>
            <w:r w:rsidRPr="000F23E0">
              <w:t>June 2028</w:t>
            </w:r>
          </w:p>
        </w:tc>
      </w:tr>
      <w:tr w:rsidR="007D254A" w:rsidRPr="000F23E0" w14:paraId="7D540A7F" w14:textId="77777777" w:rsidTr="00C71B7B">
        <w:trPr>
          <w:trHeight w:val="340"/>
        </w:trPr>
        <w:tc>
          <w:tcPr>
            <w:cnfStyle w:val="001000000000" w:firstRow="0" w:lastRow="0" w:firstColumn="1" w:lastColumn="0" w:oddVBand="0" w:evenVBand="0" w:oddHBand="0" w:evenHBand="0" w:firstRowFirstColumn="0" w:firstRowLastColumn="0" w:lastRowFirstColumn="0" w:lastRowLastColumn="0"/>
            <w:tcW w:w="5103" w:type="dxa"/>
            <w:shd w:val="clear" w:color="auto" w:fill="FDF0E7"/>
            <w:vAlign w:val="center"/>
          </w:tcPr>
          <w:p w14:paraId="00A5CBEC" w14:textId="40179C59" w:rsidR="004700EE" w:rsidRPr="000F23E0" w:rsidRDefault="004700EE" w:rsidP="009336F5">
            <w:pPr>
              <w:pStyle w:val="TableTextLeft"/>
            </w:pPr>
            <w:r w:rsidRPr="000F23E0">
              <w:t xml:space="preserve">No. of </w:t>
            </w:r>
            <w:r w:rsidR="00D355CB" w:rsidRPr="000F23E0">
              <w:t>Ramsar-listed wetlands benefited</w:t>
            </w:r>
          </w:p>
        </w:tc>
        <w:tc>
          <w:tcPr>
            <w:tcW w:w="709" w:type="dxa"/>
            <w:shd w:val="clear" w:color="auto" w:fill="FEFAF8"/>
            <w:vAlign w:val="center"/>
          </w:tcPr>
          <w:p w14:paraId="7DCE85C2" w14:textId="513A5A84" w:rsidR="004700EE" w:rsidRPr="000F23E0" w:rsidRDefault="002D0E71" w:rsidP="009336F5">
            <w:pPr>
              <w:pStyle w:val="TableTextRight"/>
              <w:cnfStyle w:val="000000000000" w:firstRow="0" w:lastRow="0" w:firstColumn="0" w:lastColumn="0" w:oddVBand="0" w:evenVBand="0" w:oddHBand="0" w:evenHBand="0" w:firstRowFirstColumn="0" w:firstRowLastColumn="0" w:lastRowFirstColumn="0" w:lastRowLastColumn="0"/>
            </w:pPr>
            <w:r w:rsidRPr="000F23E0">
              <w:t>9</w:t>
            </w:r>
          </w:p>
        </w:tc>
        <w:tc>
          <w:tcPr>
            <w:tcW w:w="1701" w:type="dxa"/>
            <w:shd w:val="clear" w:color="auto" w:fill="FEFAF8"/>
            <w:vAlign w:val="center"/>
          </w:tcPr>
          <w:p w14:paraId="76EE6660" w14:textId="737B0183" w:rsidR="004700EE" w:rsidRPr="000F23E0" w:rsidRDefault="00A5146C" w:rsidP="009336F5">
            <w:pPr>
              <w:pStyle w:val="TableTextRight"/>
              <w:cnfStyle w:val="000000000000" w:firstRow="0" w:lastRow="0" w:firstColumn="0" w:lastColumn="0" w:oddVBand="0" w:evenVBand="0" w:oddHBand="0" w:evenHBand="0" w:firstRowFirstColumn="0" w:firstRowLastColumn="0" w:lastRowFirstColumn="0" w:lastRowLastColumn="0"/>
            </w:pPr>
            <w:r w:rsidRPr="000F23E0">
              <w:t>Projected</w:t>
            </w:r>
          </w:p>
        </w:tc>
        <w:tc>
          <w:tcPr>
            <w:tcW w:w="1557" w:type="dxa"/>
            <w:shd w:val="clear" w:color="auto" w:fill="FEFAF8"/>
            <w:vAlign w:val="center"/>
          </w:tcPr>
          <w:p w14:paraId="32DA574E" w14:textId="366C69E4" w:rsidR="004700EE" w:rsidRPr="000F23E0" w:rsidRDefault="00AE1461" w:rsidP="009336F5">
            <w:pPr>
              <w:pStyle w:val="TableTextRight"/>
              <w:cnfStyle w:val="000000000000" w:firstRow="0" w:lastRow="0" w:firstColumn="0" w:lastColumn="0" w:oddVBand="0" w:evenVBand="0" w:oddHBand="0" w:evenHBand="0" w:firstRowFirstColumn="0" w:firstRowLastColumn="0" w:lastRowFirstColumn="0" w:lastRowLastColumn="0"/>
            </w:pPr>
            <w:r w:rsidRPr="000F23E0">
              <w:t>2025</w:t>
            </w:r>
            <w:r w:rsidR="00BB60BE" w:rsidRPr="000F23E0">
              <w:t>–</w:t>
            </w:r>
            <w:r w:rsidRPr="000F23E0">
              <w:t>June 2028</w:t>
            </w:r>
          </w:p>
        </w:tc>
      </w:tr>
    </w:tbl>
    <w:p w14:paraId="47FC6520" w14:textId="1D260BAD" w:rsidR="00863284" w:rsidRPr="000F23E0" w:rsidRDefault="00863284" w:rsidP="00752C5F">
      <w:pPr>
        <w:pStyle w:val="Heading4"/>
      </w:pPr>
      <w:r w:rsidRPr="000F23E0">
        <w:t xml:space="preserve">Social </w:t>
      </w:r>
      <w:r w:rsidR="00252EAA" w:rsidRPr="000F23E0">
        <w:t>c</w:t>
      </w:r>
      <w:r w:rsidRPr="000F23E0">
        <w:t>o</w:t>
      </w:r>
      <w:r w:rsidR="002C4475" w:rsidRPr="000F23E0">
        <w:noBreakHyphen/>
      </w:r>
      <w:r w:rsidRPr="000F23E0">
        <w:t>benefits</w:t>
      </w:r>
    </w:p>
    <w:p w14:paraId="5B0F5293" w14:textId="18068068" w:rsidR="00621FB3" w:rsidRPr="000F23E0" w:rsidRDefault="00621FB3" w:rsidP="00CC2E68">
      <w:r w:rsidRPr="000F23E0">
        <w:t>Social co</w:t>
      </w:r>
      <w:r w:rsidR="002C4475" w:rsidRPr="000F23E0">
        <w:noBreakHyphen/>
      </w:r>
      <w:r w:rsidRPr="000F23E0">
        <w:t xml:space="preserve">benefits of URCP include the improvement of urban </w:t>
      </w:r>
      <w:r w:rsidR="002C4475" w:rsidRPr="000F23E0">
        <w:t>‘</w:t>
      </w:r>
      <w:r w:rsidRPr="000F23E0">
        <w:t>green</w:t>
      </w:r>
      <w:r w:rsidR="002C4475" w:rsidRPr="000F23E0">
        <w:t>’</w:t>
      </w:r>
      <w:r w:rsidRPr="000F23E0">
        <w:t xml:space="preserve"> and </w:t>
      </w:r>
      <w:r w:rsidR="002C4475" w:rsidRPr="000F23E0">
        <w:t>‘</w:t>
      </w:r>
      <w:r w:rsidRPr="000F23E0">
        <w:t>blue</w:t>
      </w:r>
      <w:r w:rsidR="002C4475" w:rsidRPr="000F23E0">
        <w:t>’</w:t>
      </w:r>
      <w:r w:rsidRPr="000F23E0">
        <w:t xml:space="preserve"> space, including improved community access to nature, improved water quality to benefit public health, and increased shading to help reduce urban heat</w:t>
      </w:r>
      <w:r w:rsidR="002C4475" w:rsidRPr="000F23E0">
        <w:noBreakHyphen/>
      </w:r>
      <w:r w:rsidRPr="000F23E0">
        <w:t xml:space="preserve">related impacts due to climate change. </w:t>
      </w:r>
    </w:p>
    <w:p w14:paraId="4B54FC08" w14:textId="716FAC67" w:rsidR="00C16611" w:rsidRPr="000F23E0" w:rsidRDefault="00A563DD" w:rsidP="00C16611">
      <w:r w:rsidRPr="000F23E0">
        <w:t>Most</w:t>
      </w:r>
      <w:r w:rsidR="00621FB3" w:rsidRPr="000F23E0">
        <w:t xml:space="preserve"> projects include First Nations organisations in project delivery including engagement and/or employment opportunities.</w:t>
      </w:r>
      <w:r w:rsidR="00DC42DF" w:rsidRPr="000F23E0">
        <w:t xml:space="preserve"> </w:t>
      </w:r>
      <w:r w:rsidR="00621FB3" w:rsidRPr="000F23E0">
        <w:t>Many projects are also actively involving local community volunteers and organisations, providing opportunities to improve mental and physical health, social connections, skills and abilities.</w:t>
      </w:r>
    </w:p>
    <w:tbl>
      <w:tblPr>
        <w:tblStyle w:val="BoxStyle"/>
        <w:tblW w:w="5000" w:type="pct"/>
        <w:shd w:val="clear" w:color="auto" w:fill="FDF0E7"/>
        <w:tblCellMar>
          <w:top w:w="113" w:type="dxa"/>
          <w:bottom w:w="170" w:type="dxa"/>
        </w:tblCellMar>
        <w:tblLook w:val="0600" w:firstRow="0" w:lastRow="0" w:firstColumn="0" w:lastColumn="0" w:noHBand="1" w:noVBand="1"/>
      </w:tblPr>
      <w:tblGrid>
        <w:gridCol w:w="9070"/>
      </w:tblGrid>
      <w:tr w:rsidR="00965A93" w:rsidRPr="000F23E0" w14:paraId="31C130A2" w14:textId="77777777" w:rsidTr="00120A4B">
        <w:tc>
          <w:tcPr>
            <w:tcW w:w="5000" w:type="pct"/>
            <w:shd w:val="clear" w:color="auto" w:fill="FDF0E7"/>
            <w:hideMark/>
          </w:tcPr>
          <w:p w14:paraId="327484B7" w14:textId="77777777" w:rsidR="00965A93" w:rsidRPr="000F23E0" w:rsidRDefault="00965A93" w:rsidP="00965A93">
            <w:pPr>
              <w:pStyle w:val="Caseheading"/>
            </w:pPr>
            <w:bookmarkStart w:id="314" w:name="_Hlk222319693"/>
            <w:r w:rsidRPr="000F23E0">
              <w:lastRenderedPageBreak/>
              <w:t>Case study 11: Bringing Cox Creek back to life – restoring a biodiversity hotspot in the Adelaide Hills</w:t>
            </w:r>
          </w:p>
          <w:p w14:paraId="36849437" w14:textId="6110CF9C" w:rsidR="00965A93" w:rsidRPr="000F23E0" w:rsidRDefault="00965A93" w:rsidP="00D05E2B">
            <w:pPr>
              <w:pStyle w:val="BoxText"/>
              <w:rPr>
                <w:b/>
              </w:rPr>
            </w:pPr>
            <w:r w:rsidRPr="000F23E0">
              <w:t>Winding through the heart of the Adelaide Hills, Cox Creek is a vibrant waterway teeming with life. As the</w:t>
            </w:r>
            <w:r w:rsidR="00EA09EA" w:rsidRPr="000F23E0">
              <w:t> </w:t>
            </w:r>
            <w:r w:rsidRPr="000F23E0">
              <w:t xml:space="preserve">home of iconic native species like the Australasian bittern, southern brown bandicoot, rakali, and </w:t>
            </w:r>
            <w:r w:rsidR="00080BFE" w:rsidRPr="000F23E0">
              <w:t>W</w:t>
            </w:r>
            <w:r w:rsidRPr="000F23E0">
              <w:t xml:space="preserve">estern </w:t>
            </w:r>
            <w:r w:rsidR="00080BFE" w:rsidRPr="000F23E0">
              <w:t>B</w:t>
            </w:r>
            <w:r w:rsidRPr="000F23E0">
              <w:t>assian thrush, this small creek plays a big role in local biodiversity. </w:t>
            </w:r>
          </w:p>
          <w:p w14:paraId="1736DD79" w14:textId="77777777" w:rsidR="00965A93" w:rsidRPr="000F23E0" w:rsidRDefault="00965A93" w:rsidP="00D05E2B">
            <w:pPr>
              <w:pStyle w:val="BoxText"/>
              <w:rPr>
                <w:b/>
              </w:rPr>
            </w:pPr>
            <w:r w:rsidRPr="000F23E0">
              <w:t>But years of historic land use and the spread of invasive woody weeds had taken a toll. Unstable creek banks, increased sedimentation and a sharp decline in native vegetation threatened the health of this treasured ecosystem and its benefit to the local community. </w:t>
            </w:r>
          </w:p>
          <w:p w14:paraId="2EDB161E" w14:textId="77777777" w:rsidR="00965A93" w:rsidRPr="000F23E0" w:rsidRDefault="00965A93" w:rsidP="00D05E2B">
            <w:pPr>
              <w:pStyle w:val="BoxText"/>
              <w:rPr>
                <w:b/>
              </w:rPr>
            </w:pPr>
            <w:r w:rsidRPr="000F23E0">
              <w:t>That is now changing. </w:t>
            </w:r>
          </w:p>
          <w:p w14:paraId="25EC485A" w14:textId="77777777" w:rsidR="00965A93" w:rsidRPr="000F23E0" w:rsidRDefault="00965A93" w:rsidP="00D05E2B">
            <w:pPr>
              <w:pStyle w:val="BoxText"/>
              <w:rPr>
                <w:b/>
              </w:rPr>
            </w:pPr>
            <w:r w:rsidRPr="000F23E0">
              <w:t>In 2025, Adelaide Hills Council was awarded a $1.98 million grant through Round 2 of the Australian Government’s Urban Rivers and Catchments Program, leveraging an additional $610,000 in council and stakeholder contributions to launch the Cox Creek Bridgewater Restoration Project. </w:t>
            </w:r>
          </w:p>
          <w:p w14:paraId="74A07B29" w14:textId="77777777" w:rsidR="00965A93" w:rsidRPr="000F23E0" w:rsidRDefault="00965A93" w:rsidP="00D05E2B">
            <w:pPr>
              <w:pStyle w:val="BoxText"/>
              <w:rPr>
                <w:b/>
              </w:rPr>
            </w:pPr>
            <w:r w:rsidRPr="000F23E0">
              <w:t>This ambitious project is tackling the creek's challenges head-on through: </w:t>
            </w:r>
          </w:p>
          <w:p w14:paraId="4BA1C543" w14:textId="77777777" w:rsidR="00965A93" w:rsidRPr="000F23E0" w:rsidRDefault="00965A93" w:rsidP="00D05E2B">
            <w:pPr>
              <w:pStyle w:val="Boxbullet"/>
              <w:rPr>
                <w:b/>
              </w:rPr>
            </w:pPr>
            <w:r w:rsidRPr="000F23E0">
              <w:t>removal of dense, habitat-altering woody weeds </w:t>
            </w:r>
          </w:p>
          <w:p w14:paraId="18196E70" w14:textId="77777777" w:rsidR="00965A93" w:rsidRPr="000F23E0" w:rsidRDefault="00965A93" w:rsidP="00D05E2B">
            <w:pPr>
              <w:pStyle w:val="Boxbullet"/>
              <w:rPr>
                <w:b/>
              </w:rPr>
            </w:pPr>
            <w:r w:rsidRPr="000F23E0">
              <w:t>stabilisation of eroding stream banks </w:t>
            </w:r>
          </w:p>
          <w:p w14:paraId="22AE8306" w14:textId="77777777" w:rsidR="00965A93" w:rsidRPr="000F23E0" w:rsidRDefault="00965A93" w:rsidP="00D05E2B">
            <w:pPr>
              <w:pStyle w:val="Boxbullet"/>
              <w:rPr>
                <w:b/>
              </w:rPr>
            </w:pPr>
            <w:r w:rsidRPr="000F23E0">
              <w:t>riparian restoration using native species.</w:t>
            </w:r>
          </w:p>
          <w:p w14:paraId="1BE549D5" w14:textId="3ABFFDA9" w:rsidR="00965A93" w:rsidRPr="000F23E0" w:rsidRDefault="00965A93" w:rsidP="00D05E2B">
            <w:pPr>
              <w:pStyle w:val="BoxText"/>
              <w:rPr>
                <w:b/>
              </w:rPr>
            </w:pPr>
            <w:r w:rsidRPr="000F23E0">
              <w:t>One of the most striking early wins came in mid</w:t>
            </w:r>
            <w:r w:rsidR="00080BFE" w:rsidRPr="000F23E0">
              <w:t>–</w:t>
            </w:r>
            <w:r w:rsidRPr="000F23E0">
              <w:t>2025. Despite the ecological concern of an unprecedented dry summer – the first time Cox Creek ran dry in recorded history – the project team seized an opportunity. With access to the dry creek bed, they moved swiftly, clearing over 6 hectares of willow and ash infestations well ahead of schedule.</w:t>
            </w:r>
          </w:p>
          <w:p w14:paraId="464E4340" w14:textId="77777777" w:rsidR="00965A93" w:rsidRPr="000F23E0" w:rsidRDefault="00965A93" w:rsidP="00D05E2B">
            <w:pPr>
              <w:pStyle w:val="BoxText"/>
              <w:rPr>
                <w:b/>
              </w:rPr>
            </w:pPr>
            <w:r w:rsidRPr="000F23E0">
              <w:t>These early actions have: </w:t>
            </w:r>
          </w:p>
          <w:p w14:paraId="4376C40B" w14:textId="77777777" w:rsidR="00965A93" w:rsidRPr="000F23E0" w:rsidRDefault="00965A93" w:rsidP="00D05E2B">
            <w:pPr>
              <w:pStyle w:val="Boxbullet"/>
              <w:rPr>
                <w:b/>
              </w:rPr>
            </w:pPr>
            <w:r w:rsidRPr="000F23E0">
              <w:t>accelerated the project timeline </w:t>
            </w:r>
          </w:p>
          <w:p w14:paraId="3E4BB303" w14:textId="77777777" w:rsidR="00965A93" w:rsidRPr="000F23E0" w:rsidRDefault="00965A93" w:rsidP="00D05E2B">
            <w:pPr>
              <w:pStyle w:val="Boxbullet"/>
              <w:rPr>
                <w:b/>
              </w:rPr>
            </w:pPr>
            <w:r w:rsidRPr="000F23E0">
              <w:t>reduced future maintenance costs </w:t>
            </w:r>
          </w:p>
          <w:p w14:paraId="791F4BD5" w14:textId="77777777" w:rsidR="00965A93" w:rsidRPr="000F23E0" w:rsidRDefault="00965A93" w:rsidP="00D05E2B">
            <w:pPr>
              <w:pStyle w:val="Boxbullet"/>
              <w:rPr>
                <w:b/>
              </w:rPr>
            </w:pPr>
            <w:r w:rsidRPr="000F23E0">
              <w:t>opened up new opportunities for native revegetation. </w:t>
            </w:r>
          </w:p>
          <w:p w14:paraId="40AD311A" w14:textId="32C61FC6" w:rsidR="00965A93" w:rsidRPr="000F23E0" w:rsidRDefault="00965A93" w:rsidP="00D05E2B">
            <w:pPr>
              <w:pStyle w:val="BoxText"/>
            </w:pPr>
            <w:r w:rsidRPr="000F23E0">
              <w:t>With momentum building and the community behind it, Cox Creek is on track for an ecological comeback,securing the future of its native species and reaffirming its place as a natural jewel in the Adelaide Hills landscape. </w:t>
            </w:r>
          </w:p>
          <w:tbl>
            <w:tblPr>
              <w:tblStyle w:val="TableGrid"/>
              <w:tblW w:w="0" w:type="auto"/>
              <w:tblCellMar>
                <w:left w:w="0" w:type="dxa"/>
                <w:right w:w="0" w:type="dxa"/>
              </w:tblCellMar>
              <w:tblLook w:val="04A0" w:firstRow="1" w:lastRow="0" w:firstColumn="1" w:lastColumn="0" w:noHBand="0" w:noVBand="1"/>
            </w:tblPr>
            <w:tblGrid>
              <w:gridCol w:w="4251"/>
              <w:gridCol w:w="4251"/>
            </w:tblGrid>
            <w:tr w:rsidR="00955A88" w:rsidRPr="000F23E0" w14:paraId="7949C06D" w14:textId="77777777" w:rsidTr="00955A88">
              <w:trPr>
                <w:cnfStyle w:val="100000000000" w:firstRow="1" w:lastRow="0" w:firstColumn="0" w:lastColumn="0" w:oddVBand="0" w:evenVBand="0" w:oddHBand="0" w:evenHBand="0" w:firstRowFirstColumn="0" w:firstRowLastColumn="0" w:lastRowFirstColumn="0" w:lastRowLastColumn="0"/>
              </w:trPr>
              <w:tc>
                <w:tcPr>
                  <w:tcW w:w="4251" w:type="dxa"/>
                  <w:shd w:val="clear" w:color="auto" w:fill="auto"/>
                </w:tcPr>
                <w:p w14:paraId="76917387" w14:textId="7F09E327" w:rsidR="00955A88" w:rsidRPr="000F23E0" w:rsidRDefault="00955A88" w:rsidP="00955A88">
                  <w:pPr>
                    <w:pStyle w:val="ChartorTableNote"/>
                    <w:rPr>
                      <w:sz w:val="20"/>
                    </w:rPr>
                  </w:pPr>
                  <w:r w:rsidRPr="000F23E0">
                    <w:t>Before</w:t>
                  </w:r>
                </w:p>
                <w:p w14:paraId="11581D0F" w14:textId="13F9F0A4" w:rsidR="00955A88" w:rsidRPr="000F23E0" w:rsidRDefault="00955A88" w:rsidP="00D05E2B">
                  <w:pPr>
                    <w:pStyle w:val="BoxText"/>
                    <w:rPr>
                      <w:b w:val="0"/>
                    </w:rPr>
                  </w:pPr>
                  <w:r w:rsidRPr="000F23E0">
                    <w:drawing>
                      <wp:inline distT="0" distB="0" distL="0" distR="0" wp14:anchorId="040CC275" wp14:editId="72D2B435">
                        <wp:extent cx="2663187" cy="1426866"/>
                        <wp:effectExtent l="0" t="0" r="4445" b="1905"/>
                        <wp:docPr id="1194087351" name="Picture 18" descr="Thick bushland with a wire fence alongside on the left of the pho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189000" name="Picture 18" descr="Thick bushland with a wire fence alongside on the left of the photo. "/>
                                <pic:cNvPicPr/>
                              </pic:nvPicPr>
                              <pic:blipFill rotWithShape="1">
                                <a:blip r:embed="rId104" cstate="print">
                                  <a:extLst>
                                    <a:ext uri="{28A0092B-C50C-407E-A947-70E740481C1C}">
                                      <a14:useLocalDpi xmlns:a14="http://schemas.microsoft.com/office/drawing/2010/main" val="0"/>
                                    </a:ext>
                                  </a:extLst>
                                </a:blip>
                                <a:srcRect/>
                                <a:stretch>
                                  <a:fillRect/>
                                </a:stretch>
                              </pic:blipFill>
                              <pic:spPr bwMode="auto">
                                <a:xfrm>
                                  <a:off x="0" y="0"/>
                                  <a:ext cx="2663190" cy="1426868"/>
                                </a:xfrm>
                                <a:prstGeom prst="rect">
                                  <a:avLst/>
                                </a:prstGeom>
                                <a:ln>
                                  <a:noFill/>
                                </a:ln>
                                <a:extLst>
                                  <a:ext uri="{53640926-AAD7-44D8-BBD7-CCE9431645EC}">
                                    <a14:shadowObscured xmlns:a14="http://schemas.microsoft.com/office/drawing/2010/main"/>
                                  </a:ext>
                                </a:extLst>
                              </pic:spPr>
                            </pic:pic>
                          </a:graphicData>
                        </a:graphic>
                      </wp:inline>
                    </w:drawing>
                  </w:r>
                </w:p>
              </w:tc>
              <w:tc>
                <w:tcPr>
                  <w:tcW w:w="4251" w:type="dxa"/>
                  <w:shd w:val="clear" w:color="auto" w:fill="auto"/>
                </w:tcPr>
                <w:p w14:paraId="3110904E" w14:textId="61A33C54" w:rsidR="00955A88" w:rsidRPr="000F23E0" w:rsidRDefault="00955A88" w:rsidP="00955A88">
                  <w:pPr>
                    <w:pStyle w:val="ChartorTableNote"/>
                    <w:rPr>
                      <w:sz w:val="20"/>
                    </w:rPr>
                  </w:pPr>
                  <w:r w:rsidRPr="000F23E0">
                    <w:t>After</w:t>
                  </w:r>
                </w:p>
                <w:p w14:paraId="7C5F90FA" w14:textId="1D63E9F0" w:rsidR="00955A88" w:rsidRPr="000F23E0" w:rsidRDefault="00955A88" w:rsidP="00D05E2B">
                  <w:pPr>
                    <w:pStyle w:val="BoxText"/>
                  </w:pPr>
                  <w:r w:rsidRPr="000F23E0">
                    <w:drawing>
                      <wp:inline distT="0" distB="0" distL="0" distR="0" wp14:anchorId="1D124FAA" wp14:editId="7E6B3B66">
                        <wp:extent cx="2667774" cy="1426845"/>
                        <wp:effectExtent l="0" t="0" r="0" b="1905"/>
                        <wp:docPr id="1406662874" name="Picture 19" descr="Bushland that has been cleared. Metal fence on the left side of the pho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802077" name="Picture 19" descr="Bushland that has been cleared. Metal fence on the left side of the photo. "/>
                                <pic:cNvPicPr/>
                              </pic:nvPicPr>
                              <pic:blipFill rotWithShape="1">
                                <a:blip r:embed="rId105" cstate="print">
                                  <a:extLst>
                                    <a:ext uri="{28A0092B-C50C-407E-A947-70E740481C1C}">
                                      <a14:useLocalDpi xmlns:a14="http://schemas.microsoft.com/office/drawing/2010/main" val="0"/>
                                    </a:ext>
                                  </a:extLst>
                                </a:blip>
                                <a:srcRect/>
                                <a:stretch>
                                  <a:fillRect/>
                                </a:stretch>
                              </pic:blipFill>
                              <pic:spPr bwMode="auto">
                                <a:xfrm>
                                  <a:off x="0" y="0"/>
                                  <a:ext cx="2668677" cy="1427328"/>
                                </a:xfrm>
                                <a:prstGeom prst="rect">
                                  <a:avLst/>
                                </a:prstGeom>
                                <a:ln>
                                  <a:noFill/>
                                </a:ln>
                                <a:extLst>
                                  <a:ext uri="{53640926-AAD7-44D8-BBD7-CCE9431645EC}">
                                    <a14:shadowObscured xmlns:a14="http://schemas.microsoft.com/office/drawing/2010/main"/>
                                  </a:ext>
                                </a:extLst>
                              </pic:spPr>
                            </pic:pic>
                          </a:graphicData>
                        </a:graphic>
                      </wp:inline>
                    </w:drawing>
                  </w:r>
                </w:p>
              </w:tc>
            </w:tr>
          </w:tbl>
          <w:p w14:paraId="537B064E" w14:textId="698F3A37" w:rsidR="00D9048C" w:rsidRPr="000F23E0" w:rsidRDefault="00955A88" w:rsidP="00955A88">
            <w:pPr>
              <w:pStyle w:val="ChartorTableNote"/>
              <w:spacing w:after="120"/>
              <w:jc w:val="left"/>
            </w:pPr>
            <w:r w:rsidRPr="000F23E0">
              <w:rPr>
                <w:rFonts w:eastAsiaTheme="minorHAnsi"/>
              </w:rPr>
              <w:t xml:space="preserve">Before and after: </w:t>
            </w:r>
            <w:r w:rsidR="00D9048C" w:rsidRPr="000F23E0">
              <w:rPr>
                <w:rFonts w:eastAsiaTheme="minorHAnsi"/>
              </w:rPr>
              <w:t>Restoration case study photos showing before and after</w:t>
            </w:r>
            <w:r w:rsidR="00D9048C" w:rsidRPr="000F23E0">
              <w:t xml:space="preserve"> </w:t>
            </w:r>
            <w:r w:rsidR="00D9048C" w:rsidRPr="000F23E0">
              <w:rPr>
                <w:rFonts w:eastAsiaTheme="minorHAnsi"/>
              </w:rPr>
              <w:t xml:space="preserve">images at </w:t>
            </w:r>
            <w:r w:rsidR="00503526" w:rsidRPr="000F23E0">
              <w:rPr>
                <w:rFonts w:eastAsiaTheme="minorHAnsi"/>
              </w:rPr>
              <w:t>Mt George Conservation Park</w:t>
            </w:r>
            <w:r w:rsidR="00D9048C" w:rsidRPr="000F23E0">
              <w:rPr>
                <w:rFonts w:eastAsiaTheme="minorHAnsi"/>
              </w:rPr>
              <w:t xml:space="preserve">, </w:t>
            </w:r>
            <w:r w:rsidR="007C5758" w:rsidRPr="000F23E0">
              <w:rPr>
                <w:rFonts w:eastAsiaTheme="minorHAnsi"/>
              </w:rPr>
              <w:t>South Australia</w:t>
            </w:r>
            <w:r w:rsidR="00D9048C" w:rsidRPr="000F23E0">
              <w:rPr>
                <w:rFonts w:eastAsiaTheme="minorHAnsi"/>
              </w:rPr>
              <w:t>. Photo courtesy of Peter Watton.</w:t>
            </w:r>
          </w:p>
          <w:p w14:paraId="1120C8BA" w14:textId="2A91C8E3" w:rsidR="00965A93" w:rsidRPr="000F23E0" w:rsidRDefault="00965A93" w:rsidP="00D05E2B">
            <w:pPr>
              <w:pStyle w:val="BoxText"/>
            </w:pPr>
            <w:r w:rsidRPr="000F23E0">
              <w:t xml:space="preserve">During restoration works contractors recorded a </w:t>
            </w:r>
            <w:r w:rsidR="00080BFE" w:rsidRPr="000F23E0">
              <w:t>B</w:t>
            </w:r>
            <w:r w:rsidRPr="000F23E0">
              <w:t>assian thrush (</w:t>
            </w:r>
            <w:r w:rsidRPr="000F23E0">
              <w:rPr>
                <w:i/>
              </w:rPr>
              <w:t>Zoothera lunulata halmaturina</w:t>
            </w:r>
            <w:r w:rsidRPr="000F23E0">
              <w:t>) at Mt</w:t>
            </w:r>
            <w:r w:rsidR="00120A4B" w:rsidRPr="000F23E0">
              <w:t> </w:t>
            </w:r>
            <w:r w:rsidRPr="000F23E0">
              <w:t>George Conservation Park. This endangered species, whose status heightened after the Kangaroo Island bushfires, is an insectivorous ground-feeder reliant on dense, moist understorey (habitat this project is restoring to the landscape). </w:t>
            </w:r>
          </w:p>
        </w:tc>
      </w:tr>
    </w:tbl>
    <w:p w14:paraId="7B4E4ABA" w14:textId="66A8FC27" w:rsidR="00621FB3" w:rsidRPr="000F23E0" w:rsidRDefault="00D3586C" w:rsidP="00557D2D">
      <w:pPr>
        <w:pStyle w:val="Heading1"/>
      </w:pPr>
      <w:bookmarkStart w:id="315" w:name="_Toc188028331"/>
      <w:bookmarkStart w:id="316" w:name="_Toc225155792"/>
      <w:bookmarkEnd w:id="314"/>
      <w:r w:rsidRPr="000F23E0">
        <w:lastRenderedPageBreak/>
        <w:t xml:space="preserve">Chapter 7: </w:t>
      </w:r>
      <w:r w:rsidR="00BE5E05" w:rsidRPr="000F23E0">
        <w:t>Biodiversity conservation</w:t>
      </w:r>
      <w:r w:rsidR="00A45DC2" w:rsidRPr="000F23E0">
        <w:t xml:space="preserve"> (terrestrial and aquatic)</w:t>
      </w:r>
      <w:bookmarkEnd w:id="315"/>
      <w:bookmarkEnd w:id="316"/>
    </w:p>
    <w:p w14:paraId="2DD2A6D7" w14:textId="25D2894D" w:rsidR="00EA74EB" w:rsidRPr="000F23E0" w:rsidRDefault="00C23E75" w:rsidP="0048145F">
      <w:r w:rsidRPr="000F23E0">
        <w:t>The Australian</w:t>
      </w:r>
      <w:r w:rsidR="0035756F" w:rsidRPr="000F23E0">
        <w:t xml:space="preserve"> continent and surrounding seas support 600,000–700,000 native species</w:t>
      </w:r>
      <w:r w:rsidR="00C76E87" w:rsidRPr="000F23E0">
        <w:t>.</w:t>
      </w:r>
      <w:r w:rsidR="003E3A99" w:rsidRPr="000F23E0">
        <w:t xml:space="preserve"> A</w:t>
      </w:r>
      <w:r w:rsidR="0035756F" w:rsidRPr="000F23E0">
        <w:t xml:space="preserve"> high proportion of </w:t>
      </w:r>
      <w:r w:rsidR="00C76E87" w:rsidRPr="000F23E0">
        <w:t xml:space="preserve">which </w:t>
      </w:r>
      <w:r w:rsidR="0035756F" w:rsidRPr="000F23E0">
        <w:t>are found nowhere else in the world.</w:t>
      </w:r>
      <w:r w:rsidR="00C476C2" w:rsidRPr="000F23E0">
        <w:t xml:space="preserve"> </w:t>
      </w:r>
      <w:r w:rsidR="005F7C3D" w:rsidRPr="000F23E0">
        <w:t>About 85</w:t>
      </w:r>
      <w:r w:rsidR="003014F9" w:rsidRPr="000F23E0">
        <w:t xml:space="preserve"> per cent</w:t>
      </w:r>
      <w:r w:rsidR="005F7C3D" w:rsidRPr="000F23E0">
        <w:t xml:space="preserve"> of Australia</w:t>
      </w:r>
      <w:r w:rsidR="002C4475" w:rsidRPr="000F23E0">
        <w:t>’</w:t>
      </w:r>
      <w:r w:rsidR="005F7C3D" w:rsidRPr="000F23E0">
        <w:t xml:space="preserve">s plant species are endemic to the continent </w:t>
      </w:r>
      <w:r w:rsidR="003E3A99" w:rsidRPr="000F23E0">
        <w:t>which</w:t>
      </w:r>
      <w:r w:rsidR="005F7C3D" w:rsidRPr="000F23E0">
        <w:t xml:space="preserve"> is home to half of the world</w:t>
      </w:r>
      <w:r w:rsidR="002C4475" w:rsidRPr="000F23E0">
        <w:t>’</w:t>
      </w:r>
      <w:r w:rsidR="005F7C3D" w:rsidRPr="000F23E0">
        <w:t>s marsupial species.</w:t>
      </w:r>
    </w:p>
    <w:p w14:paraId="4617607B" w14:textId="68329BFE" w:rsidR="00B02F77" w:rsidRPr="000F23E0" w:rsidRDefault="005F7C3D" w:rsidP="0048145F">
      <w:r w:rsidRPr="000F23E0">
        <w:t xml:space="preserve">However, </w:t>
      </w:r>
      <w:r w:rsidR="00DD1F8D" w:rsidRPr="000F23E0">
        <w:t>Australia</w:t>
      </w:r>
      <w:r w:rsidR="002C4475" w:rsidRPr="000F23E0">
        <w:t>’</w:t>
      </w:r>
      <w:r w:rsidR="00DD1F8D" w:rsidRPr="000F23E0">
        <w:t>s biodiversit</w:t>
      </w:r>
      <w:r w:rsidR="00924A35" w:rsidRPr="000F23E0">
        <w:t xml:space="preserve">y has suffered the largest documented decline in biodiversity of any continent over the last 200 years. </w:t>
      </w:r>
      <w:r w:rsidR="00D17B5C" w:rsidRPr="000F23E0">
        <w:t>T</w:t>
      </w:r>
      <w:r w:rsidR="0011585E" w:rsidRPr="000F23E0">
        <w:t xml:space="preserve">hreats that affect the largest number of listed species </w:t>
      </w:r>
      <w:r w:rsidR="00A33248" w:rsidRPr="000F23E0">
        <w:t xml:space="preserve">include </w:t>
      </w:r>
      <w:r w:rsidR="005C5F66" w:rsidRPr="000F23E0">
        <w:t>i</w:t>
      </w:r>
      <w:r w:rsidR="0011585E" w:rsidRPr="000F23E0">
        <w:t>nvasive species</w:t>
      </w:r>
      <w:r w:rsidR="00A33248" w:rsidRPr="000F23E0">
        <w:t xml:space="preserve">, </w:t>
      </w:r>
      <w:r w:rsidR="005C5F66" w:rsidRPr="000F23E0">
        <w:t>e</w:t>
      </w:r>
      <w:r w:rsidR="00361A1C" w:rsidRPr="000F23E0">
        <w:t>cosystem modifications</w:t>
      </w:r>
      <w:r w:rsidR="00A33248" w:rsidRPr="000F23E0">
        <w:t xml:space="preserve"> and other human activities</w:t>
      </w:r>
      <w:r w:rsidR="005C5F66" w:rsidRPr="000F23E0">
        <w:t>.</w:t>
      </w:r>
    </w:p>
    <w:p w14:paraId="39F39F48" w14:textId="2B2E7E09" w:rsidR="00B02F77" w:rsidRPr="000F23E0" w:rsidRDefault="00FD7DB9" w:rsidP="0048145F">
      <w:hyperlink r:id="rId106" w:history="1">
        <w:r w:rsidRPr="000F23E0">
          <w:rPr>
            <w:rStyle w:val="Hyperlink"/>
          </w:rPr>
          <w:t>Australia</w:t>
        </w:r>
        <w:r w:rsidR="002C4475" w:rsidRPr="000F23E0">
          <w:rPr>
            <w:rStyle w:val="Hyperlink"/>
          </w:rPr>
          <w:t>’</w:t>
        </w:r>
        <w:r w:rsidRPr="000F23E0">
          <w:rPr>
            <w:rStyle w:val="Hyperlink"/>
          </w:rPr>
          <w:t>s Strategy for Nature 2024</w:t>
        </w:r>
        <w:r w:rsidR="001F4B5A" w:rsidRPr="000F23E0">
          <w:rPr>
            <w:rStyle w:val="Hyperlink"/>
          </w:rPr>
          <w:t>–</w:t>
        </w:r>
        <w:r w:rsidRPr="000F23E0">
          <w:rPr>
            <w:rStyle w:val="Hyperlink"/>
          </w:rPr>
          <w:t>2030</w:t>
        </w:r>
      </w:hyperlink>
      <w:r w:rsidR="00316FF6" w:rsidRPr="000F23E0">
        <w:t xml:space="preserve"> r</w:t>
      </w:r>
      <w:r w:rsidR="003D7518" w:rsidRPr="000F23E0">
        <w:t>ecognis</w:t>
      </w:r>
      <w:r w:rsidR="00316FF6" w:rsidRPr="000F23E0">
        <w:t>es</w:t>
      </w:r>
      <w:r w:rsidR="003D7518" w:rsidRPr="000F23E0">
        <w:t xml:space="preserve"> that n</w:t>
      </w:r>
      <w:r w:rsidR="00B02F77" w:rsidRPr="000F23E0">
        <w:t>ature underpins our economy, climate, First Nations peoples</w:t>
      </w:r>
      <w:r w:rsidR="002C4475" w:rsidRPr="000F23E0">
        <w:t>’</w:t>
      </w:r>
      <w:r w:rsidR="00B02F77" w:rsidRPr="000F23E0">
        <w:t xml:space="preserve"> connection to culture and identity, and our health and wellbeing</w:t>
      </w:r>
      <w:r w:rsidR="00316FF6" w:rsidRPr="000F23E0">
        <w:t>.</w:t>
      </w:r>
      <w:r w:rsidR="003D7518" w:rsidRPr="000F23E0">
        <w:t xml:space="preserve"> </w:t>
      </w:r>
      <w:r w:rsidR="00140E8F" w:rsidRPr="000F23E0">
        <w:t>The Strategy lays out a vision</w:t>
      </w:r>
      <w:r w:rsidR="00437F41" w:rsidRPr="000F23E0">
        <w:t xml:space="preserve"> </w:t>
      </w:r>
      <w:r w:rsidR="001F4B5A" w:rsidRPr="000F23E0">
        <w:t>to</w:t>
      </w:r>
      <w:r w:rsidR="00437F41" w:rsidRPr="000F23E0">
        <w:t xml:space="preserve"> halt and reverse biodiversity </w:t>
      </w:r>
      <w:r w:rsidR="00140E8F" w:rsidRPr="000F23E0">
        <w:t>loss</w:t>
      </w:r>
      <w:r w:rsidR="00437F41" w:rsidRPr="000F23E0">
        <w:t xml:space="preserve"> </w:t>
      </w:r>
      <w:r w:rsidR="00316FF6" w:rsidRPr="000F23E0">
        <w:t>by 2030</w:t>
      </w:r>
      <w:r w:rsidR="00102E50" w:rsidRPr="000F23E0">
        <w:t xml:space="preserve">, </w:t>
      </w:r>
      <w:r w:rsidR="001F4B5A" w:rsidRPr="000F23E0">
        <w:t xml:space="preserve">so </w:t>
      </w:r>
      <w:r w:rsidR="00102E50" w:rsidRPr="000F23E0">
        <w:t>that by 2050 we will be living in harmony with nature.</w:t>
      </w:r>
    </w:p>
    <w:p w14:paraId="2E952DEE" w14:textId="4E0E1CFB" w:rsidR="00782EA5" w:rsidRPr="000F23E0" w:rsidRDefault="00611CEF" w:rsidP="0048145F">
      <w:r w:rsidRPr="000F23E0">
        <w:t>GTB</w:t>
      </w:r>
      <w:r w:rsidR="00EF0A3F" w:rsidRPr="000F23E0">
        <w:t>s are financing biodiversity conservation in Australia through the Saving the Koala</w:t>
      </w:r>
      <w:r w:rsidR="001F4B5A" w:rsidRPr="000F23E0">
        <w:t>s</w:t>
      </w:r>
      <w:r w:rsidR="00EF0A3F" w:rsidRPr="000F23E0">
        <w:t xml:space="preserve"> Fund and Reef</w:t>
      </w:r>
      <w:r w:rsidR="00120A4B" w:rsidRPr="000F23E0">
        <w:t> </w:t>
      </w:r>
      <w:r w:rsidR="00EF0A3F" w:rsidRPr="000F23E0">
        <w:t>2050.</w:t>
      </w:r>
    </w:p>
    <w:p w14:paraId="6D5944D7" w14:textId="77777777" w:rsidR="00FD3F58" w:rsidRPr="000F23E0" w:rsidRDefault="00FD3F58" w:rsidP="00FD3F58">
      <w:pPr>
        <w:pStyle w:val="ChartGraphic"/>
        <w:keepNext w:val="0"/>
      </w:pPr>
      <w:r w:rsidRPr="000F23E0">
        <w:drawing>
          <wp:inline distT="0" distB="0" distL="0" distR="0" wp14:anchorId="2B604FA4" wp14:editId="28DC224B">
            <wp:extent cx="5757705" cy="3842489"/>
            <wp:effectExtent l="0" t="0" r="0" b="5715"/>
            <wp:docPr id="756659168" name="Picture 15" descr="Close up photo of a koala in a tre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659168" name="Picture 15" descr="Close up photo of a koala in a tree. "/>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5788564" cy="3863083"/>
                    </a:xfrm>
                    <a:prstGeom prst="rect">
                      <a:avLst/>
                    </a:prstGeom>
                  </pic:spPr>
                </pic:pic>
              </a:graphicData>
            </a:graphic>
          </wp:inline>
        </w:drawing>
      </w:r>
    </w:p>
    <w:p w14:paraId="7821B0C3" w14:textId="7E9E0B82" w:rsidR="00EF0A3F" w:rsidRPr="000F23E0" w:rsidRDefault="00B67A33" w:rsidP="00FD3F58">
      <w:pPr>
        <w:pStyle w:val="Heading2"/>
        <w:keepLines/>
      </w:pPr>
      <w:bookmarkStart w:id="317" w:name="_Saving_Koalas_Fund"/>
      <w:bookmarkStart w:id="318" w:name="_Toc188028332"/>
      <w:bookmarkStart w:id="319" w:name="_Toc225155793"/>
      <w:bookmarkEnd w:id="317"/>
      <w:r w:rsidRPr="000F23E0">
        <w:lastRenderedPageBreak/>
        <w:t>Saving Koalas Fund</w:t>
      </w:r>
      <w:bookmarkEnd w:id="318"/>
      <w:bookmarkEnd w:id="319"/>
    </w:p>
    <w:p w14:paraId="0F55D1DF" w14:textId="2E56D48F" w:rsidR="00B67A33" w:rsidRPr="000F23E0" w:rsidRDefault="00BB2C68" w:rsidP="00FD3F58">
      <w:pPr>
        <w:keepNext/>
        <w:keepLines/>
      </w:pPr>
      <w:r w:rsidRPr="000F23E0">
        <w:t>The Saving Koalas Fund supports the recovery and long</w:t>
      </w:r>
      <w:r w:rsidR="002C4475" w:rsidRPr="000F23E0">
        <w:noBreakHyphen/>
      </w:r>
      <w:r w:rsidRPr="000F23E0">
        <w:t xml:space="preserve">term conservation of the koala and its habitats. </w:t>
      </w:r>
      <w:r w:rsidR="00611CEF" w:rsidRPr="000F23E0">
        <w:t>GTB</w:t>
      </w:r>
      <w:r w:rsidR="00EB077F" w:rsidRPr="000F23E0">
        <w:t>s</w:t>
      </w:r>
      <w:r w:rsidRPr="000F23E0">
        <w:t xml:space="preserve"> contribute to </w:t>
      </w:r>
      <w:r w:rsidR="00E07FB5" w:rsidRPr="000F23E0">
        <w:t xml:space="preserve">3 </w:t>
      </w:r>
      <w:r w:rsidRPr="000F23E0">
        <w:t>aspects of Saving Koalas Fund:</w:t>
      </w:r>
    </w:p>
    <w:p w14:paraId="440FB2ED" w14:textId="77777777" w:rsidR="00311125" w:rsidRPr="000F23E0" w:rsidRDefault="00311125" w:rsidP="00FD3F58">
      <w:pPr>
        <w:pStyle w:val="Bullet"/>
        <w:keepNext/>
        <w:keepLines/>
      </w:pPr>
      <w:r w:rsidRPr="000F23E0">
        <w:t>Community grants</w:t>
      </w:r>
    </w:p>
    <w:p w14:paraId="29501859" w14:textId="77777777" w:rsidR="00311125" w:rsidRPr="000F23E0" w:rsidRDefault="00311125" w:rsidP="00FD3F58">
      <w:pPr>
        <w:pStyle w:val="Bullet"/>
        <w:keepNext/>
        <w:keepLines/>
      </w:pPr>
      <w:r w:rsidRPr="000F23E0">
        <w:t>Large habitat restoration projects</w:t>
      </w:r>
    </w:p>
    <w:p w14:paraId="27510F43" w14:textId="56B5E897" w:rsidR="00BB2C68" w:rsidRPr="000F23E0" w:rsidRDefault="00311125" w:rsidP="00FD3F58">
      <w:pPr>
        <w:pStyle w:val="Bullet"/>
        <w:keepNext/>
        <w:keepLines/>
      </w:pPr>
      <w:r w:rsidRPr="000F23E0">
        <w:t>The National Koala Monitoring Program</w:t>
      </w:r>
      <w:r w:rsidR="00B6252D" w:rsidRPr="000F23E0">
        <w:t>.</w:t>
      </w:r>
    </w:p>
    <w:p w14:paraId="1F592BF9" w14:textId="5AF97723" w:rsidR="00BB2C68" w:rsidRPr="000F23E0" w:rsidRDefault="00D47E76" w:rsidP="00EE75FD">
      <w:r w:rsidRPr="000F23E0">
        <w:t>The Saving Koalas Fund is delivered in partnership with First Nations people, the community, conservation organisations, governments, scientists and land managers</w:t>
      </w:r>
      <w:r w:rsidR="00725D89" w:rsidRPr="000F23E0">
        <w:t>. The fund</w:t>
      </w:r>
      <w:r w:rsidRPr="000F23E0">
        <w:t xml:space="preserve"> is helping to deliver actions in the National Recovery Plan for the Koala.</w:t>
      </w:r>
    </w:p>
    <w:p w14:paraId="7373ABEC" w14:textId="1A0626AE" w:rsidR="0043336D" w:rsidRPr="000F23E0" w:rsidRDefault="0043336D" w:rsidP="00EE75FD">
      <w:r w:rsidRPr="000F23E0">
        <w:t xml:space="preserve">Community Grants and </w:t>
      </w:r>
      <w:r w:rsidR="00C11EC9" w:rsidRPr="000F23E0">
        <w:t>l</w:t>
      </w:r>
      <w:r w:rsidRPr="000F23E0">
        <w:t xml:space="preserve">arge </w:t>
      </w:r>
      <w:r w:rsidR="00C11EC9" w:rsidRPr="000F23E0">
        <w:t>h</w:t>
      </w:r>
      <w:r w:rsidRPr="000F23E0">
        <w:t xml:space="preserve">abitat </w:t>
      </w:r>
      <w:r w:rsidR="00070EA4" w:rsidRPr="000F23E0">
        <w:t>r</w:t>
      </w:r>
      <w:r w:rsidRPr="000F23E0">
        <w:t xml:space="preserve">estoration </w:t>
      </w:r>
      <w:r w:rsidR="00070EA4" w:rsidRPr="000F23E0">
        <w:t>p</w:t>
      </w:r>
      <w:r w:rsidRPr="000F23E0">
        <w:t>rojects are expected to conclude in the 2025</w:t>
      </w:r>
      <w:r w:rsidR="009E7609" w:rsidRPr="000F23E0">
        <w:t>–</w:t>
      </w:r>
      <w:r w:rsidRPr="000F23E0">
        <w:t>26 financial year</w:t>
      </w:r>
      <w:r w:rsidR="002C4475" w:rsidRPr="000F23E0">
        <w:t xml:space="preserve">. </w:t>
      </w:r>
    </w:p>
    <w:p w14:paraId="1DCEE4EB" w14:textId="1F55C0EC" w:rsidR="00D47E76" w:rsidRPr="000F23E0" w:rsidRDefault="008747EB" w:rsidP="00F55854">
      <w:pPr>
        <w:pStyle w:val="Heading3"/>
      </w:pPr>
      <w:r w:rsidRPr="000F23E0">
        <w:t>Green Treasury Bond Allocation</w:t>
      </w:r>
    </w:p>
    <w:p w14:paraId="171713D1" w14:textId="009F3B32" w:rsidR="00C907DA" w:rsidRPr="000F23E0" w:rsidRDefault="00611CEF" w:rsidP="00EE75FD">
      <w:r w:rsidRPr="000F23E0">
        <w:t>GTB</w:t>
      </w:r>
      <w:r w:rsidR="005A48DF" w:rsidRPr="000F23E0">
        <w:t>s contribute</w:t>
      </w:r>
      <w:r w:rsidR="000F5B86" w:rsidRPr="000F23E0">
        <w:t>d</w:t>
      </w:r>
      <w:r w:rsidR="005A48DF" w:rsidRPr="000F23E0">
        <w:t xml:space="preserve"> $</w:t>
      </w:r>
      <w:r w:rsidR="0000464F" w:rsidRPr="000F23E0">
        <w:t>7.6</w:t>
      </w:r>
      <w:r w:rsidR="005A48DF" w:rsidRPr="000F23E0">
        <w:t xml:space="preserve"> million to the Saving Koalas Fund over </w:t>
      </w:r>
      <w:r w:rsidR="004000E5" w:rsidRPr="000F23E0">
        <w:t>202</w:t>
      </w:r>
      <w:r w:rsidR="00AC3EB4" w:rsidRPr="000F23E0">
        <w:t>4</w:t>
      </w:r>
      <w:r w:rsidR="00ED5506" w:rsidRPr="000F23E0">
        <w:t>–</w:t>
      </w:r>
      <w:r w:rsidR="00AC3EB4" w:rsidRPr="000F23E0">
        <w:t>25</w:t>
      </w:r>
      <w:r w:rsidR="00EF50DD" w:rsidRPr="000F23E0">
        <w:t xml:space="preserve"> (</w:t>
      </w:r>
      <w:r w:rsidR="00050F4E" w:rsidRPr="000F23E0">
        <w:t>Table 3</w:t>
      </w:r>
      <w:r w:rsidR="00937C84" w:rsidRPr="000F23E0">
        <w:t>5</w:t>
      </w:r>
      <w:r w:rsidR="00EF50DD" w:rsidRPr="000F23E0">
        <w:t>)</w:t>
      </w:r>
      <w:r w:rsidR="005A48DF" w:rsidRPr="000F23E0">
        <w:t>.</w:t>
      </w:r>
    </w:p>
    <w:p w14:paraId="437DCE32" w14:textId="34862551" w:rsidR="005A48DF" w:rsidRPr="000F23E0" w:rsidRDefault="005A48DF" w:rsidP="00EE75FD">
      <w:r w:rsidRPr="000F23E0">
        <w:t>The total Government contribution represents the expected funding of each sub</w:t>
      </w:r>
      <w:r w:rsidR="002C4475" w:rsidRPr="000F23E0">
        <w:noBreakHyphen/>
      </w:r>
      <w:r w:rsidRPr="000F23E0">
        <w:t xml:space="preserve">program over its lifetime as of the </w:t>
      </w:r>
      <w:r w:rsidR="00FF258B" w:rsidRPr="000F23E0">
        <w:t>202</w:t>
      </w:r>
      <w:r w:rsidR="00AC3EB4" w:rsidRPr="000F23E0">
        <w:t>5</w:t>
      </w:r>
      <w:r w:rsidR="00FF258B" w:rsidRPr="000F23E0">
        <w:t>–</w:t>
      </w:r>
      <w:r w:rsidRPr="000F23E0">
        <w:t>2</w:t>
      </w:r>
      <w:r w:rsidR="00AC3EB4" w:rsidRPr="000F23E0">
        <w:t>6</w:t>
      </w:r>
      <w:r w:rsidRPr="000F23E0">
        <w:t xml:space="preserve"> MYEFO. Funding in future financial years is anticipated to be financed through </w:t>
      </w:r>
      <w:r w:rsidR="00611CEF" w:rsidRPr="000F23E0">
        <w:t>GTB</w:t>
      </w:r>
      <w:r w:rsidRPr="000F23E0">
        <w:t>s.</w:t>
      </w:r>
    </w:p>
    <w:p w14:paraId="74022727" w14:textId="33EFFE9C" w:rsidR="00A02076" w:rsidRPr="000F23E0" w:rsidRDefault="00E11999" w:rsidP="00551F72">
      <w:pPr>
        <w:pStyle w:val="TableMainHeading"/>
      </w:pPr>
      <w:bookmarkStart w:id="320" w:name="_Toc220662895"/>
      <w:bookmarkStart w:id="321" w:name="_Toc224637843"/>
      <w:bookmarkStart w:id="322" w:name="_Toc224642507"/>
      <w:bookmarkStart w:id="323" w:name="_Toc225153483"/>
      <w:bookmarkStart w:id="324" w:name="_Toc225154529"/>
      <w:bookmarkStart w:id="325" w:name="_Toc225155794"/>
      <w:r w:rsidRPr="000F23E0">
        <w:t>Table</w:t>
      </w:r>
      <w:r w:rsidR="00FA055E" w:rsidRPr="000F23E0">
        <w:t xml:space="preserve"> </w:t>
      </w:r>
      <w:r w:rsidR="00E308E3" w:rsidRPr="000F23E0">
        <w:t>3</w:t>
      </w:r>
      <w:r w:rsidR="0068550D" w:rsidRPr="000F23E0">
        <w:t>5:</w:t>
      </w:r>
      <w:r w:rsidRPr="000F23E0" w:rsidDel="00A9177D">
        <w:t xml:space="preserve"> Allocation Data for the Saving Koalas Fund ($ million)</w:t>
      </w:r>
      <w:bookmarkEnd w:id="320"/>
      <w:bookmarkEnd w:id="321"/>
      <w:bookmarkEnd w:id="322"/>
      <w:bookmarkEnd w:id="323"/>
      <w:bookmarkEnd w:id="324"/>
      <w:bookmarkEnd w:id="325"/>
    </w:p>
    <w:tbl>
      <w:tblPr>
        <w:tblStyle w:val="GridTable4-Accent2"/>
        <w:tblW w:w="5000" w:type="pct"/>
        <w:tblInd w:w="5" w:type="dxa"/>
        <w:tblBorders>
          <w:top w:val="single" w:sz="4" w:space="0" w:color="DFA795"/>
          <w:bottom w:val="single" w:sz="4" w:space="0" w:color="DFA795"/>
          <w:insideH w:val="single" w:sz="4" w:space="0" w:color="DFA795"/>
        </w:tblBorders>
        <w:tblLayout w:type="fixed"/>
        <w:tblLook w:val="04A0" w:firstRow="1" w:lastRow="0" w:firstColumn="1" w:lastColumn="0" w:noHBand="0" w:noVBand="1"/>
      </w:tblPr>
      <w:tblGrid>
        <w:gridCol w:w="1838"/>
        <w:gridCol w:w="2126"/>
        <w:gridCol w:w="1134"/>
        <w:gridCol w:w="1418"/>
        <w:gridCol w:w="1417"/>
        <w:gridCol w:w="1137"/>
      </w:tblGrid>
      <w:tr w:rsidR="0048145F" w:rsidRPr="000F23E0" w14:paraId="7554FE8E" w14:textId="77777777" w:rsidTr="0048145F">
        <w:trPr>
          <w:cnfStyle w:val="100000000000" w:firstRow="1" w:lastRow="0" w:firstColumn="0" w:lastColumn="0" w:oddVBand="0" w:evenVBand="0" w:oddHBand="0" w:evenHBand="0" w:firstRowFirstColumn="0" w:firstRowLastColumn="0" w:lastRowFirstColumn="0" w:lastRowLastColumn="0"/>
          <w:trHeight w:val="868"/>
        </w:trPr>
        <w:tc>
          <w:tcPr>
            <w:cnfStyle w:val="001000000000" w:firstRow="0" w:lastRow="0" w:firstColumn="1" w:lastColumn="0" w:oddVBand="0" w:evenVBand="0" w:oddHBand="0" w:evenHBand="0" w:firstRowFirstColumn="0" w:firstRowLastColumn="0" w:lastRowFirstColumn="0" w:lastRowLastColumn="0"/>
            <w:tcW w:w="1838" w:type="dxa"/>
            <w:shd w:val="clear" w:color="auto" w:fill="F1D0C6"/>
          </w:tcPr>
          <w:p w14:paraId="409BEEB0" w14:textId="71F8EAF2" w:rsidR="00E009B1" w:rsidRPr="000F23E0" w:rsidRDefault="00E009B1" w:rsidP="00435CB7">
            <w:pPr>
              <w:pStyle w:val="TableColumnHeadingLeft"/>
              <w:rPr>
                <w:b/>
                <w:bCs w:val="0"/>
              </w:rPr>
            </w:pPr>
            <w:r w:rsidRPr="000F23E0">
              <w:rPr>
                <w:b/>
                <w:bCs w:val="0"/>
              </w:rPr>
              <w:t>Eligible Green Project</w:t>
            </w:r>
          </w:p>
        </w:tc>
        <w:tc>
          <w:tcPr>
            <w:tcW w:w="2126" w:type="dxa"/>
            <w:shd w:val="clear" w:color="auto" w:fill="F1D0C6"/>
          </w:tcPr>
          <w:p w14:paraId="11A4FD74" w14:textId="6D8273A8" w:rsidR="00E009B1" w:rsidRPr="000F23E0" w:rsidRDefault="00E009B1" w:rsidP="00435CB7">
            <w:pPr>
              <w:pStyle w:val="TableColumnHeadingLeft"/>
              <w:cnfStyle w:val="100000000000" w:firstRow="1" w:lastRow="0" w:firstColumn="0" w:lastColumn="0" w:oddVBand="0" w:evenVBand="0" w:oddHBand="0" w:evenHBand="0" w:firstRowFirstColumn="0" w:firstRowLastColumn="0" w:lastRowFirstColumn="0" w:lastRowLastColumn="0"/>
              <w:rPr>
                <w:b/>
                <w:bCs w:val="0"/>
              </w:rPr>
            </w:pPr>
            <w:r w:rsidRPr="000F23E0">
              <w:rPr>
                <w:b/>
                <w:bCs w:val="0"/>
              </w:rPr>
              <w:t>Projects supported</w:t>
            </w:r>
          </w:p>
        </w:tc>
        <w:tc>
          <w:tcPr>
            <w:tcW w:w="1134" w:type="dxa"/>
            <w:shd w:val="clear" w:color="auto" w:fill="F1D0C6"/>
          </w:tcPr>
          <w:p w14:paraId="019C0F68" w14:textId="6B22A6F5" w:rsidR="00E009B1" w:rsidRPr="000F23E0" w:rsidRDefault="00E009B1" w:rsidP="00435CB7">
            <w:pPr>
              <w:pStyle w:val="TableColumnHeadingRight"/>
              <w:cnfStyle w:val="100000000000" w:firstRow="1" w:lastRow="0" w:firstColumn="0" w:lastColumn="0" w:oddVBand="0" w:evenVBand="0" w:oddHBand="0" w:evenHBand="0" w:firstRowFirstColumn="0" w:firstRowLastColumn="0" w:lastRowFirstColumn="0" w:lastRowLastColumn="0"/>
              <w:rPr>
                <w:b/>
              </w:rPr>
            </w:pPr>
            <w:r w:rsidRPr="000F23E0">
              <w:rPr>
                <w:b/>
              </w:rPr>
              <w:t xml:space="preserve">2024–25 Expenditure </w:t>
            </w:r>
          </w:p>
        </w:tc>
        <w:tc>
          <w:tcPr>
            <w:tcW w:w="1418" w:type="dxa"/>
            <w:shd w:val="clear" w:color="auto" w:fill="F1D0C6"/>
          </w:tcPr>
          <w:p w14:paraId="5B07A81A" w14:textId="0072C2C3" w:rsidR="00E009B1" w:rsidRPr="000F23E0" w:rsidRDefault="00EA0F10" w:rsidP="00435CB7">
            <w:pPr>
              <w:pStyle w:val="TableColumnHeadingRight"/>
              <w:cnfStyle w:val="100000000000" w:firstRow="1" w:lastRow="0" w:firstColumn="0" w:lastColumn="0" w:oddVBand="0" w:evenVBand="0" w:oddHBand="0" w:evenHBand="0" w:firstRowFirstColumn="0" w:firstRowLastColumn="0" w:lastRowFirstColumn="0" w:lastRowLastColumn="0"/>
              <w:rPr>
                <w:b/>
              </w:rPr>
            </w:pPr>
            <w:r w:rsidRPr="000F23E0">
              <w:rPr>
                <w:b/>
              </w:rPr>
              <w:t>Allocation 2026 Report</w:t>
            </w:r>
            <w:r w:rsidR="00E009B1" w:rsidRPr="000F23E0">
              <w:rPr>
                <w:b/>
              </w:rPr>
              <w:t xml:space="preserve"> </w:t>
            </w:r>
          </w:p>
        </w:tc>
        <w:tc>
          <w:tcPr>
            <w:tcW w:w="1417" w:type="dxa"/>
            <w:shd w:val="clear" w:color="auto" w:fill="F1D0C6"/>
          </w:tcPr>
          <w:p w14:paraId="4FC8C470" w14:textId="15E2A2EF" w:rsidR="00E009B1" w:rsidRPr="000F23E0" w:rsidRDefault="00E009B1" w:rsidP="00435CB7">
            <w:pPr>
              <w:pStyle w:val="TableColumnHeadingRight"/>
              <w:cnfStyle w:val="100000000000" w:firstRow="1" w:lastRow="0" w:firstColumn="0" w:lastColumn="0" w:oddVBand="0" w:evenVBand="0" w:oddHBand="0" w:evenHBand="0" w:firstRowFirstColumn="0" w:firstRowLastColumn="0" w:lastRowFirstColumn="0" w:lastRowLastColumn="0"/>
              <w:rPr>
                <w:b/>
              </w:rPr>
            </w:pPr>
            <w:r w:rsidRPr="000F23E0">
              <w:rPr>
                <w:b/>
              </w:rPr>
              <w:t xml:space="preserve">Total Australian Government Contribution </w:t>
            </w:r>
          </w:p>
        </w:tc>
        <w:tc>
          <w:tcPr>
            <w:tcW w:w="1137" w:type="dxa"/>
            <w:shd w:val="clear" w:color="auto" w:fill="F1D0C6"/>
          </w:tcPr>
          <w:p w14:paraId="6424DD91" w14:textId="1944EF23" w:rsidR="00E009B1" w:rsidRPr="000F23E0" w:rsidRDefault="00E009B1" w:rsidP="00435CB7">
            <w:pPr>
              <w:pStyle w:val="TableColumnHeadingRight"/>
              <w:cnfStyle w:val="100000000000" w:firstRow="1" w:lastRow="0" w:firstColumn="0" w:lastColumn="0" w:oddVBand="0" w:evenVBand="0" w:oddHBand="0" w:evenHBand="0" w:firstRowFirstColumn="0" w:firstRowLastColumn="0" w:lastRowFirstColumn="0" w:lastRowLastColumn="0"/>
              <w:rPr>
                <w:b/>
              </w:rPr>
            </w:pPr>
            <w:r w:rsidRPr="000F23E0">
              <w:rPr>
                <w:b/>
              </w:rPr>
              <w:t xml:space="preserve">Total Cost of Project </w:t>
            </w:r>
          </w:p>
        </w:tc>
      </w:tr>
      <w:tr w:rsidR="0048145F" w:rsidRPr="000F23E0" w14:paraId="44989967" w14:textId="77777777" w:rsidTr="0048145F">
        <w:trPr>
          <w:trHeight w:val="258"/>
        </w:trPr>
        <w:tc>
          <w:tcPr>
            <w:cnfStyle w:val="001000000000" w:firstRow="0" w:lastRow="0" w:firstColumn="1" w:lastColumn="0" w:oddVBand="0" w:evenVBand="0" w:oddHBand="0" w:evenHBand="0" w:firstRowFirstColumn="0" w:firstRowLastColumn="0" w:lastRowFirstColumn="0" w:lastRowLastColumn="0"/>
            <w:tcW w:w="1838" w:type="dxa"/>
            <w:vMerge w:val="restart"/>
            <w:shd w:val="clear" w:color="auto" w:fill="FDF0E7"/>
          </w:tcPr>
          <w:p w14:paraId="7D38E693" w14:textId="3E112F81" w:rsidR="00E009B1" w:rsidRPr="000F23E0" w:rsidRDefault="00E009B1" w:rsidP="00435CB7">
            <w:pPr>
              <w:pStyle w:val="TableTextLeft"/>
            </w:pPr>
            <w:r w:rsidRPr="000F23E0" w:rsidDel="00A9177D">
              <w:t>Saving Koalas Fund</w:t>
            </w:r>
          </w:p>
        </w:tc>
        <w:tc>
          <w:tcPr>
            <w:tcW w:w="2126" w:type="dxa"/>
            <w:shd w:val="clear" w:color="auto" w:fill="FEFAF8"/>
          </w:tcPr>
          <w:p w14:paraId="58B68997" w14:textId="07B31BA9" w:rsidR="00E009B1" w:rsidRPr="000F23E0" w:rsidRDefault="00E009B1" w:rsidP="00955A88">
            <w:pPr>
              <w:pStyle w:val="TableTextLeft"/>
              <w:cnfStyle w:val="000000000000" w:firstRow="0" w:lastRow="0" w:firstColumn="0" w:lastColumn="0" w:oddVBand="0" w:evenVBand="0" w:oddHBand="0" w:evenHBand="0" w:firstRowFirstColumn="0" w:firstRowLastColumn="0" w:lastRowFirstColumn="0" w:lastRowLastColumn="0"/>
            </w:pPr>
            <w:r w:rsidRPr="000F23E0">
              <w:t>Community grants</w:t>
            </w:r>
          </w:p>
        </w:tc>
        <w:tc>
          <w:tcPr>
            <w:tcW w:w="1134" w:type="dxa"/>
            <w:shd w:val="clear" w:color="auto" w:fill="FEFAF8"/>
            <w:vAlign w:val="center"/>
          </w:tcPr>
          <w:p w14:paraId="6DC9575F" w14:textId="77777777" w:rsidR="00E009B1" w:rsidRPr="000F23E0" w:rsidRDefault="00E009B1" w:rsidP="00435CB7">
            <w:pPr>
              <w:pStyle w:val="TableTextRight"/>
              <w:cnfStyle w:val="000000000000" w:firstRow="0" w:lastRow="0" w:firstColumn="0" w:lastColumn="0" w:oddVBand="0" w:evenVBand="0" w:oddHBand="0" w:evenHBand="0" w:firstRowFirstColumn="0" w:firstRowLastColumn="0" w:lastRowFirstColumn="0" w:lastRowLastColumn="0"/>
            </w:pPr>
            <w:r w:rsidRPr="000F23E0">
              <w:t>2.0</w:t>
            </w:r>
          </w:p>
        </w:tc>
        <w:tc>
          <w:tcPr>
            <w:tcW w:w="1418" w:type="dxa"/>
            <w:shd w:val="clear" w:color="auto" w:fill="FEFAF8"/>
            <w:vAlign w:val="center"/>
          </w:tcPr>
          <w:p w14:paraId="6029B878" w14:textId="77777777" w:rsidR="00E009B1" w:rsidRPr="000F23E0" w:rsidRDefault="00E009B1" w:rsidP="00435CB7">
            <w:pPr>
              <w:pStyle w:val="TableTextRight"/>
              <w:cnfStyle w:val="000000000000" w:firstRow="0" w:lastRow="0" w:firstColumn="0" w:lastColumn="0" w:oddVBand="0" w:evenVBand="0" w:oddHBand="0" w:evenHBand="0" w:firstRowFirstColumn="0" w:firstRowLastColumn="0" w:lastRowFirstColumn="0" w:lastRowLastColumn="0"/>
            </w:pPr>
            <w:r w:rsidRPr="000F23E0">
              <w:t>1.1</w:t>
            </w:r>
          </w:p>
        </w:tc>
        <w:tc>
          <w:tcPr>
            <w:tcW w:w="1417" w:type="dxa"/>
            <w:shd w:val="clear" w:color="auto" w:fill="FEFAF8"/>
            <w:vAlign w:val="center"/>
          </w:tcPr>
          <w:p w14:paraId="3B96AF3B" w14:textId="77777777" w:rsidR="00E009B1" w:rsidRPr="000F23E0" w:rsidRDefault="00E009B1" w:rsidP="00435CB7">
            <w:pPr>
              <w:pStyle w:val="TableTextRight"/>
              <w:cnfStyle w:val="000000000000" w:firstRow="0" w:lastRow="0" w:firstColumn="0" w:lastColumn="0" w:oddVBand="0" w:evenVBand="0" w:oddHBand="0" w:evenHBand="0" w:firstRowFirstColumn="0" w:firstRowLastColumn="0" w:lastRowFirstColumn="0" w:lastRowLastColumn="0"/>
            </w:pPr>
            <w:r w:rsidRPr="000F23E0">
              <w:t>9.7</w:t>
            </w:r>
          </w:p>
        </w:tc>
        <w:tc>
          <w:tcPr>
            <w:tcW w:w="1137" w:type="dxa"/>
            <w:shd w:val="clear" w:color="auto" w:fill="FEFAF8"/>
            <w:vAlign w:val="center"/>
          </w:tcPr>
          <w:p w14:paraId="1ECD49E5" w14:textId="77777777" w:rsidR="00E009B1" w:rsidRPr="000F23E0" w:rsidRDefault="00E009B1" w:rsidP="00435CB7">
            <w:pPr>
              <w:pStyle w:val="TableTextRight"/>
              <w:cnfStyle w:val="000000000000" w:firstRow="0" w:lastRow="0" w:firstColumn="0" w:lastColumn="0" w:oddVBand="0" w:evenVBand="0" w:oddHBand="0" w:evenHBand="0" w:firstRowFirstColumn="0" w:firstRowLastColumn="0" w:lastRowFirstColumn="0" w:lastRowLastColumn="0"/>
            </w:pPr>
            <w:r w:rsidRPr="000F23E0">
              <w:t>9.7</w:t>
            </w:r>
          </w:p>
        </w:tc>
      </w:tr>
      <w:tr w:rsidR="0048145F" w:rsidRPr="000F23E0" w14:paraId="0F700A63" w14:textId="77777777" w:rsidTr="0048145F">
        <w:trPr>
          <w:trHeight w:val="258"/>
        </w:trPr>
        <w:tc>
          <w:tcPr>
            <w:cnfStyle w:val="001000000000" w:firstRow="0" w:lastRow="0" w:firstColumn="1" w:lastColumn="0" w:oddVBand="0" w:evenVBand="0" w:oddHBand="0" w:evenHBand="0" w:firstRowFirstColumn="0" w:firstRowLastColumn="0" w:lastRowFirstColumn="0" w:lastRowLastColumn="0"/>
            <w:tcW w:w="1838" w:type="dxa"/>
            <w:vMerge/>
            <w:shd w:val="clear" w:color="auto" w:fill="FDF0E7"/>
          </w:tcPr>
          <w:p w14:paraId="0189A7F0" w14:textId="77777777" w:rsidR="00E009B1" w:rsidRPr="000F23E0" w:rsidRDefault="00E009B1" w:rsidP="00435CB7">
            <w:pPr>
              <w:pStyle w:val="TableTextLeft"/>
            </w:pPr>
          </w:p>
        </w:tc>
        <w:tc>
          <w:tcPr>
            <w:tcW w:w="2126" w:type="dxa"/>
            <w:shd w:val="clear" w:color="auto" w:fill="FEFAF8"/>
          </w:tcPr>
          <w:p w14:paraId="2D41DBA3" w14:textId="49A95E0B" w:rsidR="00E009B1" w:rsidRPr="000F23E0" w:rsidRDefault="00E009B1" w:rsidP="00955A88">
            <w:pPr>
              <w:pStyle w:val="TableTextLeft"/>
              <w:cnfStyle w:val="000000000000" w:firstRow="0" w:lastRow="0" w:firstColumn="0" w:lastColumn="0" w:oddVBand="0" w:evenVBand="0" w:oddHBand="0" w:evenHBand="0" w:firstRowFirstColumn="0" w:firstRowLastColumn="0" w:lastRowFirstColumn="0" w:lastRowLastColumn="0"/>
            </w:pPr>
            <w:r w:rsidRPr="000F23E0">
              <w:t>Koala habitat restoration and protection projects</w:t>
            </w:r>
          </w:p>
        </w:tc>
        <w:tc>
          <w:tcPr>
            <w:tcW w:w="1134" w:type="dxa"/>
            <w:shd w:val="clear" w:color="auto" w:fill="FEFAF8"/>
            <w:vAlign w:val="center"/>
          </w:tcPr>
          <w:p w14:paraId="5293C02D" w14:textId="77777777" w:rsidR="00E009B1" w:rsidRPr="000F23E0" w:rsidRDefault="00E009B1" w:rsidP="00435CB7">
            <w:pPr>
              <w:pStyle w:val="TableTextRight"/>
              <w:cnfStyle w:val="000000000000" w:firstRow="0" w:lastRow="0" w:firstColumn="0" w:lastColumn="0" w:oddVBand="0" w:evenVBand="0" w:oddHBand="0" w:evenHBand="0" w:firstRowFirstColumn="0" w:firstRowLastColumn="0" w:lastRowFirstColumn="0" w:lastRowLastColumn="0"/>
            </w:pPr>
            <w:r w:rsidRPr="000F23E0">
              <w:t>9.6</w:t>
            </w:r>
          </w:p>
        </w:tc>
        <w:tc>
          <w:tcPr>
            <w:tcW w:w="1418" w:type="dxa"/>
            <w:shd w:val="clear" w:color="auto" w:fill="FEFAF8"/>
            <w:vAlign w:val="center"/>
          </w:tcPr>
          <w:p w14:paraId="09404E86" w14:textId="77777777" w:rsidR="00E009B1" w:rsidRPr="000F23E0" w:rsidRDefault="00E009B1" w:rsidP="00435CB7">
            <w:pPr>
              <w:pStyle w:val="TableTextRight"/>
              <w:cnfStyle w:val="000000000000" w:firstRow="0" w:lastRow="0" w:firstColumn="0" w:lastColumn="0" w:oddVBand="0" w:evenVBand="0" w:oddHBand="0" w:evenHBand="0" w:firstRowFirstColumn="0" w:firstRowLastColumn="0" w:lastRowFirstColumn="0" w:lastRowLastColumn="0"/>
            </w:pPr>
            <w:r w:rsidRPr="000F23E0">
              <w:t>5.2</w:t>
            </w:r>
          </w:p>
        </w:tc>
        <w:tc>
          <w:tcPr>
            <w:tcW w:w="1417" w:type="dxa"/>
            <w:shd w:val="clear" w:color="auto" w:fill="FEFAF8"/>
            <w:vAlign w:val="center"/>
          </w:tcPr>
          <w:p w14:paraId="03112BCC" w14:textId="77777777" w:rsidR="00E009B1" w:rsidRPr="000F23E0" w:rsidRDefault="00E009B1" w:rsidP="00435CB7">
            <w:pPr>
              <w:pStyle w:val="TableTextRight"/>
              <w:cnfStyle w:val="000000000000" w:firstRow="0" w:lastRow="0" w:firstColumn="0" w:lastColumn="0" w:oddVBand="0" w:evenVBand="0" w:oddHBand="0" w:evenHBand="0" w:firstRowFirstColumn="0" w:firstRowLastColumn="0" w:lastRowFirstColumn="0" w:lastRowLastColumn="0"/>
            </w:pPr>
            <w:r w:rsidRPr="000F23E0">
              <w:t>25.5</w:t>
            </w:r>
          </w:p>
        </w:tc>
        <w:tc>
          <w:tcPr>
            <w:tcW w:w="1137" w:type="dxa"/>
            <w:shd w:val="clear" w:color="auto" w:fill="FEFAF8"/>
            <w:vAlign w:val="center"/>
          </w:tcPr>
          <w:p w14:paraId="44C9DEAA" w14:textId="77777777" w:rsidR="00E009B1" w:rsidRPr="000F23E0" w:rsidRDefault="00E009B1" w:rsidP="00435CB7">
            <w:pPr>
              <w:pStyle w:val="TableTextRight"/>
              <w:cnfStyle w:val="000000000000" w:firstRow="0" w:lastRow="0" w:firstColumn="0" w:lastColumn="0" w:oddVBand="0" w:evenVBand="0" w:oddHBand="0" w:evenHBand="0" w:firstRowFirstColumn="0" w:firstRowLastColumn="0" w:lastRowFirstColumn="0" w:lastRowLastColumn="0"/>
            </w:pPr>
            <w:r w:rsidRPr="000F23E0">
              <w:t>25.5</w:t>
            </w:r>
          </w:p>
        </w:tc>
      </w:tr>
      <w:tr w:rsidR="0048145F" w:rsidRPr="000F23E0" w14:paraId="45D61710" w14:textId="77777777" w:rsidTr="0048145F">
        <w:trPr>
          <w:trHeight w:val="258"/>
        </w:trPr>
        <w:tc>
          <w:tcPr>
            <w:cnfStyle w:val="001000000000" w:firstRow="0" w:lastRow="0" w:firstColumn="1" w:lastColumn="0" w:oddVBand="0" w:evenVBand="0" w:oddHBand="0" w:evenHBand="0" w:firstRowFirstColumn="0" w:firstRowLastColumn="0" w:lastRowFirstColumn="0" w:lastRowLastColumn="0"/>
            <w:tcW w:w="1838" w:type="dxa"/>
            <w:vMerge/>
            <w:shd w:val="clear" w:color="auto" w:fill="FDF0E7"/>
          </w:tcPr>
          <w:p w14:paraId="347E96E4" w14:textId="77777777" w:rsidR="00E009B1" w:rsidRPr="000F23E0" w:rsidRDefault="00E009B1" w:rsidP="00435CB7">
            <w:pPr>
              <w:pStyle w:val="TableTextLeft"/>
            </w:pPr>
          </w:p>
        </w:tc>
        <w:tc>
          <w:tcPr>
            <w:tcW w:w="2126" w:type="dxa"/>
            <w:shd w:val="clear" w:color="auto" w:fill="FEFAF8"/>
          </w:tcPr>
          <w:p w14:paraId="584B2E49" w14:textId="65363E8F" w:rsidR="00E009B1" w:rsidRPr="000F23E0" w:rsidRDefault="00E009B1" w:rsidP="00955A88">
            <w:pPr>
              <w:pStyle w:val="TableTextLeft"/>
              <w:cnfStyle w:val="000000000000" w:firstRow="0" w:lastRow="0" w:firstColumn="0" w:lastColumn="0" w:oddVBand="0" w:evenVBand="0" w:oddHBand="0" w:evenHBand="0" w:firstRowFirstColumn="0" w:firstRowLastColumn="0" w:lastRowFirstColumn="0" w:lastRowLastColumn="0"/>
            </w:pPr>
            <w:r w:rsidRPr="000F23E0">
              <w:t>National Koala Monitoring</w:t>
            </w:r>
            <w:r w:rsidR="00955A88" w:rsidRPr="000F23E0">
              <w:t> </w:t>
            </w:r>
            <w:r w:rsidRPr="000F23E0">
              <w:t>Program</w:t>
            </w:r>
            <w:r w:rsidRPr="000F23E0">
              <w:rPr>
                <w:rStyle w:val="EndnoteReference"/>
              </w:rPr>
              <w:endnoteReference w:id="69"/>
            </w:r>
          </w:p>
        </w:tc>
        <w:tc>
          <w:tcPr>
            <w:tcW w:w="1134" w:type="dxa"/>
            <w:shd w:val="clear" w:color="auto" w:fill="FEFAF8"/>
            <w:vAlign w:val="center"/>
          </w:tcPr>
          <w:p w14:paraId="573B9ACF" w14:textId="77777777" w:rsidR="00E009B1" w:rsidRPr="000F23E0" w:rsidRDefault="00E009B1" w:rsidP="00435CB7">
            <w:pPr>
              <w:pStyle w:val="TableTextRight"/>
              <w:cnfStyle w:val="000000000000" w:firstRow="0" w:lastRow="0" w:firstColumn="0" w:lastColumn="0" w:oddVBand="0" w:evenVBand="0" w:oddHBand="0" w:evenHBand="0" w:firstRowFirstColumn="0" w:firstRowLastColumn="0" w:lastRowFirstColumn="0" w:lastRowLastColumn="0"/>
            </w:pPr>
            <w:r w:rsidRPr="000F23E0">
              <w:t>2.5</w:t>
            </w:r>
          </w:p>
        </w:tc>
        <w:tc>
          <w:tcPr>
            <w:tcW w:w="1418" w:type="dxa"/>
            <w:shd w:val="clear" w:color="auto" w:fill="FEFAF8"/>
            <w:vAlign w:val="center"/>
          </w:tcPr>
          <w:p w14:paraId="24AECD72" w14:textId="77777777" w:rsidR="00E009B1" w:rsidRPr="000F23E0" w:rsidRDefault="00E009B1" w:rsidP="00435CB7">
            <w:pPr>
              <w:pStyle w:val="TableTextRight"/>
              <w:cnfStyle w:val="000000000000" w:firstRow="0" w:lastRow="0" w:firstColumn="0" w:lastColumn="0" w:oddVBand="0" w:evenVBand="0" w:oddHBand="0" w:evenHBand="0" w:firstRowFirstColumn="0" w:firstRowLastColumn="0" w:lastRowFirstColumn="0" w:lastRowLastColumn="0"/>
            </w:pPr>
            <w:r w:rsidRPr="000F23E0">
              <w:t>1.4</w:t>
            </w:r>
          </w:p>
        </w:tc>
        <w:tc>
          <w:tcPr>
            <w:tcW w:w="1417" w:type="dxa"/>
            <w:shd w:val="clear" w:color="auto" w:fill="FEFAF8"/>
            <w:vAlign w:val="center"/>
          </w:tcPr>
          <w:p w14:paraId="610C4483" w14:textId="77777777" w:rsidR="00E009B1" w:rsidRPr="000F23E0" w:rsidRDefault="00E009B1" w:rsidP="00435CB7">
            <w:pPr>
              <w:pStyle w:val="TableTextRight"/>
              <w:cnfStyle w:val="000000000000" w:firstRow="0" w:lastRow="0" w:firstColumn="0" w:lastColumn="0" w:oddVBand="0" w:evenVBand="0" w:oddHBand="0" w:evenHBand="0" w:firstRowFirstColumn="0" w:firstRowLastColumn="0" w:lastRowFirstColumn="0" w:lastRowLastColumn="0"/>
            </w:pPr>
            <w:r w:rsidRPr="000F23E0">
              <w:t>10.0</w:t>
            </w:r>
          </w:p>
        </w:tc>
        <w:tc>
          <w:tcPr>
            <w:tcW w:w="1137" w:type="dxa"/>
            <w:shd w:val="clear" w:color="auto" w:fill="FEFAF8"/>
            <w:vAlign w:val="center"/>
          </w:tcPr>
          <w:p w14:paraId="2EAD34FA" w14:textId="77777777" w:rsidR="00E009B1" w:rsidRPr="000F23E0" w:rsidRDefault="00E009B1" w:rsidP="00435CB7">
            <w:pPr>
              <w:pStyle w:val="TableTextRight"/>
              <w:cnfStyle w:val="000000000000" w:firstRow="0" w:lastRow="0" w:firstColumn="0" w:lastColumn="0" w:oddVBand="0" w:evenVBand="0" w:oddHBand="0" w:evenHBand="0" w:firstRowFirstColumn="0" w:firstRowLastColumn="0" w:lastRowFirstColumn="0" w:lastRowLastColumn="0"/>
            </w:pPr>
            <w:r w:rsidRPr="000F23E0">
              <w:t>10.0</w:t>
            </w:r>
          </w:p>
        </w:tc>
      </w:tr>
      <w:tr w:rsidR="0048145F" w:rsidRPr="000F23E0" w14:paraId="274FFFBE" w14:textId="77777777" w:rsidTr="0048145F">
        <w:trPr>
          <w:trHeight w:val="60"/>
        </w:trPr>
        <w:tc>
          <w:tcPr>
            <w:cnfStyle w:val="001000000000" w:firstRow="0" w:lastRow="0" w:firstColumn="1" w:lastColumn="0" w:oddVBand="0" w:evenVBand="0" w:oddHBand="0" w:evenHBand="0" w:firstRowFirstColumn="0" w:firstRowLastColumn="0" w:lastRowFirstColumn="0" w:lastRowLastColumn="0"/>
            <w:tcW w:w="1838" w:type="dxa"/>
            <w:vMerge/>
            <w:shd w:val="clear" w:color="auto" w:fill="FDF0E7"/>
          </w:tcPr>
          <w:p w14:paraId="735B58CA" w14:textId="77777777" w:rsidR="00E009B1" w:rsidRPr="000F23E0" w:rsidRDefault="00E009B1" w:rsidP="00435CB7">
            <w:pPr>
              <w:pStyle w:val="TableTextLeft"/>
            </w:pPr>
          </w:p>
        </w:tc>
        <w:tc>
          <w:tcPr>
            <w:tcW w:w="2126" w:type="dxa"/>
            <w:shd w:val="clear" w:color="auto" w:fill="FEFAF8"/>
          </w:tcPr>
          <w:p w14:paraId="413F9C26" w14:textId="0F4F76FE" w:rsidR="00E009B1" w:rsidRPr="000F23E0" w:rsidRDefault="00E009B1" w:rsidP="00435CB7">
            <w:pPr>
              <w:pStyle w:val="TableTextLeft"/>
              <w:cnfStyle w:val="000000000000" w:firstRow="0" w:lastRow="0" w:firstColumn="0" w:lastColumn="0" w:oddVBand="0" w:evenVBand="0" w:oddHBand="0" w:evenHBand="0" w:firstRowFirstColumn="0" w:firstRowLastColumn="0" w:lastRowFirstColumn="0" w:lastRowLastColumn="0"/>
              <w:rPr>
                <w:b/>
                <w:bCs/>
              </w:rPr>
            </w:pPr>
            <w:r w:rsidRPr="000F23E0">
              <w:rPr>
                <w:b/>
                <w:bCs/>
              </w:rPr>
              <w:t>Total</w:t>
            </w:r>
            <w:r w:rsidR="00EA3AF5" w:rsidRPr="000F23E0">
              <w:rPr>
                <w:b/>
                <w:bCs/>
                <w:vertAlign w:val="superscript"/>
              </w:rPr>
              <w:t>(a)</w:t>
            </w:r>
          </w:p>
        </w:tc>
        <w:tc>
          <w:tcPr>
            <w:tcW w:w="1134" w:type="dxa"/>
            <w:shd w:val="clear" w:color="auto" w:fill="FEFAF8"/>
            <w:vAlign w:val="center"/>
          </w:tcPr>
          <w:p w14:paraId="405647C1" w14:textId="05E40401" w:rsidR="00E009B1" w:rsidRPr="000F23E0" w:rsidRDefault="00E009B1" w:rsidP="00435CB7">
            <w:pPr>
              <w:pStyle w:val="TableTextRight"/>
              <w:cnfStyle w:val="000000000000" w:firstRow="0" w:lastRow="0" w:firstColumn="0" w:lastColumn="0" w:oddVBand="0" w:evenVBand="0" w:oddHBand="0" w:evenHBand="0" w:firstRowFirstColumn="0" w:firstRowLastColumn="0" w:lastRowFirstColumn="0" w:lastRowLastColumn="0"/>
              <w:rPr>
                <w:b/>
                <w:bCs/>
              </w:rPr>
            </w:pPr>
            <w:r w:rsidRPr="000F23E0">
              <w:rPr>
                <w:b/>
                <w:bCs/>
              </w:rPr>
              <w:t>14.1</w:t>
            </w:r>
          </w:p>
        </w:tc>
        <w:tc>
          <w:tcPr>
            <w:tcW w:w="1418" w:type="dxa"/>
            <w:shd w:val="clear" w:color="auto" w:fill="FEFAF8"/>
            <w:vAlign w:val="center"/>
          </w:tcPr>
          <w:p w14:paraId="490B8ACF" w14:textId="6078C9A1" w:rsidR="00E009B1" w:rsidRPr="000F23E0" w:rsidRDefault="00E009B1" w:rsidP="00435CB7">
            <w:pPr>
              <w:pStyle w:val="TableTextRight"/>
              <w:cnfStyle w:val="000000000000" w:firstRow="0" w:lastRow="0" w:firstColumn="0" w:lastColumn="0" w:oddVBand="0" w:evenVBand="0" w:oddHBand="0" w:evenHBand="0" w:firstRowFirstColumn="0" w:firstRowLastColumn="0" w:lastRowFirstColumn="0" w:lastRowLastColumn="0"/>
              <w:rPr>
                <w:b/>
                <w:bCs/>
              </w:rPr>
            </w:pPr>
            <w:r w:rsidRPr="000F23E0">
              <w:rPr>
                <w:b/>
                <w:bCs/>
              </w:rPr>
              <w:t>7.6</w:t>
            </w:r>
          </w:p>
        </w:tc>
        <w:tc>
          <w:tcPr>
            <w:tcW w:w="1417" w:type="dxa"/>
            <w:shd w:val="clear" w:color="auto" w:fill="FEFAF8"/>
            <w:vAlign w:val="center"/>
          </w:tcPr>
          <w:p w14:paraId="5AD8FCEA" w14:textId="77777777" w:rsidR="00E009B1" w:rsidRPr="000F23E0" w:rsidRDefault="00E009B1" w:rsidP="00435CB7">
            <w:pPr>
              <w:pStyle w:val="TableTextRight"/>
              <w:cnfStyle w:val="000000000000" w:firstRow="0" w:lastRow="0" w:firstColumn="0" w:lastColumn="0" w:oddVBand="0" w:evenVBand="0" w:oddHBand="0" w:evenHBand="0" w:firstRowFirstColumn="0" w:firstRowLastColumn="0" w:lastRowFirstColumn="0" w:lastRowLastColumn="0"/>
              <w:rPr>
                <w:b/>
                <w:bCs/>
              </w:rPr>
            </w:pPr>
            <w:r w:rsidRPr="000F23E0">
              <w:rPr>
                <w:b/>
                <w:bCs/>
              </w:rPr>
              <w:t>45.2</w:t>
            </w:r>
          </w:p>
        </w:tc>
        <w:tc>
          <w:tcPr>
            <w:tcW w:w="1137" w:type="dxa"/>
            <w:shd w:val="clear" w:color="auto" w:fill="FEFAF8"/>
            <w:vAlign w:val="center"/>
          </w:tcPr>
          <w:p w14:paraId="516B956B" w14:textId="77777777" w:rsidR="00E009B1" w:rsidRPr="000F23E0" w:rsidRDefault="00E009B1" w:rsidP="00435CB7">
            <w:pPr>
              <w:pStyle w:val="TableTextRight"/>
              <w:cnfStyle w:val="000000000000" w:firstRow="0" w:lastRow="0" w:firstColumn="0" w:lastColumn="0" w:oddVBand="0" w:evenVBand="0" w:oddHBand="0" w:evenHBand="0" w:firstRowFirstColumn="0" w:firstRowLastColumn="0" w:lastRowFirstColumn="0" w:lastRowLastColumn="0"/>
              <w:rPr>
                <w:b/>
                <w:bCs/>
              </w:rPr>
            </w:pPr>
            <w:r w:rsidRPr="000F23E0">
              <w:rPr>
                <w:b/>
                <w:bCs/>
              </w:rPr>
              <w:t>45.2</w:t>
            </w:r>
          </w:p>
        </w:tc>
      </w:tr>
    </w:tbl>
    <w:p w14:paraId="7DFBE978" w14:textId="71D26BE2" w:rsidR="00E2574C" w:rsidRPr="000F23E0" w:rsidRDefault="00791AB6" w:rsidP="00435CB7">
      <w:pPr>
        <w:pStyle w:val="ChartandTableFootnoteAlpha"/>
        <w:numPr>
          <w:ilvl w:val="0"/>
          <w:numId w:val="51"/>
        </w:numPr>
      </w:pPr>
      <w:r w:rsidRPr="000F23E0">
        <w:t>Due to rounding, discrepancies may occur between sums of the component items and totals.</w:t>
      </w:r>
    </w:p>
    <w:p w14:paraId="4312D5A5" w14:textId="086E8E9F" w:rsidR="00A02076" w:rsidRPr="000F23E0" w:rsidRDefault="00A02076" w:rsidP="00FD3F58">
      <w:pPr>
        <w:pStyle w:val="Heading4"/>
        <w:keepNext/>
        <w:keepLines/>
      </w:pPr>
      <w:r w:rsidRPr="000F23E0">
        <w:lastRenderedPageBreak/>
        <w:t>Co</w:t>
      </w:r>
      <w:r w:rsidR="002C4475" w:rsidRPr="000F23E0">
        <w:noBreakHyphen/>
      </w:r>
      <w:r w:rsidRPr="000F23E0">
        <w:t>financing Arrangements</w:t>
      </w:r>
    </w:p>
    <w:p w14:paraId="449AE891" w14:textId="15B4A00E" w:rsidR="00A02076" w:rsidRPr="000F23E0" w:rsidRDefault="00A02076" w:rsidP="00FD3F58">
      <w:pPr>
        <w:keepNext/>
        <w:keepLines/>
      </w:pPr>
      <w:r w:rsidRPr="000F23E0">
        <w:t xml:space="preserve">The Saving Koalas Fund is delivered through grants and procurements through </w:t>
      </w:r>
      <w:r w:rsidR="001B5AF6" w:rsidRPr="000F23E0">
        <w:t>DCCEEW</w:t>
      </w:r>
      <w:r w:rsidRPr="000F23E0">
        <w:t>. Grant recipients, including government agencies, educational institutions, and community organisations, may also contribute financially to sub</w:t>
      </w:r>
      <w:r w:rsidR="002C4475" w:rsidRPr="000F23E0">
        <w:noBreakHyphen/>
      </w:r>
      <w:r w:rsidRPr="000F23E0">
        <w:t>projects.</w:t>
      </w:r>
    </w:p>
    <w:p w14:paraId="05D8E369" w14:textId="77777777" w:rsidR="00A02076" w:rsidRPr="000F23E0" w:rsidRDefault="00A02076" w:rsidP="00FD3F58">
      <w:pPr>
        <w:pStyle w:val="Heading4"/>
        <w:keepNext/>
        <w:keepLines/>
      </w:pPr>
      <w:r w:rsidRPr="000F23E0">
        <w:t>Material Risks</w:t>
      </w:r>
    </w:p>
    <w:p w14:paraId="6C98F9B9" w14:textId="0DF00530" w:rsidR="00A02076" w:rsidRPr="000F23E0" w:rsidRDefault="00A02076" w:rsidP="00FD3F58">
      <w:pPr>
        <w:keepNext/>
        <w:keepLines/>
      </w:pPr>
      <w:r w:rsidRPr="000F23E0">
        <w:t xml:space="preserve">No material risks have been identified to deliver the Saving Koalas Fund. Grant agreements were made in line with program guidelines and to best knowledge this is all consistent with the requirements of the </w:t>
      </w:r>
      <w:r w:rsidR="004A3946" w:rsidRPr="000F23E0">
        <w:t>GTB</w:t>
      </w:r>
      <w:r w:rsidRPr="000F23E0">
        <w:t xml:space="preserve"> Program</w:t>
      </w:r>
      <w:r w:rsidR="002C4475" w:rsidRPr="000F23E0">
        <w:t xml:space="preserve">. </w:t>
      </w:r>
    </w:p>
    <w:p w14:paraId="20B032E0" w14:textId="282F0FA4" w:rsidR="00FC4C8F" w:rsidRPr="000F23E0" w:rsidRDefault="00E92E48" w:rsidP="00FD3F58">
      <w:pPr>
        <w:pStyle w:val="Heading3"/>
        <w:keepLines/>
      </w:pPr>
      <w:r w:rsidRPr="000F23E0">
        <w:t>Project Impacts</w:t>
      </w:r>
    </w:p>
    <w:p w14:paraId="27AF6606" w14:textId="6A3FC42C" w:rsidR="007F00B8" w:rsidRPr="000F23E0" w:rsidRDefault="00611CEF" w:rsidP="00FD3F58">
      <w:pPr>
        <w:keepNext/>
        <w:keepLines/>
      </w:pPr>
      <w:r w:rsidRPr="000F23E0">
        <w:t>GTB</w:t>
      </w:r>
      <w:r w:rsidR="007F00B8" w:rsidRPr="000F23E0">
        <w:t>s will contribute to the preservation of 5,564 hectares of koala habitat</w:t>
      </w:r>
      <w:r w:rsidR="00EF50DD" w:rsidRPr="000F23E0">
        <w:t xml:space="preserve"> </w:t>
      </w:r>
      <w:r w:rsidR="00E308E3" w:rsidRPr="000F23E0">
        <w:t>(Table 3</w:t>
      </w:r>
      <w:r w:rsidR="00937C84" w:rsidRPr="000F23E0">
        <w:t>6</w:t>
      </w:r>
      <w:r w:rsidR="004F551B" w:rsidRPr="000F23E0">
        <w:fldChar w:fldCharType="begin"/>
      </w:r>
      <w:r w:rsidR="004F551B" w:rsidRPr="000F23E0">
        <w:instrText xml:space="preserve"> REF _Ref220660908 \h </w:instrText>
      </w:r>
      <w:r w:rsidR="004F551B" w:rsidRPr="000F23E0">
        <w:fldChar w:fldCharType="separate"/>
      </w:r>
      <w:r w:rsidR="004F551B" w:rsidRPr="000F23E0">
        <w:fldChar w:fldCharType="end"/>
      </w:r>
      <w:r w:rsidR="004F551B" w:rsidRPr="000F23E0">
        <w:fldChar w:fldCharType="begin"/>
      </w:r>
      <w:r w:rsidR="004F551B" w:rsidRPr="000F23E0">
        <w:instrText xml:space="preserve"> REF _Ref220660908 \h </w:instrText>
      </w:r>
      <w:r w:rsidR="004F551B" w:rsidRPr="000F23E0">
        <w:fldChar w:fldCharType="separate"/>
      </w:r>
      <w:r w:rsidR="004F551B" w:rsidRPr="000F23E0">
        <w:fldChar w:fldCharType="end"/>
      </w:r>
      <w:r w:rsidR="00EF50DD" w:rsidRPr="000F23E0">
        <w:t>)</w:t>
      </w:r>
      <w:r w:rsidR="007F00B8" w:rsidRPr="000F23E0">
        <w:t xml:space="preserve">. </w:t>
      </w:r>
    </w:p>
    <w:p w14:paraId="0EE9AF27" w14:textId="77777777" w:rsidR="007F00B8" w:rsidRPr="000F23E0" w:rsidRDefault="007F00B8" w:rsidP="00FD3F58">
      <w:pPr>
        <w:keepNext/>
        <w:keepLines/>
      </w:pPr>
      <w:r w:rsidRPr="000F23E0">
        <w:t>Community grants support various organisations in their efforts to restore koala habitats, reduce environmental degradation, help manage koala populations and increase biodiversity throughout the Australian landscape.</w:t>
      </w:r>
    </w:p>
    <w:p w14:paraId="5FFD35AA" w14:textId="7D91C867" w:rsidR="00E92E48" w:rsidRPr="000F23E0" w:rsidRDefault="007F00B8" w:rsidP="00EE6D1F">
      <w:r w:rsidRPr="000F23E0">
        <w:t>The investment in research and monitoring is also expected to have long</w:t>
      </w:r>
      <w:r w:rsidR="002C4475" w:rsidRPr="000F23E0">
        <w:noBreakHyphen/>
      </w:r>
      <w:r w:rsidRPr="000F23E0">
        <w:t>term benefits for koala</w:t>
      </w:r>
      <w:r w:rsidR="00955A88" w:rsidRPr="000F23E0">
        <w:t> </w:t>
      </w:r>
      <w:r w:rsidRPr="000F23E0">
        <w:t>populations.</w:t>
      </w:r>
    </w:p>
    <w:p w14:paraId="289B4E23" w14:textId="5897FECF" w:rsidR="007F00B8" w:rsidRPr="000F23E0" w:rsidRDefault="00E73304" w:rsidP="00551F72">
      <w:pPr>
        <w:pStyle w:val="TableMainHeading"/>
      </w:pPr>
      <w:bookmarkStart w:id="326" w:name="_Toc224637844"/>
      <w:bookmarkStart w:id="327" w:name="_Toc224642508"/>
      <w:bookmarkStart w:id="328" w:name="_Toc225153484"/>
      <w:bookmarkStart w:id="329" w:name="_Toc225154530"/>
      <w:bookmarkStart w:id="330" w:name="_Toc225155795"/>
      <w:r w:rsidRPr="000F23E0">
        <w:t>Table</w:t>
      </w:r>
      <w:r w:rsidR="00FA055E" w:rsidRPr="000F23E0">
        <w:t xml:space="preserve"> </w:t>
      </w:r>
      <w:r w:rsidR="00A04537" w:rsidRPr="000F23E0">
        <w:t>3</w:t>
      </w:r>
      <w:r w:rsidR="0068550D" w:rsidRPr="000F23E0">
        <w:t>6:</w:t>
      </w:r>
      <w:r w:rsidRPr="000F23E0">
        <w:t xml:space="preserve"> Impact Data for the Saving Koalas Fund</w:t>
      </w:r>
      <w:bookmarkEnd w:id="326"/>
      <w:bookmarkEnd w:id="327"/>
      <w:bookmarkEnd w:id="328"/>
      <w:bookmarkEnd w:id="329"/>
      <w:bookmarkEnd w:id="330"/>
    </w:p>
    <w:tbl>
      <w:tblPr>
        <w:tblStyle w:val="GridTable4-Accent2"/>
        <w:tblW w:w="5000" w:type="pct"/>
        <w:tblInd w:w="5" w:type="dxa"/>
        <w:tblBorders>
          <w:top w:val="single" w:sz="4" w:space="0" w:color="DFA795"/>
          <w:bottom w:val="single" w:sz="4" w:space="0" w:color="DFA795"/>
          <w:insideH w:val="single" w:sz="4" w:space="0" w:color="DFA795"/>
        </w:tblBorders>
        <w:tblLayout w:type="fixed"/>
        <w:tblLook w:val="04A0" w:firstRow="1" w:lastRow="0" w:firstColumn="1" w:lastColumn="0" w:noHBand="0" w:noVBand="1"/>
      </w:tblPr>
      <w:tblGrid>
        <w:gridCol w:w="2122"/>
        <w:gridCol w:w="2835"/>
        <w:gridCol w:w="904"/>
        <w:gridCol w:w="1869"/>
        <w:gridCol w:w="1340"/>
      </w:tblGrid>
      <w:tr w:rsidR="00452750" w:rsidRPr="000F23E0" w14:paraId="771F6915" w14:textId="77777777" w:rsidTr="0048145F">
        <w:trPr>
          <w:cnfStyle w:val="100000000000" w:firstRow="1" w:lastRow="0" w:firstColumn="0" w:lastColumn="0" w:oddVBand="0" w:evenVBand="0" w:oddHBand="0"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2122" w:type="dxa"/>
            <w:shd w:val="clear" w:color="auto" w:fill="F1D0C6"/>
          </w:tcPr>
          <w:p w14:paraId="403A1E8D" w14:textId="741D3D1A" w:rsidR="00452750" w:rsidRPr="000F23E0" w:rsidRDefault="00452750" w:rsidP="00FD02DB">
            <w:pPr>
              <w:pStyle w:val="TableColumnHeadingLeft"/>
              <w:rPr>
                <w:b/>
                <w:bCs w:val="0"/>
              </w:rPr>
            </w:pPr>
            <w:r w:rsidRPr="000F23E0">
              <w:rPr>
                <w:b/>
                <w:bCs w:val="0"/>
              </w:rPr>
              <w:t>Project</w:t>
            </w:r>
          </w:p>
        </w:tc>
        <w:tc>
          <w:tcPr>
            <w:tcW w:w="2835" w:type="dxa"/>
            <w:shd w:val="clear" w:color="auto" w:fill="F1D0C6"/>
          </w:tcPr>
          <w:p w14:paraId="39331BA8" w14:textId="3D27F04A" w:rsidR="00452750" w:rsidRPr="000F23E0" w:rsidRDefault="00452750" w:rsidP="00FD02DB">
            <w:pPr>
              <w:pStyle w:val="TableColumnHeadingLeft"/>
              <w:cnfStyle w:val="100000000000" w:firstRow="1" w:lastRow="0" w:firstColumn="0" w:lastColumn="0" w:oddVBand="0" w:evenVBand="0" w:oddHBand="0" w:evenHBand="0" w:firstRowFirstColumn="0" w:firstRowLastColumn="0" w:lastRowFirstColumn="0" w:lastRowLastColumn="0"/>
              <w:rPr>
                <w:b/>
                <w:bCs w:val="0"/>
              </w:rPr>
            </w:pPr>
            <w:r w:rsidRPr="000F23E0">
              <w:rPr>
                <w:b/>
                <w:bCs w:val="0"/>
              </w:rPr>
              <w:t>Metric</w:t>
            </w:r>
          </w:p>
        </w:tc>
        <w:tc>
          <w:tcPr>
            <w:tcW w:w="904" w:type="dxa"/>
            <w:shd w:val="clear" w:color="auto" w:fill="F1D0C6"/>
          </w:tcPr>
          <w:p w14:paraId="63457C76" w14:textId="066717D3" w:rsidR="00452750" w:rsidRPr="000F23E0" w:rsidRDefault="00452750" w:rsidP="00FD02DB">
            <w:pPr>
              <w:pStyle w:val="TableColumnHeadingRight"/>
              <w:cnfStyle w:val="100000000000" w:firstRow="1" w:lastRow="0" w:firstColumn="0" w:lastColumn="0" w:oddVBand="0" w:evenVBand="0" w:oddHBand="0" w:evenHBand="0" w:firstRowFirstColumn="0" w:firstRowLastColumn="0" w:lastRowFirstColumn="0" w:lastRowLastColumn="0"/>
              <w:rPr>
                <w:b/>
              </w:rPr>
            </w:pPr>
            <w:r w:rsidRPr="000F23E0">
              <w:rPr>
                <w:b/>
              </w:rPr>
              <w:t>Value</w:t>
            </w:r>
          </w:p>
        </w:tc>
        <w:tc>
          <w:tcPr>
            <w:tcW w:w="1869" w:type="dxa"/>
            <w:shd w:val="clear" w:color="auto" w:fill="F1D0C6"/>
          </w:tcPr>
          <w:p w14:paraId="7BC4A9FC" w14:textId="2615C7E2" w:rsidR="00452750" w:rsidRPr="000F23E0" w:rsidRDefault="00452750" w:rsidP="00FD02DB">
            <w:pPr>
              <w:pStyle w:val="TableColumnHeadingRight"/>
              <w:cnfStyle w:val="100000000000" w:firstRow="1" w:lastRow="0" w:firstColumn="0" w:lastColumn="0" w:oddVBand="0" w:evenVBand="0" w:oddHBand="0" w:evenHBand="0" w:firstRowFirstColumn="0" w:firstRowLastColumn="0" w:lastRowFirstColumn="0" w:lastRowLastColumn="0"/>
              <w:rPr>
                <w:b/>
              </w:rPr>
            </w:pPr>
            <w:r w:rsidRPr="000F23E0">
              <w:rPr>
                <w:b/>
              </w:rPr>
              <w:t>Recorded / Projected</w:t>
            </w:r>
          </w:p>
        </w:tc>
        <w:tc>
          <w:tcPr>
            <w:tcW w:w="1340" w:type="dxa"/>
            <w:shd w:val="clear" w:color="auto" w:fill="F1D0C6"/>
          </w:tcPr>
          <w:p w14:paraId="42BA10B3" w14:textId="2CA1F036" w:rsidR="00452750" w:rsidRPr="000F23E0" w:rsidRDefault="00452750" w:rsidP="00FD02DB">
            <w:pPr>
              <w:pStyle w:val="TableColumnHeadingRight"/>
              <w:cnfStyle w:val="100000000000" w:firstRow="1" w:lastRow="0" w:firstColumn="0" w:lastColumn="0" w:oddVBand="0" w:evenVBand="0" w:oddHBand="0" w:evenHBand="0" w:firstRowFirstColumn="0" w:firstRowLastColumn="0" w:lastRowFirstColumn="0" w:lastRowLastColumn="0"/>
              <w:rPr>
                <w:b/>
              </w:rPr>
            </w:pPr>
            <w:r w:rsidRPr="000F23E0">
              <w:rPr>
                <w:b/>
              </w:rPr>
              <w:t>Time Period</w:t>
            </w:r>
          </w:p>
        </w:tc>
      </w:tr>
      <w:tr w:rsidR="00452750" w:rsidRPr="000F23E0" w14:paraId="4A8C1FE3" w14:textId="77777777" w:rsidTr="00955A88">
        <w:trPr>
          <w:trHeight w:val="343"/>
        </w:trPr>
        <w:tc>
          <w:tcPr>
            <w:cnfStyle w:val="001000000000" w:firstRow="0" w:lastRow="0" w:firstColumn="1" w:lastColumn="0" w:oddVBand="0" w:evenVBand="0" w:oddHBand="0" w:evenHBand="0" w:firstRowFirstColumn="0" w:firstRowLastColumn="0" w:lastRowFirstColumn="0" w:lastRowLastColumn="0"/>
            <w:tcW w:w="2122" w:type="dxa"/>
            <w:shd w:val="clear" w:color="auto" w:fill="FDF0E7"/>
          </w:tcPr>
          <w:p w14:paraId="7E5B0F07" w14:textId="7C062745" w:rsidR="00452750" w:rsidRPr="000F23E0" w:rsidRDefault="00452750" w:rsidP="000B4CE5">
            <w:pPr>
              <w:pStyle w:val="TableTextLeft"/>
            </w:pPr>
            <w:r w:rsidRPr="000F23E0">
              <w:t xml:space="preserve">Community grants </w:t>
            </w:r>
          </w:p>
        </w:tc>
        <w:tc>
          <w:tcPr>
            <w:tcW w:w="2835" w:type="dxa"/>
            <w:shd w:val="clear" w:color="auto" w:fill="FEFAF8"/>
          </w:tcPr>
          <w:p w14:paraId="0B0F4477" w14:textId="45B65155" w:rsidR="00452750" w:rsidRPr="000F23E0" w:rsidRDefault="00452750" w:rsidP="000B4CE5">
            <w:pPr>
              <w:pStyle w:val="TableTextLeft"/>
              <w:cnfStyle w:val="000000000000" w:firstRow="0" w:lastRow="0" w:firstColumn="0" w:lastColumn="0" w:oddVBand="0" w:evenVBand="0" w:oddHBand="0" w:evenHBand="0" w:firstRowFirstColumn="0" w:firstRowLastColumn="0" w:lastRowFirstColumn="0" w:lastRowLastColumn="0"/>
            </w:pPr>
            <w:r w:rsidRPr="000F23E0">
              <w:t>Number of grants made to community organisations</w:t>
            </w:r>
          </w:p>
        </w:tc>
        <w:tc>
          <w:tcPr>
            <w:tcW w:w="904" w:type="dxa"/>
            <w:shd w:val="clear" w:color="auto" w:fill="FEFAF8"/>
          </w:tcPr>
          <w:p w14:paraId="2FA52626" w14:textId="5B89098D" w:rsidR="00452750" w:rsidRPr="000F23E0" w:rsidRDefault="00452750" w:rsidP="000B4CE5">
            <w:pPr>
              <w:pStyle w:val="TableTextRight"/>
              <w:cnfStyle w:val="000000000000" w:firstRow="0" w:lastRow="0" w:firstColumn="0" w:lastColumn="0" w:oddVBand="0" w:evenVBand="0" w:oddHBand="0" w:evenHBand="0" w:firstRowFirstColumn="0" w:firstRowLastColumn="0" w:lastRowFirstColumn="0" w:lastRowLastColumn="0"/>
              <w:rPr>
                <w:highlight w:val="yellow"/>
              </w:rPr>
            </w:pPr>
            <w:r w:rsidRPr="000F23E0">
              <w:t>59</w:t>
            </w:r>
          </w:p>
        </w:tc>
        <w:tc>
          <w:tcPr>
            <w:tcW w:w="1869" w:type="dxa"/>
            <w:shd w:val="clear" w:color="auto" w:fill="FEFAF8"/>
          </w:tcPr>
          <w:p w14:paraId="6DB54C4E" w14:textId="230F11BA" w:rsidR="00452750" w:rsidRPr="000F23E0" w:rsidRDefault="00452750" w:rsidP="000B4CE5">
            <w:pPr>
              <w:pStyle w:val="TableTextRight"/>
              <w:cnfStyle w:val="000000000000" w:firstRow="0" w:lastRow="0" w:firstColumn="0" w:lastColumn="0" w:oddVBand="0" w:evenVBand="0" w:oddHBand="0" w:evenHBand="0" w:firstRowFirstColumn="0" w:firstRowLastColumn="0" w:lastRowFirstColumn="0" w:lastRowLastColumn="0"/>
            </w:pPr>
            <w:r w:rsidRPr="000F23E0">
              <w:t>Recorded</w:t>
            </w:r>
          </w:p>
        </w:tc>
        <w:tc>
          <w:tcPr>
            <w:tcW w:w="1340" w:type="dxa"/>
            <w:shd w:val="clear" w:color="auto" w:fill="FEFAF8"/>
          </w:tcPr>
          <w:p w14:paraId="5F3D37A2" w14:textId="2D493AAE" w:rsidR="00452750" w:rsidRPr="000F23E0" w:rsidRDefault="00452750" w:rsidP="000B4CE5">
            <w:pPr>
              <w:pStyle w:val="TableTextRight"/>
              <w:cnfStyle w:val="000000000000" w:firstRow="0" w:lastRow="0" w:firstColumn="0" w:lastColumn="0" w:oddVBand="0" w:evenVBand="0" w:oddHBand="0" w:evenHBand="0" w:firstRowFirstColumn="0" w:firstRowLastColumn="0" w:lastRowFirstColumn="0" w:lastRowLastColumn="0"/>
            </w:pPr>
            <w:r w:rsidRPr="000F23E0">
              <w:t>2022–2025</w:t>
            </w:r>
          </w:p>
        </w:tc>
      </w:tr>
      <w:tr w:rsidR="00452750" w:rsidRPr="000F23E0" w14:paraId="28CCE563" w14:textId="77777777" w:rsidTr="0048145F">
        <w:trPr>
          <w:trHeight w:val="337"/>
        </w:trPr>
        <w:tc>
          <w:tcPr>
            <w:cnfStyle w:val="001000000000" w:firstRow="0" w:lastRow="0" w:firstColumn="1" w:lastColumn="0" w:oddVBand="0" w:evenVBand="0" w:oddHBand="0" w:evenHBand="0" w:firstRowFirstColumn="0" w:firstRowLastColumn="0" w:lastRowFirstColumn="0" w:lastRowLastColumn="0"/>
            <w:tcW w:w="2122" w:type="dxa"/>
            <w:shd w:val="clear" w:color="auto" w:fill="FDF0E7"/>
          </w:tcPr>
          <w:p w14:paraId="5146D286" w14:textId="131D7C94" w:rsidR="00452750" w:rsidRPr="000F23E0" w:rsidRDefault="00452750" w:rsidP="000B4CE5">
            <w:pPr>
              <w:pStyle w:val="TableTextLeft"/>
            </w:pPr>
            <w:r w:rsidRPr="000F23E0">
              <w:t>Koala habitat restoration and protection projects</w:t>
            </w:r>
          </w:p>
        </w:tc>
        <w:tc>
          <w:tcPr>
            <w:tcW w:w="2835" w:type="dxa"/>
            <w:shd w:val="clear" w:color="auto" w:fill="FEFAF8"/>
          </w:tcPr>
          <w:p w14:paraId="7CB01FBA" w14:textId="00B0928D" w:rsidR="00452750" w:rsidRPr="000F23E0" w:rsidRDefault="00452750" w:rsidP="000B4CE5">
            <w:pPr>
              <w:pStyle w:val="TableTextLeft"/>
              <w:cnfStyle w:val="000000000000" w:firstRow="0" w:lastRow="0" w:firstColumn="0" w:lastColumn="0" w:oddVBand="0" w:evenVBand="0" w:oddHBand="0" w:evenHBand="0" w:firstRowFirstColumn="0" w:firstRowLastColumn="0" w:lastRowFirstColumn="0" w:lastRowLastColumn="0"/>
            </w:pPr>
            <w:r w:rsidRPr="000F23E0">
              <w:t>Additions and improvements to, and</w:t>
            </w:r>
            <w:r w:rsidR="00955A88" w:rsidRPr="000F23E0">
              <w:t> </w:t>
            </w:r>
            <w:r w:rsidRPr="000F23E0">
              <w:t>management of, land used as koala habitat (ha)</w:t>
            </w:r>
          </w:p>
        </w:tc>
        <w:tc>
          <w:tcPr>
            <w:tcW w:w="904" w:type="dxa"/>
            <w:shd w:val="clear" w:color="auto" w:fill="FEFAF8"/>
          </w:tcPr>
          <w:p w14:paraId="1820997D" w14:textId="26725382" w:rsidR="00452750" w:rsidRPr="000F23E0" w:rsidRDefault="00452750" w:rsidP="000B4CE5">
            <w:pPr>
              <w:pStyle w:val="TableTextRight"/>
              <w:cnfStyle w:val="000000000000" w:firstRow="0" w:lastRow="0" w:firstColumn="0" w:lastColumn="0" w:oddVBand="0" w:evenVBand="0" w:oddHBand="0" w:evenHBand="0" w:firstRowFirstColumn="0" w:firstRowLastColumn="0" w:lastRowFirstColumn="0" w:lastRowLastColumn="0"/>
            </w:pPr>
            <w:r w:rsidRPr="000F23E0">
              <w:t>5,564</w:t>
            </w:r>
          </w:p>
        </w:tc>
        <w:tc>
          <w:tcPr>
            <w:tcW w:w="1869" w:type="dxa"/>
            <w:shd w:val="clear" w:color="auto" w:fill="FEFAF8"/>
          </w:tcPr>
          <w:p w14:paraId="35AD1DBD" w14:textId="1E420FB7" w:rsidR="00452750" w:rsidRPr="000F23E0" w:rsidRDefault="00452750" w:rsidP="000B4CE5">
            <w:pPr>
              <w:pStyle w:val="TableTextRight"/>
              <w:cnfStyle w:val="000000000000" w:firstRow="0" w:lastRow="0" w:firstColumn="0" w:lastColumn="0" w:oddVBand="0" w:evenVBand="0" w:oddHBand="0" w:evenHBand="0" w:firstRowFirstColumn="0" w:firstRowLastColumn="0" w:lastRowFirstColumn="0" w:lastRowLastColumn="0"/>
            </w:pPr>
            <w:r w:rsidRPr="000F23E0">
              <w:t>Recorded</w:t>
            </w:r>
          </w:p>
        </w:tc>
        <w:tc>
          <w:tcPr>
            <w:tcW w:w="1340" w:type="dxa"/>
            <w:shd w:val="clear" w:color="auto" w:fill="FEFAF8"/>
          </w:tcPr>
          <w:p w14:paraId="4D5AA085" w14:textId="1C092AA5" w:rsidR="00452750" w:rsidRPr="000F23E0" w:rsidRDefault="00452750" w:rsidP="000B4CE5">
            <w:pPr>
              <w:pStyle w:val="TableTextRight"/>
              <w:cnfStyle w:val="000000000000" w:firstRow="0" w:lastRow="0" w:firstColumn="0" w:lastColumn="0" w:oddVBand="0" w:evenVBand="0" w:oddHBand="0" w:evenHBand="0" w:firstRowFirstColumn="0" w:firstRowLastColumn="0" w:lastRowFirstColumn="0" w:lastRowLastColumn="0"/>
            </w:pPr>
            <w:r w:rsidRPr="000F23E0">
              <w:t>2022–2025</w:t>
            </w:r>
          </w:p>
        </w:tc>
      </w:tr>
      <w:tr w:rsidR="00452750" w:rsidRPr="000F23E0" w14:paraId="57442E2D" w14:textId="77777777" w:rsidTr="0048145F">
        <w:trPr>
          <w:trHeight w:val="337"/>
        </w:trPr>
        <w:tc>
          <w:tcPr>
            <w:cnfStyle w:val="001000000000" w:firstRow="0" w:lastRow="0" w:firstColumn="1" w:lastColumn="0" w:oddVBand="0" w:evenVBand="0" w:oddHBand="0" w:evenHBand="0" w:firstRowFirstColumn="0" w:firstRowLastColumn="0" w:lastRowFirstColumn="0" w:lastRowLastColumn="0"/>
            <w:tcW w:w="2122" w:type="dxa"/>
            <w:shd w:val="clear" w:color="auto" w:fill="FDF0E7"/>
          </w:tcPr>
          <w:p w14:paraId="1D43A6C6" w14:textId="69F45CFB" w:rsidR="00452750" w:rsidRPr="000F23E0" w:rsidRDefault="00452750" w:rsidP="000B4CE5">
            <w:pPr>
              <w:pStyle w:val="TableTextLeft"/>
            </w:pPr>
            <w:r w:rsidRPr="000F23E0">
              <w:t>National Koala Monitoring</w:t>
            </w:r>
            <w:r w:rsidR="00955A88" w:rsidRPr="000F23E0">
              <w:t> </w:t>
            </w:r>
            <w:r w:rsidRPr="000F23E0">
              <w:t>Program</w:t>
            </w:r>
          </w:p>
        </w:tc>
        <w:tc>
          <w:tcPr>
            <w:tcW w:w="2835" w:type="dxa"/>
            <w:shd w:val="clear" w:color="auto" w:fill="FEFAF8"/>
          </w:tcPr>
          <w:p w14:paraId="5788BCFD" w14:textId="4E815F21" w:rsidR="00452750" w:rsidRPr="000F23E0" w:rsidRDefault="00452750" w:rsidP="000B4CE5">
            <w:pPr>
              <w:pStyle w:val="TableTextLeft"/>
              <w:cnfStyle w:val="000000000000" w:firstRow="0" w:lastRow="0" w:firstColumn="0" w:lastColumn="0" w:oddVBand="0" w:evenVBand="0" w:oddHBand="0" w:evenHBand="0" w:firstRowFirstColumn="0" w:firstRowLastColumn="0" w:lastRowFirstColumn="0" w:lastRowLastColumn="0"/>
            </w:pPr>
            <w:r w:rsidRPr="000F23E0">
              <w:t>Number of koala population surveys</w:t>
            </w:r>
            <w:r w:rsidR="00955A88" w:rsidRPr="000F23E0">
              <w:t> </w:t>
            </w:r>
            <w:r w:rsidRPr="000F23E0">
              <w:t>conducted</w:t>
            </w:r>
          </w:p>
        </w:tc>
        <w:tc>
          <w:tcPr>
            <w:tcW w:w="904" w:type="dxa"/>
            <w:shd w:val="clear" w:color="auto" w:fill="FEFAF8"/>
          </w:tcPr>
          <w:p w14:paraId="767D6CE0" w14:textId="246E2D80" w:rsidR="00452750" w:rsidRPr="000F23E0" w:rsidRDefault="00452750" w:rsidP="000B4CE5">
            <w:pPr>
              <w:pStyle w:val="TableTextRight"/>
              <w:cnfStyle w:val="000000000000" w:firstRow="0" w:lastRow="0" w:firstColumn="0" w:lastColumn="0" w:oddVBand="0" w:evenVBand="0" w:oddHBand="0" w:evenHBand="0" w:firstRowFirstColumn="0" w:firstRowLastColumn="0" w:lastRowFirstColumn="0" w:lastRowLastColumn="0"/>
            </w:pPr>
            <w:r w:rsidRPr="000F23E0">
              <w:t>820</w:t>
            </w:r>
          </w:p>
        </w:tc>
        <w:tc>
          <w:tcPr>
            <w:tcW w:w="1869" w:type="dxa"/>
            <w:shd w:val="clear" w:color="auto" w:fill="FEFAF8"/>
          </w:tcPr>
          <w:p w14:paraId="44C6CEB4" w14:textId="3A2029DE" w:rsidR="00452750" w:rsidRPr="000F23E0" w:rsidRDefault="00452750" w:rsidP="000B4CE5">
            <w:pPr>
              <w:pStyle w:val="TableTextRight"/>
              <w:cnfStyle w:val="000000000000" w:firstRow="0" w:lastRow="0" w:firstColumn="0" w:lastColumn="0" w:oddVBand="0" w:evenVBand="0" w:oddHBand="0" w:evenHBand="0" w:firstRowFirstColumn="0" w:firstRowLastColumn="0" w:lastRowFirstColumn="0" w:lastRowLastColumn="0"/>
            </w:pPr>
            <w:r w:rsidRPr="000F23E0">
              <w:t>Recorded</w:t>
            </w:r>
          </w:p>
        </w:tc>
        <w:tc>
          <w:tcPr>
            <w:tcW w:w="1340" w:type="dxa"/>
            <w:shd w:val="clear" w:color="auto" w:fill="FEFAF8"/>
          </w:tcPr>
          <w:p w14:paraId="19F496A6" w14:textId="66E914D8" w:rsidR="00452750" w:rsidRPr="000F23E0" w:rsidRDefault="00452750" w:rsidP="000B4CE5">
            <w:pPr>
              <w:pStyle w:val="TableTextRight"/>
              <w:cnfStyle w:val="000000000000" w:firstRow="0" w:lastRow="0" w:firstColumn="0" w:lastColumn="0" w:oddVBand="0" w:evenVBand="0" w:oddHBand="0" w:evenHBand="0" w:firstRowFirstColumn="0" w:firstRowLastColumn="0" w:lastRowFirstColumn="0" w:lastRowLastColumn="0"/>
            </w:pPr>
            <w:r w:rsidRPr="000F23E0">
              <w:t>2022–2025</w:t>
            </w:r>
          </w:p>
        </w:tc>
      </w:tr>
    </w:tbl>
    <w:p w14:paraId="60A34101" w14:textId="5A172A95" w:rsidR="00E417BF" w:rsidRPr="000F23E0" w:rsidRDefault="00E417BF" w:rsidP="00551F72">
      <w:pPr>
        <w:pStyle w:val="ChartMainHeading"/>
      </w:pPr>
      <w:bookmarkStart w:id="331" w:name="_Toc220610589"/>
      <w:bookmarkStart w:id="332" w:name="_Toc220597359"/>
      <w:bookmarkStart w:id="333" w:name="_Toc224637845"/>
      <w:bookmarkStart w:id="334" w:name="_Toc224642509"/>
      <w:bookmarkStart w:id="335" w:name="_Toc225153485"/>
      <w:bookmarkStart w:id="336" w:name="_Toc225154531"/>
      <w:bookmarkStart w:id="337" w:name="_Toc225155796"/>
      <w:r w:rsidRPr="000F23E0">
        <w:lastRenderedPageBreak/>
        <w:t xml:space="preserve">Figure </w:t>
      </w:r>
      <w:r w:rsidR="00E80124" w:rsidRPr="000F23E0">
        <w:t>9:</w:t>
      </w:r>
      <w:r w:rsidRPr="000F23E0">
        <w:t xml:space="preserve"> Locations of projects managed by the Saving Koalas Fund</w:t>
      </w:r>
      <w:bookmarkEnd w:id="331"/>
      <w:bookmarkEnd w:id="332"/>
      <w:bookmarkEnd w:id="333"/>
      <w:bookmarkEnd w:id="334"/>
      <w:bookmarkEnd w:id="335"/>
      <w:bookmarkEnd w:id="336"/>
      <w:bookmarkEnd w:id="337"/>
    </w:p>
    <w:p w14:paraId="43FFBDA5" w14:textId="3D21BEC3" w:rsidR="00282729" w:rsidRPr="000F23E0" w:rsidRDefault="00282729" w:rsidP="00282729">
      <w:pPr>
        <w:pStyle w:val="ChartGraphic"/>
      </w:pPr>
      <w:r w:rsidRPr="000F23E0">
        <w:drawing>
          <wp:inline distT="0" distB="0" distL="0" distR="0" wp14:anchorId="56AC6763" wp14:editId="43143689">
            <wp:extent cx="5759450" cy="5056505"/>
            <wp:effectExtent l="0" t="0" r="0" b="0"/>
            <wp:docPr id="1841660806" name="Picture 1" descr="Figure 9 is a map showing the locations of projects managed by the Saving Koalas Fund, concentrated along the east coast of Australia. Projects are shown across Queensland and New South Wales, with clusters near coastal and eastern inland areas, including around Brisbane, Sydney, and the Northern Rivers region. Symbols indicate different types of projects, including large habitat restoration projects, community‑supported local initiatives, and koala hospital and health invest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660806" name="Picture 1" descr="Figure 9 is a map showing the locations of projects managed by the Saving Koalas Fund, concentrated along the east coast of Australia. Projects are shown across Queensland and New South Wales, with clusters near coastal and eastern inland areas, including around Brisbane, Sydney, and the Northern Rivers region. Symbols indicate different types of projects, including large habitat restoration projects, community‑supported local initiatives, and koala hospital and health investments."/>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759450" cy="5056505"/>
                    </a:xfrm>
                    <a:prstGeom prst="rect">
                      <a:avLst/>
                    </a:prstGeom>
                    <a:noFill/>
                    <a:ln>
                      <a:noFill/>
                    </a:ln>
                  </pic:spPr>
                </pic:pic>
              </a:graphicData>
            </a:graphic>
          </wp:inline>
        </w:drawing>
      </w:r>
    </w:p>
    <w:p w14:paraId="7D76CFD4" w14:textId="79D66845" w:rsidR="002D33EA" w:rsidRPr="000F23E0" w:rsidRDefault="002D33EA" w:rsidP="002D33EA">
      <w:pPr>
        <w:pStyle w:val="ChartorTableNote"/>
      </w:pPr>
      <w:r w:rsidRPr="000F23E0">
        <w:t>DCCEEW (2024), Saving Koalas Fund</w:t>
      </w:r>
    </w:p>
    <w:p w14:paraId="0B9CB25E" w14:textId="77777777" w:rsidR="00FD3F58" w:rsidRPr="000F23E0" w:rsidRDefault="00FD3F58" w:rsidP="00FD3F58">
      <w:pPr>
        <w:pStyle w:val="SingleParagraph"/>
      </w:pPr>
    </w:p>
    <w:p w14:paraId="7E6BA2F9" w14:textId="187B10E4" w:rsidR="00E479C8" w:rsidRPr="000F23E0" w:rsidRDefault="00B65AA6" w:rsidP="00F55854">
      <w:pPr>
        <w:pStyle w:val="Heading4"/>
      </w:pPr>
      <w:r w:rsidRPr="000F23E0">
        <w:t>Social Co</w:t>
      </w:r>
      <w:r w:rsidR="002C4475" w:rsidRPr="000F23E0">
        <w:noBreakHyphen/>
      </w:r>
      <w:r w:rsidRPr="000F23E0">
        <w:t>benefits</w:t>
      </w:r>
    </w:p>
    <w:p w14:paraId="15501273" w14:textId="77777777" w:rsidR="00B65AA6" w:rsidRPr="000F23E0" w:rsidRDefault="00B65AA6" w:rsidP="00E72A51">
      <w:r w:rsidRPr="000F23E0">
        <w:t xml:space="preserve">The Saving Koalas Fund collaborates with First Nations communities in delivering projects. Several large habitat restoration projects engage First Nations peoples to understand land management and share knowledge on land and wildlife conservation practices. First Nations organisations have also been involved in habitat restoration and cultural burning activities. </w:t>
      </w:r>
    </w:p>
    <w:p w14:paraId="6B18E272" w14:textId="4325F634" w:rsidR="00B65AA6" w:rsidRPr="000F23E0" w:rsidRDefault="00B65AA6" w:rsidP="00E72A51">
      <w:r w:rsidRPr="000F23E0">
        <w:t xml:space="preserve">Community grant programs also partner with First Nations organisations and communities to provide guidance regarding land management and conservation and educate communities about First Nations cultural heritage, including </w:t>
      </w:r>
      <w:r w:rsidR="00E07FB5" w:rsidRPr="000F23E0">
        <w:t xml:space="preserve">3 </w:t>
      </w:r>
      <w:r w:rsidRPr="000F23E0">
        <w:t>First Nations led projects.</w:t>
      </w:r>
    </w:p>
    <w:p w14:paraId="1AB18ABF" w14:textId="535C851D" w:rsidR="00B65AA6" w:rsidRPr="000F23E0" w:rsidRDefault="00615651" w:rsidP="00955A88">
      <w:pPr>
        <w:pStyle w:val="Heading2"/>
        <w:keepLines/>
      </w:pPr>
      <w:bookmarkStart w:id="338" w:name="_Reef_2050"/>
      <w:bookmarkStart w:id="339" w:name="_Toc188028333"/>
      <w:bookmarkStart w:id="340" w:name="_Toc225155797"/>
      <w:bookmarkEnd w:id="338"/>
      <w:r w:rsidRPr="000F23E0">
        <w:lastRenderedPageBreak/>
        <w:t>Reef 2050</w:t>
      </w:r>
      <w:bookmarkEnd w:id="339"/>
      <w:bookmarkEnd w:id="340"/>
    </w:p>
    <w:p w14:paraId="16999F5F" w14:textId="44F6D401" w:rsidR="00FA644B" w:rsidRPr="000F23E0" w:rsidRDefault="00FA644B" w:rsidP="00955A88">
      <w:pPr>
        <w:keepNext/>
        <w:keepLines/>
      </w:pPr>
      <w:r w:rsidRPr="000F23E0">
        <w:t>The Great Barrier Reef is one of the world</w:t>
      </w:r>
      <w:r w:rsidR="002C4475" w:rsidRPr="000F23E0">
        <w:t>’</w:t>
      </w:r>
      <w:r w:rsidRPr="000F23E0">
        <w:t>s natural wonders, the largest coral reef on Earth, and an Australian icon. While the Reef faces significant threats, including from climate change, the Government is investing in its resilience and restoration to protect the Reef now and into the future. </w:t>
      </w:r>
    </w:p>
    <w:p w14:paraId="1E83B098" w14:textId="66832E90" w:rsidR="00FA644B" w:rsidRPr="000F23E0" w:rsidRDefault="00FA644B" w:rsidP="00955A88">
      <w:pPr>
        <w:keepNext/>
        <w:keepLines/>
      </w:pPr>
      <w:r w:rsidRPr="000F23E0">
        <w:t>The Australian and Queensland governments released the Reef 2050 Long Term Sustainability Plan in response to the World Heritage Committee</w:t>
      </w:r>
      <w:r w:rsidR="002C4475" w:rsidRPr="000F23E0">
        <w:t>’</w:t>
      </w:r>
      <w:r w:rsidRPr="000F23E0">
        <w:t>s recommendation that Australia develop a long</w:t>
      </w:r>
      <w:r w:rsidR="002C4475" w:rsidRPr="000F23E0">
        <w:noBreakHyphen/>
      </w:r>
      <w:r w:rsidRPr="000F23E0">
        <w:t>term plan for sustainable development to protect the Outstanding Universal Value of the Great Barrier Reef. </w:t>
      </w:r>
    </w:p>
    <w:p w14:paraId="3D1A69B9" w14:textId="4E19F3C5" w:rsidR="00FA644B" w:rsidRPr="000F23E0" w:rsidRDefault="00FA644B" w:rsidP="00955A88">
      <w:pPr>
        <w:keepNext/>
        <w:keepLines/>
      </w:pPr>
      <w:r w:rsidRPr="000F23E0">
        <w:t>The Reef 2050 Plan is Australia</w:t>
      </w:r>
      <w:r w:rsidR="002C4475" w:rsidRPr="000F23E0">
        <w:t>’</w:t>
      </w:r>
      <w:r w:rsidRPr="000F23E0">
        <w:t>s overarching strategy to improve the Reef</w:t>
      </w:r>
      <w:r w:rsidR="002C4475" w:rsidRPr="000F23E0">
        <w:t>’</w:t>
      </w:r>
      <w:r w:rsidRPr="000F23E0">
        <w:t xml:space="preserve">s health and resilience by delivering coordinated local, national and global action in key areas. The most recent Reef 2050 Plan was released in December 2021 with the vision that </w:t>
      </w:r>
      <w:r w:rsidR="002C4475" w:rsidRPr="000F23E0">
        <w:t>‘</w:t>
      </w:r>
      <w:r w:rsidRPr="000F23E0">
        <w:t>The Great Barrier Reef is sustained as a living natural and cultural wonder of the world.</w:t>
      </w:r>
      <w:r w:rsidR="002C4475" w:rsidRPr="000F23E0">
        <w:t>’</w:t>
      </w:r>
    </w:p>
    <w:p w14:paraId="3956A205" w14:textId="77777777" w:rsidR="00FA644B" w:rsidRPr="000F23E0" w:rsidRDefault="00FA644B" w:rsidP="00955A88">
      <w:pPr>
        <w:keepNext/>
        <w:keepLines/>
      </w:pPr>
      <w:r w:rsidRPr="000F23E0">
        <w:t>The Reef 2050 Plan has 5 priority areas for action: </w:t>
      </w:r>
    </w:p>
    <w:p w14:paraId="4B925C0D" w14:textId="77777777" w:rsidR="00FA644B" w:rsidRPr="000F23E0" w:rsidRDefault="00FA644B" w:rsidP="00955A88">
      <w:pPr>
        <w:pStyle w:val="Bullet"/>
        <w:keepNext/>
        <w:keepLines/>
      </w:pPr>
      <w:r w:rsidRPr="000F23E0">
        <w:t>limit the impacts of climate change by contributing to global efforts to reduce emissions and supporting the Reef and communities to adapt </w:t>
      </w:r>
    </w:p>
    <w:p w14:paraId="48E24E71" w14:textId="6C6056A6" w:rsidR="00FA644B" w:rsidRPr="000F23E0" w:rsidRDefault="00FA644B" w:rsidP="00955A88">
      <w:pPr>
        <w:pStyle w:val="Bullet"/>
        <w:keepNext/>
        <w:keepLines/>
      </w:pPr>
      <w:r w:rsidRPr="000F23E0">
        <w:t>improve water quality by working with landholders, industries and communities to accelerate action to reduce the impacts from land</w:t>
      </w:r>
      <w:r w:rsidR="002C4475" w:rsidRPr="000F23E0">
        <w:noBreakHyphen/>
      </w:r>
      <w:r w:rsidRPr="000F23E0">
        <w:t>based activities </w:t>
      </w:r>
    </w:p>
    <w:p w14:paraId="2CE81839" w14:textId="739588F9" w:rsidR="00FA644B" w:rsidRPr="000F23E0" w:rsidRDefault="00FA644B" w:rsidP="00DC1978">
      <w:pPr>
        <w:pStyle w:val="Bullet"/>
      </w:pPr>
      <w:r w:rsidRPr="000F23E0">
        <w:t>reduce impacts from water</w:t>
      </w:r>
      <w:r w:rsidR="002C4475" w:rsidRPr="000F23E0">
        <w:noBreakHyphen/>
      </w:r>
      <w:r w:rsidRPr="000F23E0">
        <w:t>based activities by strengthening partnerships with Reef industries and delivering strong marine park management </w:t>
      </w:r>
    </w:p>
    <w:p w14:paraId="5EF60E02" w14:textId="77777777" w:rsidR="00FA644B" w:rsidRPr="000F23E0" w:rsidRDefault="00FA644B" w:rsidP="00DC1978">
      <w:pPr>
        <w:pStyle w:val="Bullet"/>
      </w:pPr>
      <w:r w:rsidRPr="000F23E0">
        <w:t>influence the reduction of international sources of impact to reduce marine debris entering the Reef from outside Australia and protect migratory species </w:t>
      </w:r>
    </w:p>
    <w:p w14:paraId="2322FFCF" w14:textId="2F6E429F" w:rsidR="0050594F" w:rsidRPr="000F23E0" w:rsidRDefault="00FA644B" w:rsidP="00DC1978">
      <w:pPr>
        <w:pStyle w:val="Bullet"/>
      </w:pPr>
      <w:r w:rsidRPr="000F23E0">
        <w:t>protect, rehabilitate, and restore Reef habitat, species and heritage sites by minimising impacts from disturbances and assisting with their recovery. </w:t>
      </w:r>
    </w:p>
    <w:p w14:paraId="49E33F2B" w14:textId="3680E867" w:rsidR="007F5D88" w:rsidRPr="000F23E0" w:rsidRDefault="00B07AE9" w:rsidP="00425F03">
      <w:pPr>
        <w:pStyle w:val="Heading3"/>
      </w:pPr>
      <w:r w:rsidRPr="000F23E0">
        <w:t>Green Treasury Bond Allocation</w:t>
      </w:r>
    </w:p>
    <w:p w14:paraId="65BF3F45" w14:textId="4A5446D7" w:rsidR="00542C1D" w:rsidRPr="000F23E0" w:rsidRDefault="00611CEF" w:rsidP="00C06EDA">
      <w:r w:rsidRPr="000F23E0">
        <w:t>GTB</w:t>
      </w:r>
      <w:r w:rsidR="00542C1D" w:rsidRPr="000F23E0">
        <w:t>s contributed $</w:t>
      </w:r>
      <w:r w:rsidR="001A5B2B" w:rsidRPr="000F23E0">
        <w:t>69.7</w:t>
      </w:r>
      <w:r w:rsidR="00542C1D" w:rsidRPr="000F23E0">
        <w:t xml:space="preserve"> million over </w:t>
      </w:r>
      <w:r w:rsidR="00FF258B" w:rsidRPr="000F23E0">
        <w:t>202</w:t>
      </w:r>
      <w:r w:rsidR="00C06EDA" w:rsidRPr="000F23E0">
        <w:t>4</w:t>
      </w:r>
      <w:r w:rsidR="00ED5506" w:rsidRPr="000F23E0">
        <w:t>–</w:t>
      </w:r>
      <w:r w:rsidR="00542C1D" w:rsidRPr="000F23E0">
        <w:t>2</w:t>
      </w:r>
      <w:r w:rsidR="00C06EDA" w:rsidRPr="000F23E0">
        <w:t>5</w:t>
      </w:r>
      <w:r w:rsidR="00542C1D" w:rsidRPr="000F23E0">
        <w:t xml:space="preserve"> to the Reef 2050 Plan</w:t>
      </w:r>
      <w:r w:rsidR="00E328DC" w:rsidRPr="000F23E0">
        <w:t xml:space="preserve"> (</w:t>
      </w:r>
      <w:r w:rsidR="00A04537" w:rsidRPr="000F23E0">
        <w:t>Table 3</w:t>
      </w:r>
      <w:r w:rsidR="00937C84" w:rsidRPr="000F23E0">
        <w:t>7</w:t>
      </w:r>
      <w:r w:rsidR="004546BA" w:rsidRPr="000F23E0">
        <w:fldChar w:fldCharType="begin"/>
      </w:r>
      <w:r w:rsidR="004546BA" w:rsidRPr="000F23E0">
        <w:instrText xml:space="preserve"> REF _Ref220513072 \h </w:instrText>
      </w:r>
      <w:r w:rsidR="004546BA" w:rsidRPr="000F23E0">
        <w:fldChar w:fldCharType="separate"/>
      </w:r>
      <w:r w:rsidR="004546BA" w:rsidRPr="000F23E0">
        <w:fldChar w:fldCharType="end"/>
      </w:r>
      <w:r w:rsidR="004546BA" w:rsidRPr="000F23E0">
        <w:t>).</w:t>
      </w:r>
    </w:p>
    <w:p w14:paraId="185C371B" w14:textId="12F49385" w:rsidR="000D48FD" w:rsidRPr="000F23E0" w:rsidRDefault="002868B7" w:rsidP="00C06EDA">
      <w:r w:rsidRPr="000F23E0">
        <w:t>Projects</w:t>
      </w:r>
      <w:r w:rsidR="00542C1D" w:rsidRPr="000F23E0">
        <w:t xml:space="preserve"> are funded through a range of mechanisms, including grants, procurements, partnerships and other financial arrangements. Detailed allocation by sub</w:t>
      </w:r>
      <w:r w:rsidR="002C4475" w:rsidRPr="000F23E0">
        <w:noBreakHyphen/>
      </w:r>
      <w:r w:rsidR="00542C1D" w:rsidRPr="000F23E0">
        <w:t>projects is not available at this stage.</w:t>
      </w:r>
    </w:p>
    <w:p w14:paraId="02811E59" w14:textId="1F6FA08C" w:rsidR="00247322" w:rsidRPr="000F23E0" w:rsidRDefault="00A42C41" w:rsidP="00C06EDA">
      <w:r w:rsidRPr="000F23E0">
        <w:t xml:space="preserve">The total Government contribution </w:t>
      </w:r>
      <w:r w:rsidR="00EF3E0D" w:rsidRPr="000F23E0">
        <w:t xml:space="preserve">and the total cost of the project </w:t>
      </w:r>
      <w:r w:rsidRPr="000F23E0">
        <w:t xml:space="preserve">reflects Australian Government funding </w:t>
      </w:r>
      <w:r w:rsidR="00B81226" w:rsidRPr="000F23E0">
        <w:t xml:space="preserve">for on ground Reef protection and restoration programs </w:t>
      </w:r>
      <w:r w:rsidR="005A7DA6" w:rsidRPr="000F23E0">
        <w:t>in scope of the Green Bond Program</w:t>
      </w:r>
      <w:r w:rsidR="00B81226" w:rsidRPr="000F23E0">
        <w:t xml:space="preserve"> </w:t>
      </w:r>
      <w:r w:rsidRPr="000F23E0">
        <w:t xml:space="preserve">from </w:t>
      </w:r>
      <w:r w:rsidR="004A0708" w:rsidRPr="000F23E0">
        <w:t>20</w:t>
      </w:r>
      <w:r w:rsidR="002726C6" w:rsidRPr="000F23E0">
        <w:t>22</w:t>
      </w:r>
      <w:r w:rsidR="004A0708" w:rsidRPr="000F23E0">
        <w:t>–</w:t>
      </w:r>
      <w:r w:rsidR="00361648" w:rsidRPr="000F23E0">
        <w:t>23</w:t>
      </w:r>
      <w:r w:rsidRPr="000F23E0">
        <w:t xml:space="preserve"> to </w:t>
      </w:r>
      <w:r w:rsidR="00476E92" w:rsidRPr="000F23E0">
        <w:t>2029</w:t>
      </w:r>
      <w:r w:rsidR="00BB60BE" w:rsidRPr="000F23E0">
        <w:t>–</w:t>
      </w:r>
      <w:r w:rsidR="00C201C5" w:rsidRPr="000F23E0">
        <w:t>30</w:t>
      </w:r>
      <w:r w:rsidR="00B81226" w:rsidRPr="000F23E0">
        <w:t xml:space="preserve"> under </w:t>
      </w:r>
      <w:r w:rsidR="00B81226" w:rsidRPr="000F23E0">
        <w:rPr>
          <w:bCs/>
          <w:iCs/>
        </w:rPr>
        <w:t>the</w:t>
      </w:r>
      <w:r w:rsidR="00B81226" w:rsidRPr="000F23E0">
        <w:rPr>
          <w:b/>
          <w:iCs/>
        </w:rPr>
        <w:t xml:space="preserve"> Reef 2050 Plan 2021</w:t>
      </w:r>
      <w:r w:rsidR="00B81226" w:rsidRPr="000F23E0">
        <w:rPr>
          <w:rFonts w:cstheme="minorHAnsi"/>
          <w:b/>
          <w:szCs w:val="22"/>
        </w:rPr>
        <w:t>–</w:t>
      </w:r>
      <w:r w:rsidR="00B81226" w:rsidRPr="000F23E0">
        <w:rPr>
          <w:b/>
          <w:iCs/>
        </w:rPr>
        <w:t>25</w:t>
      </w:r>
      <w:r w:rsidRPr="000F23E0">
        <w:t>.</w:t>
      </w:r>
      <w:r w:rsidR="006C4C75" w:rsidRPr="000F23E0">
        <w:t xml:space="preserve"> </w:t>
      </w:r>
    </w:p>
    <w:p w14:paraId="2FEDE799" w14:textId="24628042" w:rsidR="00A42C41" w:rsidRPr="000F23E0" w:rsidRDefault="00FA055E" w:rsidP="00551F72">
      <w:pPr>
        <w:pStyle w:val="TableMainHeading"/>
      </w:pPr>
      <w:bookmarkStart w:id="341" w:name="_Toc220662896"/>
      <w:bookmarkStart w:id="342" w:name="_Toc224637847"/>
      <w:bookmarkStart w:id="343" w:name="_Toc224642511"/>
      <w:bookmarkStart w:id="344" w:name="_Toc225153487"/>
      <w:bookmarkStart w:id="345" w:name="_Toc225154533"/>
      <w:bookmarkStart w:id="346" w:name="_Toc225155798"/>
      <w:r w:rsidRPr="000F23E0">
        <w:t xml:space="preserve">Table </w:t>
      </w:r>
      <w:r w:rsidR="00A04537" w:rsidRPr="000F23E0">
        <w:t>3</w:t>
      </w:r>
      <w:r w:rsidR="0068550D" w:rsidRPr="000F23E0">
        <w:t>7:</w:t>
      </w:r>
      <w:r w:rsidR="0062616E" w:rsidRPr="000F23E0">
        <w:t xml:space="preserve"> Allocation Data for Reef 2050 ($ million)</w:t>
      </w:r>
      <w:bookmarkEnd w:id="341"/>
      <w:bookmarkEnd w:id="342"/>
      <w:bookmarkEnd w:id="343"/>
      <w:bookmarkEnd w:id="344"/>
      <w:bookmarkEnd w:id="345"/>
      <w:bookmarkEnd w:id="346"/>
    </w:p>
    <w:tbl>
      <w:tblPr>
        <w:tblStyle w:val="GridTable4-Accent2"/>
        <w:tblW w:w="5001" w:type="pct"/>
        <w:tblInd w:w="5" w:type="dxa"/>
        <w:tblBorders>
          <w:top w:val="single" w:sz="4" w:space="0" w:color="DFA795"/>
          <w:bottom w:val="single" w:sz="4" w:space="0" w:color="DFA795"/>
          <w:insideH w:val="single" w:sz="4" w:space="0" w:color="DFA795"/>
        </w:tblBorders>
        <w:tblLayout w:type="fixed"/>
        <w:tblLook w:val="04A0" w:firstRow="1" w:lastRow="0" w:firstColumn="1" w:lastColumn="0" w:noHBand="0" w:noVBand="1"/>
      </w:tblPr>
      <w:tblGrid>
        <w:gridCol w:w="2263"/>
        <w:gridCol w:w="1362"/>
        <w:gridCol w:w="1327"/>
        <w:gridCol w:w="2556"/>
        <w:gridCol w:w="1564"/>
      </w:tblGrid>
      <w:tr w:rsidR="00E204E1" w:rsidRPr="000F23E0" w14:paraId="714CC1D4" w14:textId="77777777" w:rsidTr="00955A88">
        <w:trPr>
          <w:cnfStyle w:val="100000000000" w:firstRow="1" w:lastRow="0" w:firstColumn="0" w:lastColumn="0" w:oddVBand="0" w:evenVBand="0" w:oddHBand="0" w:evenHBand="0" w:firstRowFirstColumn="0" w:firstRowLastColumn="0" w:lastRowFirstColumn="0" w:lastRowLastColumn="0"/>
          <w:trHeight w:val="351"/>
        </w:trPr>
        <w:tc>
          <w:tcPr>
            <w:cnfStyle w:val="001000000000" w:firstRow="0" w:lastRow="0" w:firstColumn="1" w:lastColumn="0" w:oddVBand="0" w:evenVBand="0" w:oddHBand="0" w:evenHBand="0" w:firstRowFirstColumn="0" w:firstRowLastColumn="0" w:lastRowFirstColumn="0" w:lastRowLastColumn="0"/>
            <w:tcW w:w="2263" w:type="dxa"/>
            <w:shd w:val="clear" w:color="auto" w:fill="F1D0C6"/>
          </w:tcPr>
          <w:p w14:paraId="6F2AAF73" w14:textId="102020D0" w:rsidR="00E204E1" w:rsidRPr="000F23E0" w:rsidRDefault="00452750" w:rsidP="0018673A">
            <w:pPr>
              <w:pStyle w:val="TableColumnHeadingLeft"/>
              <w:rPr>
                <w:b/>
                <w:bCs w:val="0"/>
              </w:rPr>
            </w:pPr>
            <w:r w:rsidRPr="000F23E0">
              <w:rPr>
                <w:b/>
                <w:bCs w:val="0"/>
              </w:rPr>
              <w:t>Eligible Green Project</w:t>
            </w:r>
          </w:p>
        </w:tc>
        <w:tc>
          <w:tcPr>
            <w:tcW w:w="1362" w:type="dxa"/>
            <w:shd w:val="clear" w:color="auto" w:fill="F1D0C6"/>
          </w:tcPr>
          <w:p w14:paraId="4DFA1311" w14:textId="4922A87E" w:rsidR="00E204E1" w:rsidRPr="000F23E0" w:rsidRDefault="00E204E1" w:rsidP="0018673A">
            <w:pPr>
              <w:pStyle w:val="TableColumnHeadingRight"/>
              <w:cnfStyle w:val="100000000000" w:firstRow="1" w:lastRow="0" w:firstColumn="0" w:lastColumn="0" w:oddVBand="0" w:evenVBand="0" w:oddHBand="0" w:evenHBand="0" w:firstRowFirstColumn="0" w:firstRowLastColumn="0" w:lastRowFirstColumn="0" w:lastRowLastColumn="0"/>
              <w:rPr>
                <w:b/>
              </w:rPr>
            </w:pPr>
            <w:r w:rsidRPr="000F23E0">
              <w:rPr>
                <w:b/>
              </w:rPr>
              <w:t>2024</w:t>
            </w:r>
            <w:r w:rsidR="00ED5506" w:rsidRPr="000F23E0">
              <w:rPr>
                <w:b/>
              </w:rPr>
              <w:t>–</w:t>
            </w:r>
            <w:r w:rsidRPr="000F23E0">
              <w:rPr>
                <w:b/>
              </w:rPr>
              <w:t xml:space="preserve">25 Expenditure </w:t>
            </w:r>
          </w:p>
        </w:tc>
        <w:tc>
          <w:tcPr>
            <w:tcW w:w="1327" w:type="dxa"/>
            <w:shd w:val="clear" w:color="auto" w:fill="F1D0C6"/>
          </w:tcPr>
          <w:p w14:paraId="5399B4E7" w14:textId="0125A378" w:rsidR="00E204E1" w:rsidRPr="000F23E0" w:rsidRDefault="00E204E1" w:rsidP="0018673A">
            <w:pPr>
              <w:pStyle w:val="TableColumnHeadingRight"/>
              <w:cnfStyle w:val="100000000000" w:firstRow="1" w:lastRow="0" w:firstColumn="0" w:lastColumn="0" w:oddVBand="0" w:evenVBand="0" w:oddHBand="0" w:evenHBand="0" w:firstRowFirstColumn="0" w:firstRowLastColumn="0" w:lastRowFirstColumn="0" w:lastRowLastColumn="0"/>
              <w:rPr>
                <w:b/>
              </w:rPr>
            </w:pPr>
            <w:r w:rsidRPr="000F23E0">
              <w:rPr>
                <w:b/>
              </w:rPr>
              <w:t>2024</w:t>
            </w:r>
            <w:r w:rsidR="00ED5506" w:rsidRPr="000F23E0">
              <w:rPr>
                <w:b/>
              </w:rPr>
              <w:t>–</w:t>
            </w:r>
            <w:r w:rsidRPr="000F23E0">
              <w:rPr>
                <w:b/>
              </w:rPr>
              <w:t xml:space="preserve">25 Allocation </w:t>
            </w:r>
          </w:p>
        </w:tc>
        <w:tc>
          <w:tcPr>
            <w:tcW w:w="2556" w:type="dxa"/>
            <w:shd w:val="clear" w:color="auto" w:fill="F1D0C6"/>
          </w:tcPr>
          <w:p w14:paraId="4ABDF1EF" w14:textId="5D0B47B7" w:rsidR="00E204E1" w:rsidRPr="000F23E0" w:rsidRDefault="00E204E1" w:rsidP="0018673A">
            <w:pPr>
              <w:pStyle w:val="TableColumnHeadingRight"/>
              <w:cnfStyle w:val="100000000000" w:firstRow="1" w:lastRow="0" w:firstColumn="0" w:lastColumn="0" w:oddVBand="0" w:evenVBand="0" w:oddHBand="0" w:evenHBand="0" w:firstRowFirstColumn="0" w:firstRowLastColumn="0" w:lastRowFirstColumn="0" w:lastRowLastColumn="0"/>
              <w:rPr>
                <w:b/>
              </w:rPr>
            </w:pPr>
            <w:r w:rsidRPr="000F23E0">
              <w:rPr>
                <w:b/>
              </w:rPr>
              <w:t>Total Australian Government</w:t>
            </w:r>
            <w:r w:rsidR="00955A88" w:rsidRPr="000F23E0">
              <w:rPr>
                <w:b/>
              </w:rPr>
              <w:t> </w:t>
            </w:r>
            <w:r w:rsidRPr="000F23E0">
              <w:rPr>
                <w:b/>
              </w:rPr>
              <w:t xml:space="preserve">Contribution </w:t>
            </w:r>
          </w:p>
        </w:tc>
        <w:tc>
          <w:tcPr>
            <w:tcW w:w="1564" w:type="dxa"/>
            <w:shd w:val="clear" w:color="auto" w:fill="F1D0C6"/>
          </w:tcPr>
          <w:p w14:paraId="73F74CDD" w14:textId="0FFE64D3" w:rsidR="00E204E1" w:rsidRPr="000F23E0" w:rsidRDefault="00E204E1" w:rsidP="0018673A">
            <w:pPr>
              <w:pStyle w:val="TableColumnHeadingRight"/>
              <w:cnfStyle w:val="100000000000" w:firstRow="1" w:lastRow="0" w:firstColumn="0" w:lastColumn="0" w:oddVBand="0" w:evenVBand="0" w:oddHBand="0" w:evenHBand="0" w:firstRowFirstColumn="0" w:firstRowLastColumn="0" w:lastRowFirstColumn="0" w:lastRowLastColumn="0"/>
              <w:rPr>
                <w:b/>
              </w:rPr>
            </w:pPr>
            <w:r w:rsidRPr="000F23E0">
              <w:rPr>
                <w:b/>
              </w:rPr>
              <w:t>Total Cost of</w:t>
            </w:r>
            <w:r w:rsidR="00955A88" w:rsidRPr="000F23E0">
              <w:rPr>
                <w:b/>
              </w:rPr>
              <w:t> </w:t>
            </w:r>
            <w:r w:rsidRPr="000F23E0">
              <w:rPr>
                <w:b/>
              </w:rPr>
              <w:t xml:space="preserve">Project </w:t>
            </w:r>
          </w:p>
        </w:tc>
      </w:tr>
      <w:tr w:rsidR="00E204E1" w:rsidRPr="000F23E0" w14:paraId="68D7873E" w14:textId="77777777" w:rsidTr="00955A88">
        <w:trPr>
          <w:trHeight w:val="85"/>
        </w:trPr>
        <w:tc>
          <w:tcPr>
            <w:cnfStyle w:val="001000000000" w:firstRow="0" w:lastRow="0" w:firstColumn="1" w:lastColumn="0" w:oddVBand="0" w:evenVBand="0" w:oddHBand="0" w:evenHBand="0" w:firstRowFirstColumn="0" w:firstRowLastColumn="0" w:lastRowFirstColumn="0" w:lastRowLastColumn="0"/>
            <w:tcW w:w="2263" w:type="dxa"/>
            <w:shd w:val="clear" w:color="auto" w:fill="FDF0E7"/>
          </w:tcPr>
          <w:p w14:paraId="7ECEEA4D" w14:textId="77777777" w:rsidR="00E204E1" w:rsidRPr="000F23E0" w:rsidRDefault="00E204E1" w:rsidP="00955A88">
            <w:pPr>
              <w:pStyle w:val="TableTextLeft"/>
            </w:pPr>
            <w:r w:rsidRPr="000F23E0">
              <w:t>Reef 2050</w:t>
            </w:r>
            <w:r w:rsidRPr="000F23E0" w:rsidDel="00142871">
              <w:t xml:space="preserve"> </w:t>
            </w:r>
          </w:p>
        </w:tc>
        <w:tc>
          <w:tcPr>
            <w:tcW w:w="1362" w:type="dxa"/>
            <w:shd w:val="clear" w:color="auto" w:fill="FEFAF8"/>
          </w:tcPr>
          <w:p w14:paraId="7C9CEE8E" w14:textId="0CAD47E2" w:rsidR="00E204E1" w:rsidRPr="000F23E0" w:rsidRDefault="009A55E4" w:rsidP="00955A88">
            <w:pPr>
              <w:pStyle w:val="TableTextRight"/>
              <w:cnfStyle w:val="000000000000" w:firstRow="0" w:lastRow="0" w:firstColumn="0" w:lastColumn="0" w:oddVBand="0" w:evenVBand="0" w:oddHBand="0" w:evenHBand="0" w:firstRowFirstColumn="0" w:firstRowLastColumn="0" w:lastRowFirstColumn="0" w:lastRowLastColumn="0"/>
            </w:pPr>
            <w:r w:rsidRPr="000F23E0">
              <w:t>1</w:t>
            </w:r>
            <w:r w:rsidR="002A7ADB" w:rsidRPr="000F23E0">
              <w:t>28.7</w:t>
            </w:r>
          </w:p>
        </w:tc>
        <w:tc>
          <w:tcPr>
            <w:tcW w:w="1327" w:type="dxa"/>
            <w:shd w:val="clear" w:color="auto" w:fill="FEFAF8"/>
          </w:tcPr>
          <w:p w14:paraId="1691C4BC" w14:textId="202C0CCD" w:rsidR="00E204E1" w:rsidRPr="000F23E0" w:rsidRDefault="001A5B2B" w:rsidP="00955A88">
            <w:pPr>
              <w:pStyle w:val="TableTextRight"/>
              <w:cnfStyle w:val="000000000000" w:firstRow="0" w:lastRow="0" w:firstColumn="0" w:lastColumn="0" w:oddVBand="0" w:evenVBand="0" w:oddHBand="0" w:evenHBand="0" w:firstRowFirstColumn="0" w:firstRowLastColumn="0" w:lastRowFirstColumn="0" w:lastRowLastColumn="0"/>
            </w:pPr>
            <w:r w:rsidRPr="000F23E0">
              <w:t>69.7</w:t>
            </w:r>
          </w:p>
        </w:tc>
        <w:tc>
          <w:tcPr>
            <w:tcW w:w="2556" w:type="dxa"/>
            <w:shd w:val="clear" w:color="auto" w:fill="FEFAF8"/>
          </w:tcPr>
          <w:p w14:paraId="713525C1" w14:textId="49819F73" w:rsidR="00E204E1" w:rsidRPr="000F23E0" w:rsidRDefault="00AE1ABB" w:rsidP="00955A88">
            <w:pPr>
              <w:pStyle w:val="TableTextRight"/>
              <w:cnfStyle w:val="000000000000" w:firstRow="0" w:lastRow="0" w:firstColumn="0" w:lastColumn="0" w:oddVBand="0" w:evenVBand="0" w:oddHBand="0" w:evenHBand="0" w:firstRowFirstColumn="0" w:firstRowLastColumn="0" w:lastRowFirstColumn="0" w:lastRowLastColumn="0"/>
            </w:pPr>
            <w:r w:rsidRPr="000F23E0">
              <w:t>807.5</w:t>
            </w:r>
          </w:p>
        </w:tc>
        <w:tc>
          <w:tcPr>
            <w:tcW w:w="1564" w:type="dxa"/>
            <w:shd w:val="clear" w:color="auto" w:fill="FEFAF8"/>
          </w:tcPr>
          <w:p w14:paraId="1EF64591" w14:textId="19F1EC99" w:rsidR="00E204E1" w:rsidRPr="000F23E0" w:rsidRDefault="00AE1ABB" w:rsidP="00955A88">
            <w:pPr>
              <w:pStyle w:val="TableTextRight"/>
              <w:cnfStyle w:val="000000000000" w:firstRow="0" w:lastRow="0" w:firstColumn="0" w:lastColumn="0" w:oddVBand="0" w:evenVBand="0" w:oddHBand="0" w:evenHBand="0" w:firstRowFirstColumn="0" w:firstRowLastColumn="0" w:lastRowFirstColumn="0" w:lastRowLastColumn="0"/>
            </w:pPr>
            <w:r w:rsidRPr="000F23E0">
              <w:t>807.5</w:t>
            </w:r>
          </w:p>
        </w:tc>
      </w:tr>
    </w:tbl>
    <w:p w14:paraId="0B9855BC" w14:textId="6D5C4E2E" w:rsidR="00A42C41" w:rsidRPr="000F23E0" w:rsidRDefault="007B0BD1" w:rsidP="00955A88">
      <w:pPr>
        <w:pStyle w:val="Heading4"/>
        <w:keepNext/>
        <w:keepLines/>
      </w:pPr>
      <w:r w:rsidRPr="000F23E0">
        <w:lastRenderedPageBreak/>
        <w:t>Co</w:t>
      </w:r>
      <w:r w:rsidR="002C4475" w:rsidRPr="000F23E0">
        <w:noBreakHyphen/>
      </w:r>
      <w:r w:rsidRPr="000F23E0">
        <w:t>financing Arrangements</w:t>
      </w:r>
    </w:p>
    <w:p w14:paraId="3AC1437D" w14:textId="3121286B" w:rsidR="001A1B46" w:rsidRPr="000F23E0" w:rsidRDefault="001A1B46" w:rsidP="00955A88">
      <w:pPr>
        <w:keepNext/>
        <w:keepLines/>
        <w:shd w:val="clear" w:color="auto" w:fill="FFFFFF" w:themeFill="background1"/>
      </w:pPr>
      <w:r w:rsidRPr="000F23E0">
        <w:t xml:space="preserve">The </w:t>
      </w:r>
      <w:r w:rsidR="002B3B25" w:rsidRPr="000F23E0">
        <w:t xml:space="preserve">combined </w:t>
      </w:r>
      <w:r w:rsidRPr="000F23E0">
        <w:t>Australian and Queensland government investment in the Reef is more than $5</w:t>
      </w:r>
      <w:r w:rsidR="00955A88" w:rsidRPr="000F23E0">
        <w:t> </w:t>
      </w:r>
      <w:r w:rsidRPr="000F23E0">
        <w:t xml:space="preserve">billion from 2014 to 2030. </w:t>
      </w:r>
      <w:r w:rsidR="002F6BA9" w:rsidRPr="000F23E0">
        <w:t>The</w:t>
      </w:r>
      <w:r w:rsidRPr="000F23E0">
        <w:t xml:space="preserve"> $807.5 million </w:t>
      </w:r>
      <w:r w:rsidR="00CA70CE" w:rsidRPr="000F23E0">
        <w:t>cover</w:t>
      </w:r>
      <w:r w:rsidR="002B3B25" w:rsidRPr="000F23E0">
        <w:t>ed</w:t>
      </w:r>
      <w:r w:rsidR="00CA70CE" w:rsidRPr="000F23E0">
        <w:t xml:space="preserve"> in this</w:t>
      </w:r>
      <w:r w:rsidR="00AB4494" w:rsidRPr="000F23E0">
        <w:t xml:space="preserve"> reporting is part </w:t>
      </w:r>
      <w:r w:rsidR="00DA3679" w:rsidRPr="000F23E0">
        <w:t xml:space="preserve">of the total </w:t>
      </w:r>
      <w:r w:rsidR="00D86B17" w:rsidRPr="000F23E0">
        <w:t>$3.7</w:t>
      </w:r>
      <w:r w:rsidR="00955A88" w:rsidRPr="000F23E0">
        <w:t> </w:t>
      </w:r>
      <w:r w:rsidR="00D86B17" w:rsidRPr="000F23E0">
        <w:t xml:space="preserve">billion </w:t>
      </w:r>
      <w:r w:rsidR="00D03349" w:rsidRPr="000F23E0">
        <w:t>Australian Government investment</w:t>
      </w:r>
      <w:r w:rsidRPr="000F23E0">
        <w:t>.</w:t>
      </w:r>
      <w:r w:rsidR="00AE1ABB" w:rsidRPr="000F23E0">
        <w:t xml:space="preserve"> </w:t>
      </w:r>
      <w:r w:rsidR="00D86B17" w:rsidRPr="000F23E0">
        <w:t>For this report, there has been a revised approach to</w:t>
      </w:r>
      <w:r w:rsidR="00D03349" w:rsidRPr="000F23E0">
        <w:t xml:space="preserve"> total </w:t>
      </w:r>
      <w:r w:rsidR="00146B9D" w:rsidRPr="000F23E0">
        <w:t>Australian Government Contribution and To</w:t>
      </w:r>
      <w:r w:rsidR="00390B0E" w:rsidRPr="000F23E0">
        <w:t>t</w:t>
      </w:r>
      <w:r w:rsidR="00146B9D" w:rsidRPr="000F23E0">
        <w:t xml:space="preserve">al </w:t>
      </w:r>
      <w:r w:rsidR="00D86B17" w:rsidRPr="000F23E0">
        <w:t xml:space="preserve">Project </w:t>
      </w:r>
      <w:r w:rsidR="00146B9D" w:rsidRPr="000F23E0">
        <w:t xml:space="preserve">Cost </w:t>
      </w:r>
      <w:r w:rsidR="005B2770" w:rsidRPr="000F23E0">
        <w:t>compared</w:t>
      </w:r>
      <w:r w:rsidR="00AE1ABB" w:rsidRPr="000F23E0">
        <w:t xml:space="preserve"> to reporting in the 2025 Allocation and Impact Report.</w:t>
      </w:r>
    </w:p>
    <w:p w14:paraId="01F6EA54" w14:textId="01FE2452" w:rsidR="007B0BD1" w:rsidRPr="000F23E0" w:rsidRDefault="00DF3ED4" w:rsidP="00425F03">
      <w:pPr>
        <w:pStyle w:val="Heading4"/>
      </w:pPr>
      <w:r w:rsidRPr="000F23E0">
        <w:t>Material Risks</w:t>
      </w:r>
    </w:p>
    <w:p w14:paraId="3B217396" w14:textId="458C11E9" w:rsidR="00DF3ED4" w:rsidRPr="000F23E0" w:rsidRDefault="00DF3ED4" w:rsidP="00323D32">
      <w:pPr>
        <w:shd w:val="clear" w:color="auto" w:fill="FFFFFF" w:themeFill="background1"/>
      </w:pPr>
      <w:r w:rsidRPr="000F23E0">
        <w:t>No material risks have been identified to deliver the Reef 2050</w:t>
      </w:r>
      <w:r w:rsidR="00745687" w:rsidRPr="000F23E0">
        <w:t>.</w:t>
      </w:r>
    </w:p>
    <w:p w14:paraId="3122B825" w14:textId="32A01844" w:rsidR="00745687" w:rsidRPr="000F23E0" w:rsidRDefault="00745687" w:rsidP="00425F03">
      <w:pPr>
        <w:pStyle w:val="Heading3"/>
      </w:pPr>
      <w:r w:rsidRPr="000F23E0">
        <w:t xml:space="preserve">Project </w:t>
      </w:r>
      <w:r w:rsidR="00191CF3" w:rsidRPr="000F23E0">
        <w:t>i</w:t>
      </w:r>
      <w:r w:rsidRPr="000F23E0">
        <w:t>mpacts</w:t>
      </w:r>
    </w:p>
    <w:p w14:paraId="14C7AF3C" w14:textId="0DD45943" w:rsidR="00275E05" w:rsidRPr="000F23E0" w:rsidRDefault="00275E05" w:rsidP="00B63D3B">
      <w:pPr>
        <w:rPr>
          <w:b/>
        </w:rPr>
      </w:pPr>
      <w:r w:rsidRPr="000F23E0">
        <w:t>The Reef 2050 Activities Report 2024–2025</w:t>
      </w:r>
      <w:r w:rsidR="00EE2103" w:rsidRPr="000F23E0">
        <w:t xml:space="preserve"> provides a summary of investments and contains case studies which highlight the results achieved through the Australian Government</w:t>
      </w:r>
      <w:r w:rsidR="002C4475" w:rsidRPr="000F23E0">
        <w:t>’</w:t>
      </w:r>
      <w:r w:rsidR="00EE2103" w:rsidRPr="000F23E0">
        <w:t>s significant long</w:t>
      </w:r>
      <w:r w:rsidR="002C4475" w:rsidRPr="000F23E0">
        <w:noBreakHyphen/>
      </w:r>
      <w:r w:rsidR="00EE2103" w:rsidRPr="000F23E0">
        <w:t xml:space="preserve"> term investment in the health of the Great Barrier Reef.</w:t>
      </w:r>
      <w:r w:rsidR="005A1F00" w:rsidRPr="000F23E0">
        <w:rPr>
          <w:rStyle w:val="EndnoteReference"/>
        </w:rPr>
        <w:endnoteReference w:id="70"/>
      </w:r>
      <w:r w:rsidRPr="000F23E0">
        <w:t xml:space="preserve"> </w:t>
      </w:r>
    </w:p>
    <w:p w14:paraId="11FC076A" w14:textId="3E9D9EC6" w:rsidR="0072306F" w:rsidRPr="000F23E0" w:rsidRDefault="00150F77" w:rsidP="00B63D3B">
      <w:pPr>
        <w:rPr>
          <w:b/>
        </w:rPr>
      </w:pPr>
      <w:r w:rsidRPr="000F23E0">
        <w:rPr>
          <w:bCs/>
        </w:rPr>
        <w:t>Water Quality activities</w:t>
      </w:r>
      <w:r w:rsidR="0072306F" w:rsidRPr="000F23E0">
        <w:t xml:space="preserve"> relate to Work Area 2 of the </w:t>
      </w:r>
      <w:hyperlink r:id="rId109" w:tgtFrame="_blank" w:history="1">
        <w:r w:rsidR="0072306F" w:rsidRPr="000F23E0">
          <w:rPr>
            <w:rStyle w:val="Hyperlink"/>
          </w:rPr>
          <w:t>Reef 2050 Pl</w:t>
        </w:r>
        <w:bookmarkStart w:id="347" w:name="_Hlt214030382"/>
        <w:bookmarkStart w:id="348" w:name="_Hlt214030383"/>
        <w:r w:rsidR="0072306F" w:rsidRPr="000F23E0">
          <w:rPr>
            <w:rStyle w:val="Hyperlink"/>
          </w:rPr>
          <w:t>a</w:t>
        </w:r>
        <w:bookmarkEnd w:id="347"/>
        <w:bookmarkEnd w:id="348"/>
        <w:r w:rsidR="0072306F" w:rsidRPr="000F23E0">
          <w:rPr>
            <w:rStyle w:val="Hyperlink"/>
          </w:rPr>
          <w:t>n 2021</w:t>
        </w:r>
        <w:r w:rsidR="00EE2103" w:rsidRPr="000F23E0">
          <w:rPr>
            <w:rFonts w:cstheme="minorHAnsi"/>
            <w:szCs w:val="22"/>
          </w:rPr>
          <w:t>–</w:t>
        </w:r>
        <w:r w:rsidR="0072306F" w:rsidRPr="000F23E0">
          <w:rPr>
            <w:rStyle w:val="Hyperlink"/>
          </w:rPr>
          <w:t>25</w:t>
        </w:r>
      </w:hyperlink>
      <w:r w:rsidR="0072306F" w:rsidRPr="000F23E0">
        <w:t xml:space="preserve"> which contribute to improving water quality in the Great Barrier Reef. The Reef 2050 Water Quality Improvement Plan sets out 2025 water quality targets and land management and catchment targets</w:t>
      </w:r>
      <w:r w:rsidR="002C4475" w:rsidRPr="000F23E0">
        <w:t xml:space="preserve">. </w:t>
      </w:r>
    </w:p>
    <w:p w14:paraId="221D6B71" w14:textId="74CF6CAC" w:rsidR="004F0420" w:rsidRPr="000F23E0" w:rsidRDefault="004F0420" w:rsidP="00B63D3B">
      <w:r w:rsidRPr="000F23E0">
        <w:t>The Australian Government 2025 targets to improve water quality in the Reef are:</w:t>
      </w:r>
    </w:p>
    <w:p w14:paraId="72C549CE" w14:textId="50B6F129" w:rsidR="008E14D7" w:rsidRPr="000F23E0" w:rsidRDefault="008E14D7" w:rsidP="00B63D3B">
      <w:pPr>
        <w:pStyle w:val="Bullet"/>
      </w:pPr>
      <w:r w:rsidRPr="000F23E0">
        <w:t>60</w:t>
      </w:r>
      <w:r w:rsidR="00955A88" w:rsidRPr="000F23E0">
        <w:t> </w:t>
      </w:r>
      <w:r w:rsidRPr="000F23E0">
        <w:t>per</w:t>
      </w:r>
      <w:r w:rsidR="00955A88" w:rsidRPr="000F23E0">
        <w:t> </w:t>
      </w:r>
      <w:r w:rsidRPr="000F23E0">
        <w:t>cent reduction of anthropogenic dissolved inorganic nitrogen load leaving Great Barrier Reef</w:t>
      </w:r>
      <w:r w:rsidR="0048145F" w:rsidRPr="000F23E0">
        <w:t> </w:t>
      </w:r>
      <w:r w:rsidRPr="000F23E0">
        <w:t>catchments</w:t>
      </w:r>
    </w:p>
    <w:p w14:paraId="15AD6AEF" w14:textId="5CEA8E84" w:rsidR="008E14D7" w:rsidRPr="000F23E0" w:rsidRDefault="008E14D7" w:rsidP="00B63D3B">
      <w:pPr>
        <w:pStyle w:val="Bullet"/>
      </w:pPr>
      <w:r w:rsidRPr="000F23E0">
        <w:t>25</w:t>
      </w:r>
      <w:r w:rsidR="00955A88" w:rsidRPr="000F23E0">
        <w:t> </w:t>
      </w:r>
      <w:r w:rsidRPr="000F23E0">
        <w:t>per</w:t>
      </w:r>
      <w:r w:rsidR="00955A88" w:rsidRPr="000F23E0">
        <w:t> </w:t>
      </w:r>
      <w:r w:rsidRPr="000F23E0">
        <w:t>cent reduction of anthropogenic fine sediment load leaving Great Barrier Reef catchments</w:t>
      </w:r>
    </w:p>
    <w:p w14:paraId="38EC197B" w14:textId="1DF700BC" w:rsidR="008E14D7" w:rsidRPr="000F23E0" w:rsidRDefault="008E14D7" w:rsidP="00B63D3B">
      <w:pPr>
        <w:pStyle w:val="Bullet"/>
      </w:pPr>
      <w:r w:rsidRPr="000F23E0">
        <w:t>20</w:t>
      </w:r>
      <w:r w:rsidR="00955A88" w:rsidRPr="000F23E0">
        <w:t> </w:t>
      </w:r>
      <w:r w:rsidRPr="000F23E0">
        <w:t>per</w:t>
      </w:r>
      <w:r w:rsidR="00955A88" w:rsidRPr="000F23E0">
        <w:t> </w:t>
      </w:r>
      <w:r w:rsidRPr="000F23E0">
        <w:t>cent reduction of anthropogenic particulate nitrogen load leaving Great Barrier Reef</w:t>
      </w:r>
      <w:r w:rsidR="0048145F" w:rsidRPr="000F23E0">
        <w:t> </w:t>
      </w:r>
      <w:r w:rsidRPr="000F23E0">
        <w:t>catchments</w:t>
      </w:r>
    </w:p>
    <w:p w14:paraId="549A6889" w14:textId="0C358666" w:rsidR="008E14D7" w:rsidRPr="000F23E0" w:rsidRDefault="008E14D7" w:rsidP="00B63D3B">
      <w:pPr>
        <w:pStyle w:val="Bullet"/>
      </w:pPr>
      <w:r w:rsidRPr="000F23E0">
        <w:t>20</w:t>
      </w:r>
      <w:r w:rsidR="00955A88" w:rsidRPr="000F23E0">
        <w:t> </w:t>
      </w:r>
      <w:r w:rsidRPr="000F23E0">
        <w:t>per</w:t>
      </w:r>
      <w:r w:rsidR="00955A88" w:rsidRPr="000F23E0">
        <w:t> </w:t>
      </w:r>
      <w:r w:rsidRPr="000F23E0">
        <w:t>cent reduction of anthropogenic particulate phosphorus load leaving Great Barrier Reef</w:t>
      </w:r>
      <w:r w:rsidR="0048145F" w:rsidRPr="000F23E0">
        <w:t> </w:t>
      </w:r>
      <w:r w:rsidRPr="000F23E0">
        <w:t>catchments</w:t>
      </w:r>
    </w:p>
    <w:p w14:paraId="42A93C57" w14:textId="77777777" w:rsidR="008E14D7" w:rsidRPr="000F23E0" w:rsidRDefault="008E14D7" w:rsidP="00B63D3B">
      <w:pPr>
        <w:pStyle w:val="Bullet"/>
      </w:pPr>
      <w:r w:rsidRPr="000F23E0">
        <w:t>At least 99 per cent of aquatic species protected</w:t>
      </w:r>
    </w:p>
    <w:p w14:paraId="44AF31AB" w14:textId="08AED788" w:rsidR="00EC325E" w:rsidRPr="000F23E0" w:rsidRDefault="008E14D7" w:rsidP="00B63D3B">
      <w:pPr>
        <w:pStyle w:val="Bullet"/>
      </w:pPr>
      <w:r w:rsidRPr="000F23E0">
        <w:t>90 per cent of grazing lands will have greater than 70</w:t>
      </w:r>
      <w:r w:rsidR="00955A88" w:rsidRPr="000F23E0">
        <w:t> </w:t>
      </w:r>
      <w:r w:rsidRPr="000F23E0">
        <w:t>per</w:t>
      </w:r>
      <w:r w:rsidR="00955A88" w:rsidRPr="000F23E0">
        <w:t> </w:t>
      </w:r>
      <w:r w:rsidRPr="000F23E0">
        <w:t>cent ground cover.</w:t>
      </w:r>
    </w:p>
    <w:p w14:paraId="57414862" w14:textId="10E69AFE" w:rsidR="00EC325E" w:rsidRPr="000F23E0" w:rsidRDefault="00EC325E" w:rsidP="0048145F">
      <w:r w:rsidRPr="000F23E0">
        <w:t xml:space="preserve">Reporting against these targets is included in </w:t>
      </w:r>
      <w:r w:rsidR="001B09FD" w:rsidRPr="000F23E0">
        <w:t>Table 3</w:t>
      </w:r>
      <w:r w:rsidR="00937C84" w:rsidRPr="000F23E0">
        <w:t>8</w:t>
      </w:r>
      <w:r w:rsidR="007B6C2A" w:rsidRPr="000F23E0">
        <w:fldChar w:fldCharType="begin"/>
      </w:r>
      <w:r w:rsidR="007B6C2A" w:rsidRPr="000F23E0">
        <w:instrText xml:space="preserve"> REF _Ref214030585 \h </w:instrText>
      </w:r>
      <w:r w:rsidR="0048145F" w:rsidRPr="000F23E0">
        <w:instrText xml:space="preserve"> \* MERGEFORMAT </w:instrText>
      </w:r>
      <w:r w:rsidR="007B6C2A" w:rsidRPr="000F23E0">
        <w:fldChar w:fldCharType="separate"/>
      </w:r>
      <w:r w:rsidR="007B6C2A" w:rsidRPr="000F23E0">
        <w:fldChar w:fldCharType="end"/>
      </w:r>
      <w:r w:rsidRPr="000F23E0">
        <w:t xml:space="preserve">. Detailed progress towards targets and regional project impacts can be found in the Australian and Queensland </w:t>
      </w:r>
      <w:r w:rsidR="00B93F31" w:rsidRPr="000F23E0">
        <w:t>g</w:t>
      </w:r>
      <w:r w:rsidRPr="000F23E0">
        <w:t>overnments</w:t>
      </w:r>
      <w:r w:rsidR="002C4475" w:rsidRPr="000F23E0">
        <w:t>’</w:t>
      </w:r>
      <w:r w:rsidRPr="000F23E0">
        <w:t xml:space="preserve"> </w:t>
      </w:r>
      <w:hyperlink r:id="rId110" w:tgtFrame="_blank" w:history="1">
        <w:r w:rsidRPr="000F23E0">
          <w:t>Reef Water Quality Report Card</w:t>
        </w:r>
      </w:hyperlink>
      <w:r w:rsidR="002C4475" w:rsidRPr="000F23E0">
        <w:t xml:space="preserve">. </w:t>
      </w:r>
    </w:p>
    <w:p w14:paraId="28F514A2" w14:textId="13AF5E3B" w:rsidR="00C92B3E" w:rsidRPr="000F23E0" w:rsidRDefault="00C92B3E" w:rsidP="0048145F">
      <w:r w:rsidRPr="000F23E0">
        <w:t>The most recent Reef water quality data were released in May 2024 and </w:t>
      </w:r>
      <w:r w:rsidR="00353CF5" w:rsidRPr="000F23E0">
        <w:t>includes</w:t>
      </w:r>
      <w:r w:rsidRPr="000F23E0">
        <w:t xml:space="preserve"> 2021 and 2022. </w:t>
      </w:r>
      <w:r w:rsidR="006A2CEF" w:rsidRPr="000F23E0">
        <w:t>S</w:t>
      </w:r>
      <w:r w:rsidRPr="000F23E0">
        <w:t>ignificant work goes into data collection, validation, analysis, review and reporting to ensure the integrity and quality of the Reef Water Quality Report Card results. Each modelling process as part of the assessment takes several months to run on high</w:t>
      </w:r>
      <w:r w:rsidR="002C4475" w:rsidRPr="000F23E0">
        <w:noBreakHyphen/>
      </w:r>
      <w:r w:rsidRPr="000F23E0">
        <w:t>performance computers. The next set of Reef water quality data is expected to be released by December 2026. </w:t>
      </w:r>
    </w:p>
    <w:p w14:paraId="02E8DA73" w14:textId="4F498070" w:rsidR="000D437B" w:rsidRPr="000F23E0" w:rsidRDefault="000A3EB3" w:rsidP="00551F72">
      <w:pPr>
        <w:pStyle w:val="TableMainHeading"/>
      </w:pPr>
      <w:bookmarkStart w:id="349" w:name="_Toc224637848"/>
      <w:bookmarkStart w:id="350" w:name="_Toc224642512"/>
      <w:bookmarkStart w:id="351" w:name="_Toc225153488"/>
      <w:bookmarkStart w:id="352" w:name="_Toc225154534"/>
      <w:bookmarkStart w:id="353" w:name="_Toc225155799"/>
      <w:r w:rsidRPr="000F23E0">
        <w:lastRenderedPageBreak/>
        <w:t xml:space="preserve">Table </w:t>
      </w:r>
      <w:r w:rsidR="00A04537" w:rsidRPr="000F23E0">
        <w:t>3</w:t>
      </w:r>
      <w:r w:rsidR="0068550D" w:rsidRPr="000F23E0">
        <w:t>8:</w:t>
      </w:r>
      <w:r w:rsidR="00EA78C1" w:rsidRPr="000F23E0">
        <w:t xml:space="preserve"> Impact </w:t>
      </w:r>
      <w:r w:rsidR="00B45295" w:rsidRPr="000F23E0">
        <w:t>d</w:t>
      </w:r>
      <w:r w:rsidR="00EA78C1" w:rsidRPr="000F23E0">
        <w:t>ata for Reef 2050</w:t>
      </w:r>
      <w:bookmarkEnd w:id="349"/>
      <w:bookmarkEnd w:id="350"/>
      <w:bookmarkEnd w:id="351"/>
      <w:bookmarkEnd w:id="352"/>
      <w:bookmarkEnd w:id="353"/>
    </w:p>
    <w:tbl>
      <w:tblPr>
        <w:tblStyle w:val="GridTable4-Accent2"/>
        <w:tblW w:w="5000" w:type="pct"/>
        <w:tblInd w:w="5" w:type="dxa"/>
        <w:tblBorders>
          <w:top w:val="single" w:sz="4" w:space="0" w:color="DFA795"/>
          <w:bottom w:val="single" w:sz="4" w:space="0" w:color="DFA795"/>
          <w:insideH w:val="single" w:sz="4" w:space="0" w:color="DFA795"/>
        </w:tblBorders>
        <w:tblLook w:val="04A0" w:firstRow="1" w:lastRow="0" w:firstColumn="1" w:lastColumn="0" w:noHBand="0" w:noVBand="1"/>
      </w:tblPr>
      <w:tblGrid>
        <w:gridCol w:w="1413"/>
        <w:gridCol w:w="4333"/>
        <w:gridCol w:w="834"/>
        <w:gridCol w:w="1115"/>
        <w:gridCol w:w="1375"/>
      </w:tblGrid>
      <w:tr w:rsidR="001D657D" w:rsidRPr="000F23E0" w14:paraId="18D0E229" w14:textId="77777777" w:rsidTr="00955A88">
        <w:trPr>
          <w:cnfStyle w:val="100000000000" w:firstRow="1" w:lastRow="0" w:firstColumn="0" w:lastColumn="0" w:oddVBand="0" w:evenVBand="0" w:oddHBand="0" w:evenHBand="0" w:firstRowFirstColumn="0" w:firstRowLastColumn="0" w:lastRowFirstColumn="0" w:lastRowLastColumn="0"/>
          <w:trHeight w:val="342"/>
        </w:trPr>
        <w:tc>
          <w:tcPr>
            <w:cnfStyle w:val="001000000000" w:firstRow="0" w:lastRow="0" w:firstColumn="1" w:lastColumn="0" w:oddVBand="0" w:evenVBand="0" w:oddHBand="0" w:evenHBand="0" w:firstRowFirstColumn="0" w:firstRowLastColumn="0" w:lastRowFirstColumn="0" w:lastRowLastColumn="0"/>
            <w:tcW w:w="1413" w:type="dxa"/>
            <w:shd w:val="clear" w:color="auto" w:fill="F1D0C6"/>
          </w:tcPr>
          <w:p w14:paraId="3B002CF4" w14:textId="30719BC3" w:rsidR="00452750" w:rsidRPr="000F23E0" w:rsidRDefault="00452750" w:rsidP="00B63D3B">
            <w:pPr>
              <w:pStyle w:val="TableColumnHeadingLeft"/>
              <w:rPr>
                <w:b/>
                <w:bCs w:val="0"/>
              </w:rPr>
            </w:pPr>
            <w:r w:rsidRPr="000F23E0">
              <w:rPr>
                <w:b/>
                <w:bCs w:val="0"/>
              </w:rPr>
              <w:t>Project</w:t>
            </w:r>
          </w:p>
        </w:tc>
        <w:tc>
          <w:tcPr>
            <w:tcW w:w="4333" w:type="dxa"/>
            <w:shd w:val="clear" w:color="auto" w:fill="F1D0C6"/>
          </w:tcPr>
          <w:p w14:paraId="2CEC7BAA" w14:textId="7167ED1C" w:rsidR="00452750" w:rsidRPr="000F23E0" w:rsidRDefault="00452750" w:rsidP="00B63D3B">
            <w:pPr>
              <w:pStyle w:val="TableColumnHeadingLeft"/>
              <w:cnfStyle w:val="100000000000" w:firstRow="1" w:lastRow="0" w:firstColumn="0" w:lastColumn="0" w:oddVBand="0" w:evenVBand="0" w:oddHBand="0" w:evenHBand="0" w:firstRowFirstColumn="0" w:firstRowLastColumn="0" w:lastRowFirstColumn="0" w:lastRowLastColumn="0"/>
              <w:rPr>
                <w:b/>
              </w:rPr>
            </w:pPr>
            <w:bookmarkStart w:id="354" w:name="_Hlk187418058"/>
            <w:r w:rsidRPr="000F23E0">
              <w:rPr>
                <w:b/>
              </w:rPr>
              <w:t>Metric</w:t>
            </w:r>
          </w:p>
        </w:tc>
        <w:tc>
          <w:tcPr>
            <w:tcW w:w="834" w:type="dxa"/>
            <w:shd w:val="clear" w:color="auto" w:fill="F1D0C6"/>
          </w:tcPr>
          <w:p w14:paraId="46905F47" w14:textId="0B107272" w:rsidR="00452750" w:rsidRPr="000F23E0" w:rsidRDefault="00452750" w:rsidP="00B63D3B">
            <w:pPr>
              <w:pStyle w:val="TableColumnHeadingRight"/>
              <w:cnfStyle w:val="100000000000" w:firstRow="1" w:lastRow="0" w:firstColumn="0" w:lastColumn="0" w:oddVBand="0" w:evenVBand="0" w:oddHBand="0" w:evenHBand="0" w:firstRowFirstColumn="0" w:firstRowLastColumn="0" w:lastRowFirstColumn="0" w:lastRowLastColumn="0"/>
              <w:rPr>
                <w:b/>
                <w:bCs w:val="0"/>
              </w:rPr>
            </w:pPr>
            <w:r w:rsidRPr="000F23E0">
              <w:rPr>
                <w:b/>
                <w:bCs w:val="0"/>
              </w:rPr>
              <w:t>Value</w:t>
            </w:r>
          </w:p>
        </w:tc>
        <w:tc>
          <w:tcPr>
            <w:tcW w:w="1115" w:type="dxa"/>
            <w:shd w:val="clear" w:color="auto" w:fill="F1D0C6"/>
          </w:tcPr>
          <w:p w14:paraId="2BA3F026" w14:textId="77777777" w:rsidR="00452750" w:rsidRPr="000F23E0" w:rsidRDefault="00452750" w:rsidP="00B63D3B">
            <w:pPr>
              <w:pStyle w:val="TableColumnHeadingRight"/>
              <w:cnfStyle w:val="100000000000" w:firstRow="1" w:lastRow="0" w:firstColumn="0" w:lastColumn="0" w:oddVBand="0" w:evenVBand="0" w:oddHBand="0" w:evenHBand="0" w:firstRowFirstColumn="0" w:firstRowLastColumn="0" w:lastRowFirstColumn="0" w:lastRowLastColumn="0"/>
              <w:rPr>
                <w:b/>
                <w:bCs w:val="0"/>
              </w:rPr>
            </w:pPr>
            <w:r w:rsidRPr="000F23E0">
              <w:rPr>
                <w:b/>
                <w:bCs w:val="0"/>
              </w:rPr>
              <w:t>Projected/</w:t>
            </w:r>
          </w:p>
          <w:p w14:paraId="4B40B4FA" w14:textId="77777777" w:rsidR="00452750" w:rsidRPr="000F23E0" w:rsidRDefault="00452750" w:rsidP="00B63D3B">
            <w:pPr>
              <w:pStyle w:val="TableColumnHeadingRight"/>
              <w:cnfStyle w:val="100000000000" w:firstRow="1" w:lastRow="0" w:firstColumn="0" w:lastColumn="0" w:oddVBand="0" w:evenVBand="0" w:oddHBand="0" w:evenHBand="0" w:firstRowFirstColumn="0" w:firstRowLastColumn="0" w:lastRowFirstColumn="0" w:lastRowLastColumn="0"/>
              <w:rPr>
                <w:b/>
                <w:bCs w:val="0"/>
              </w:rPr>
            </w:pPr>
            <w:r w:rsidRPr="000F23E0">
              <w:rPr>
                <w:b/>
                <w:bCs w:val="0"/>
              </w:rPr>
              <w:t xml:space="preserve">Recorded </w:t>
            </w:r>
          </w:p>
        </w:tc>
        <w:tc>
          <w:tcPr>
            <w:tcW w:w="1375" w:type="dxa"/>
            <w:shd w:val="clear" w:color="auto" w:fill="F1D0C6"/>
          </w:tcPr>
          <w:p w14:paraId="0C6BA620" w14:textId="1734BFBF" w:rsidR="00452750" w:rsidRPr="000F23E0" w:rsidRDefault="00452750" w:rsidP="00B63D3B">
            <w:pPr>
              <w:pStyle w:val="TableColumnHeadingRight"/>
              <w:cnfStyle w:val="100000000000" w:firstRow="1" w:lastRow="0" w:firstColumn="0" w:lastColumn="0" w:oddVBand="0" w:evenVBand="0" w:oddHBand="0" w:evenHBand="0" w:firstRowFirstColumn="0" w:firstRowLastColumn="0" w:lastRowFirstColumn="0" w:lastRowLastColumn="0"/>
              <w:rPr>
                <w:b/>
                <w:bCs w:val="0"/>
              </w:rPr>
            </w:pPr>
            <w:r w:rsidRPr="000F23E0">
              <w:rPr>
                <w:b/>
                <w:bCs w:val="0"/>
              </w:rPr>
              <w:t>Time Period</w:t>
            </w:r>
          </w:p>
        </w:tc>
      </w:tr>
      <w:tr w:rsidR="001D657D" w:rsidRPr="000F23E0" w14:paraId="1F251B30" w14:textId="77777777" w:rsidTr="00955A88">
        <w:trPr>
          <w:trHeight w:val="197"/>
        </w:trPr>
        <w:tc>
          <w:tcPr>
            <w:cnfStyle w:val="001000000000" w:firstRow="0" w:lastRow="0" w:firstColumn="1" w:lastColumn="0" w:oddVBand="0" w:evenVBand="0" w:oddHBand="0" w:evenHBand="0" w:firstRowFirstColumn="0" w:firstRowLastColumn="0" w:lastRowFirstColumn="0" w:lastRowLastColumn="0"/>
            <w:tcW w:w="1413" w:type="dxa"/>
            <w:vMerge w:val="restart"/>
            <w:shd w:val="clear" w:color="auto" w:fill="FDF0E7"/>
          </w:tcPr>
          <w:p w14:paraId="061C3878" w14:textId="32234854" w:rsidR="00452750" w:rsidRPr="000F23E0" w:rsidRDefault="00452750" w:rsidP="00B63D3B">
            <w:pPr>
              <w:pStyle w:val="TableTextLeft"/>
              <w:rPr>
                <w:b/>
              </w:rPr>
            </w:pPr>
            <w:r w:rsidRPr="000F23E0">
              <w:t>Projects in Work</w:t>
            </w:r>
            <w:r w:rsidR="00955A88" w:rsidRPr="000F23E0">
              <w:t> </w:t>
            </w:r>
            <w:r w:rsidRPr="000F23E0">
              <w:t>Area</w:t>
            </w:r>
            <w:r w:rsidR="0048145F" w:rsidRPr="000F23E0">
              <w:t> </w:t>
            </w:r>
            <w:r w:rsidRPr="000F23E0">
              <w:t>2 of</w:t>
            </w:r>
            <w:r w:rsidR="00C71B7B" w:rsidRPr="000F23E0">
              <w:t> </w:t>
            </w:r>
            <w:r w:rsidRPr="000F23E0">
              <w:t>Reef 2050</w:t>
            </w:r>
          </w:p>
        </w:tc>
        <w:tc>
          <w:tcPr>
            <w:tcW w:w="4333" w:type="dxa"/>
            <w:shd w:val="clear" w:color="auto" w:fill="FEFAF8"/>
            <w:vAlign w:val="center"/>
          </w:tcPr>
          <w:p w14:paraId="2080EBC7" w14:textId="0B70EC0C" w:rsidR="00452750" w:rsidRPr="000F23E0" w:rsidRDefault="00452750" w:rsidP="00B63D3B">
            <w:pPr>
              <w:pStyle w:val="TableTextLeft"/>
              <w:cnfStyle w:val="000000000000" w:firstRow="0" w:lastRow="0" w:firstColumn="0" w:lastColumn="0" w:oddVBand="0" w:evenVBand="0" w:oddHBand="0" w:evenHBand="0" w:firstRowFirstColumn="0" w:firstRowLastColumn="0" w:lastRowFirstColumn="0" w:lastRowLastColumn="0"/>
            </w:pPr>
            <w:r w:rsidRPr="000F23E0">
              <w:t>Reduction of anthropogenic dissolved inorganic nitrogen load leaving Great Barrier Reef catchments (per cent)</w:t>
            </w:r>
          </w:p>
        </w:tc>
        <w:tc>
          <w:tcPr>
            <w:tcW w:w="834" w:type="dxa"/>
            <w:shd w:val="clear" w:color="auto" w:fill="FEFAF8"/>
          </w:tcPr>
          <w:p w14:paraId="55AF9616" w14:textId="7C6B5441" w:rsidR="00452750" w:rsidRPr="000F23E0" w:rsidRDefault="00452750" w:rsidP="00B63D3B">
            <w:pPr>
              <w:pStyle w:val="TableTextRight"/>
              <w:cnfStyle w:val="000000000000" w:firstRow="0" w:lastRow="0" w:firstColumn="0" w:lastColumn="0" w:oddVBand="0" w:evenVBand="0" w:oddHBand="0" w:evenHBand="0" w:firstRowFirstColumn="0" w:firstRowLastColumn="0" w:lastRowFirstColumn="0" w:lastRowLastColumn="0"/>
            </w:pPr>
            <w:r w:rsidRPr="000F23E0">
              <w:t>28.4</w:t>
            </w:r>
          </w:p>
        </w:tc>
        <w:tc>
          <w:tcPr>
            <w:tcW w:w="1115" w:type="dxa"/>
            <w:shd w:val="clear" w:color="auto" w:fill="FEFAF8"/>
          </w:tcPr>
          <w:p w14:paraId="4C1D9D9D" w14:textId="77777777" w:rsidR="00452750" w:rsidRPr="000F23E0" w:rsidRDefault="00452750" w:rsidP="00B63D3B">
            <w:pPr>
              <w:pStyle w:val="TableTextRight"/>
              <w:cnfStyle w:val="000000000000" w:firstRow="0" w:lastRow="0" w:firstColumn="0" w:lastColumn="0" w:oddVBand="0" w:evenVBand="0" w:oddHBand="0" w:evenHBand="0" w:firstRowFirstColumn="0" w:firstRowLastColumn="0" w:lastRowFirstColumn="0" w:lastRowLastColumn="0"/>
            </w:pPr>
            <w:r w:rsidRPr="000F23E0">
              <w:t>Recorded</w:t>
            </w:r>
          </w:p>
        </w:tc>
        <w:tc>
          <w:tcPr>
            <w:tcW w:w="1375" w:type="dxa"/>
            <w:shd w:val="clear" w:color="auto" w:fill="FEFAF8"/>
          </w:tcPr>
          <w:p w14:paraId="27345EC9" w14:textId="69ACB5C4" w:rsidR="00452750" w:rsidRPr="000F23E0" w:rsidRDefault="00452750" w:rsidP="00B63D3B">
            <w:pPr>
              <w:pStyle w:val="TableTextRight"/>
              <w:cnfStyle w:val="000000000000" w:firstRow="0" w:lastRow="0" w:firstColumn="0" w:lastColumn="0" w:oddVBand="0" w:evenVBand="0" w:oddHBand="0" w:evenHBand="0" w:firstRowFirstColumn="0" w:firstRowLastColumn="0" w:lastRowFirstColumn="0" w:lastRowLastColumn="0"/>
            </w:pPr>
            <w:r w:rsidRPr="000F23E0">
              <w:t>As at June 2022</w:t>
            </w:r>
          </w:p>
        </w:tc>
      </w:tr>
      <w:tr w:rsidR="001D657D" w:rsidRPr="000F23E0" w14:paraId="28D9042A" w14:textId="77777777" w:rsidTr="00955A88">
        <w:trPr>
          <w:trHeight w:val="197"/>
        </w:trPr>
        <w:tc>
          <w:tcPr>
            <w:cnfStyle w:val="001000000000" w:firstRow="0" w:lastRow="0" w:firstColumn="1" w:lastColumn="0" w:oddVBand="0" w:evenVBand="0" w:oddHBand="0" w:evenHBand="0" w:firstRowFirstColumn="0" w:firstRowLastColumn="0" w:lastRowFirstColumn="0" w:lastRowLastColumn="0"/>
            <w:tcW w:w="1413" w:type="dxa"/>
            <w:vMerge/>
            <w:shd w:val="clear" w:color="auto" w:fill="FDF0E7"/>
          </w:tcPr>
          <w:p w14:paraId="44EE66CE" w14:textId="705F45F7" w:rsidR="00452750" w:rsidRPr="000F23E0" w:rsidRDefault="00452750" w:rsidP="00452750">
            <w:pPr>
              <w:pStyle w:val="TableTextLeft"/>
              <w:rPr>
                <w:b/>
              </w:rPr>
            </w:pPr>
          </w:p>
        </w:tc>
        <w:tc>
          <w:tcPr>
            <w:tcW w:w="4333" w:type="dxa"/>
            <w:shd w:val="clear" w:color="auto" w:fill="FEFAF8"/>
            <w:vAlign w:val="center"/>
          </w:tcPr>
          <w:p w14:paraId="6D90D5EE" w14:textId="48717DA8" w:rsidR="00452750" w:rsidRPr="000F23E0" w:rsidRDefault="00452750" w:rsidP="00B63D3B">
            <w:pPr>
              <w:pStyle w:val="TableTextLeft"/>
              <w:cnfStyle w:val="000000000000" w:firstRow="0" w:lastRow="0" w:firstColumn="0" w:lastColumn="0" w:oddVBand="0" w:evenVBand="0" w:oddHBand="0" w:evenHBand="0" w:firstRowFirstColumn="0" w:firstRowLastColumn="0" w:lastRowFirstColumn="0" w:lastRowLastColumn="0"/>
            </w:pPr>
            <w:r w:rsidRPr="000F23E0">
              <w:t>Reduction of anthropogenic fine sediment load leaving Great Barrier Reef catchments (per cent)</w:t>
            </w:r>
          </w:p>
        </w:tc>
        <w:tc>
          <w:tcPr>
            <w:tcW w:w="834" w:type="dxa"/>
            <w:shd w:val="clear" w:color="auto" w:fill="FEFAF8"/>
          </w:tcPr>
          <w:p w14:paraId="0FBB5BF7" w14:textId="75C94BD9" w:rsidR="00452750" w:rsidRPr="000F23E0" w:rsidRDefault="00452750" w:rsidP="00B63D3B">
            <w:pPr>
              <w:pStyle w:val="TableTextRight"/>
              <w:cnfStyle w:val="000000000000" w:firstRow="0" w:lastRow="0" w:firstColumn="0" w:lastColumn="0" w:oddVBand="0" w:evenVBand="0" w:oddHBand="0" w:evenHBand="0" w:firstRowFirstColumn="0" w:firstRowLastColumn="0" w:lastRowFirstColumn="0" w:lastRowLastColumn="0"/>
            </w:pPr>
            <w:r w:rsidRPr="000F23E0">
              <w:t>16.0</w:t>
            </w:r>
          </w:p>
        </w:tc>
        <w:tc>
          <w:tcPr>
            <w:tcW w:w="1115" w:type="dxa"/>
            <w:shd w:val="clear" w:color="auto" w:fill="FEFAF8"/>
          </w:tcPr>
          <w:p w14:paraId="21C3CB3B" w14:textId="77777777" w:rsidR="00452750" w:rsidRPr="000F23E0" w:rsidRDefault="00452750" w:rsidP="00B63D3B">
            <w:pPr>
              <w:pStyle w:val="TableTextRight"/>
              <w:cnfStyle w:val="000000000000" w:firstRow="0" w:lastRow="0" w:firstColumn="0" w:lastColumn="0" w:oddVBand="0" w:evenVBand="0" w:oddHBand="0" w:evenHBand="0" w:firstRowFirstColumn="0" w:firstRowLastColumn="0" w:lastRowFirstColumn="0" w:lastRowLastColumn="0"/>
            </w:pPr>
            <w:r w:rsidRPr="000F23E0">
              <w:t>Recorded</w:t>
            </w:r>
          </w:p>
        </w:tc>
        <w:tc>
          <w:tcPr>
            <w:tcW w:w="1375" w:type="dxa"/>
            <w:shd w:val="clear" w:color="auto" w:fill="FEFAF8"/>
          </w:tcPr>
          <w:p w14:paraId="6F584842" w14:textId="42636F7D" w:rsidR="00452750" w:rsidRPr="000F23E0" w:rsidRDefault="00452750" w:rsidP="00B63D3B">
            <w:pPr>
              <w:pStyle w:val="TableTextRight"/>
              <w:cnfStyle w:val="000000000000" w:firstRow="0" w:lastRow="0" w:firstColumn="0" w:lastColumn="0" w:oddVBand="0" w:evenVBand="0" w:oddHBand="0" w:evenHBand="0" w:firstRowFirstColumn="0" w:firstRowLastColumn="0" w:lastRowFirstColumn="0" w:lastRowLastColumn="0"/>
            </w:pPr>
            <w:r w:rsidRPr="000F23E0">
              <w:t>As at June 2022</w:t>
            </w:r>
          </w:p>
        </w:tc>
      </w:tr>
      <w:tr w:rsidR="001D657D" w:rsidRPr="000F23E0" w14:paraId="0D24484A" w14:textId="77777777" w:rsidTr="00955A88">
        <w:trPr>
          <w:trHeight w:val="197"/>
        </w:trPr>
        <w:tc>
          <w:tcPr>
            <w:cnfStyle w:val="001000000000" w:firstRow="0" w:lastRow="0" w:firstColumn="1" w:lastColumn="0" w:oddVBand="0" w:evenVBand="0" w:oddHBand="0" w:evenHBand="0" w:firstRowFirstColumn="0" w:firstRowLastColumn="0" w:lastRowFirstColumn="0" w:lastRowLastColumn="0"/>
            <w:tcW w:w="1413" w:type="dxa"/>
            <w:vMerge/>
            <w:shd w:val="clear" w:color="auto" w:fill="FDF0E7"/>
          </w:tcPr>
          <w:p w14:paraId="075A911D" w14:textId="120C147D" w:rsidR="00452750" w:rsidRPr="000F23E0" w:rsidRDefault="00452750" w:rsidP="00452750">
            <w:pPr>
              <w:pStyle w:val="TableTextLeft"/>
              <w:rPr>
                <w:b/>
              </w:rPr>
            </w:pPr>
          </w:p>
        </w:tc>
        <w:tc>
          <w:tcPr>
            <w:tcW w:w="4333" w:type="dxa"/>
            <w:shd w:val="clear" w:color="auto" w:fill="FEFAF8"/>
            <w:vAlign w:val="center"/>
          </w:tcPr>
          <w:p w14:paraId="28818039" w14:textId="0FF6BA6D" w:rsidR="00452750" w:rsidRPr="000F23E0" w:rsidRDefault="00452750" w:rsidP="00B63D3B">
            <w:pPr>
              <w:pStyle w:val="TableTextLeft"/>
              <w:cnfStyle w:val="000000000000" w:firstRow="0" w:lastRow="0" w:firstColumn="0" w:lastColumn="0" w:oddVBand="0" w:evenVBand="0" w:oddHBand="0" w:evenHBand="0" w:firstRowFirstColumn="0" w:firstRowLastColumn="0" w:lastRowFirstColumn="0" w:lastRowLastColumn="0"/>
            </w:pPr>
            <w:r w:rsidRPr="000F23E0">
              <w:t>Reduction of anthropogenic particulate nitrogen load leaving Great Barrier Reef catchments (per cent)</w:t>
            </w:r>
          </w:p>
        </w:tc>
        <w:tc>
          <w:tcPr>
            <w:tcW w:w="834" w:type="dxa"/>
            <w:shd w:val="clear" w:color="auto" w:fill="FEFAF8"/>
          </w:tcPr>
          <w:p w14:paraId="04F2E2CE" w14:textId="6E7247A2" w:rsidR="00452750" w:rsidRPr="000F23E0" w:rsidRDefault="00452750" w:rsidP="00B63D3B">
            <w:pPr>
              <w:pStyle w:val="TableTextRight"/>
              <w:cnfStyle w:val="000000000000" w:firstRow="0" w:lastRow="0" w:firstColumn="0" w:lastColumn="0" w:oddVBand="0" w:evenVBand="0" w:oddHBand="0" w:evenHBand="0" w:firstRowFirstColumn="0" w:firstRowLastColumn="0" w:lastRowFirstColumn="0" w:lastRowLastColumn="0"/>
            </w:pPr>
            <w:r w:rsidRPr="000F23E0">
              <w:t>15.4</w:t>
            </w:r>
          </w:p>
        </w:tc>
        <w:tc>
          <w:tcPr>
            <w:tcW w:w="1115" w:type="dxa"/>
            <w:shd w:val="clear" w:color="auto" w:fill="FEFAF8"/>
          </w:tcPr>
          <w:p w14:paraId="74F3BDC4" w14:textId="77777777" w:rsidR="00452750" w:rsidRPr="000F23E0" w:rsidRDefault="00452750" w:rsidP="00B63D3B">
            <w:pPr>
              <w:pStyle w:val="TableTextRight"/>
              <w:cnfStyle w:val="000000000000" w:firstRow="0" w:lastRow="0" w:firstColumn="0" w:lastColumn="0" w:oddVBand="0" w:evenVBand="0" w:oddHBand="0" w:evenHBand="0" w:firstRowFirstColumn="0" w:firstRowLastColumn="0" w:lastRowFirstColumn="0" w:lastRowLastColumn="0"/>
            </w:pPr>
            <w:r w:rsidRPr="000F23E0">
              <w:t>Recorded</w:t>
            </w:r>
          </w:p>
        </w:tc>
        <w:tc>
          <w:tcPr>
            <w:tcW w:w="1375" w:type="dxa"/>
            <w:shd w:val="clear" w:color="auto" w:fill="FEFAF8"/>
          </w:tcPr>
          <w:p w14:paraId="45C40C9A" w14:textId="76871197" w:rsidR="00452750" w:rsidRPr="000F23E0" w:rsidRDefault="00452750" w:rsidP="00B63D3B">
            <w:pPr>
              <w:pStyle w:val="TableTextRight"/>
              <w:cnfStyle w:val="000000000000" w:firstRow="0" w:lastRow="0" w:firstColumn="0" w:lastColumn="0" w:oddVBand="0" w:evenVBand="0" w:oddHBand="0" w:evenHBand="0" w:firstRowFirstColumn="0" w:firstRowLastColumn="0" w:lastRowFirstColumn="0" w:lastRowLastColumn="0"/>
            </w:pPr>
            <w:r w:rsidRPr="000F23E0">
              <w:t>As at June 2022</w:t>
            </w:r>
          </w:p>
        </w:tc>
      </w:tr>
      <w:tr w:rsidR="001D657D" w:rsidRPr="000F23E0" w14:paraId="542269A8" w14:textId="77777777" w:rsidTr="00955A88">
        <w:trPr>
          <w:trHeight w:val="197"/>
        </w:trPr>
        <w:tc>
          <w:tcPr>
            <w:cnfStyle w:val="001000000000" w:firstRow="0" w:lastRow="0" w:firstColumn="1" w:lastColumn="0" w:oddVBand="0" w:evenVBand="0" w:oddHBand="0" w:evenHBand="0" w:firstRowFirstColumn="0" w:firstRowLastColumn="0" w:lastRowFirstColumn="0" w:lastRowLastColumn="0"/>
            <w:tcW w:w="1413" w:type="dxa"/>
            <w:vMerge/>
            <w:shd w:val="clear" w:color="auto" w:fill="FDF0E7"/>
          </w:tcPr>
          <w:p w14:paraId="5801AA22" w14:textId="747AA758" w:rsidR="00452750" w:rsidRPr="000F23E0" w:rsidRDefault="00452750" w:rsidP="00452750">
            <w:pPr>
              <w:pStyle w:val="TableTextLeft"/>
              <w:rPr>
                <w:b/>
              </w:rPr>
            </w:pPr>
          </w:p>
        </w:tc>
        <w:tc>
          <w:tcPr>
            <w:tcW w:w="4333" w:type="dxa"/>
            <w:shd w:val="clear" w:color="auto" w:fill="FEFAF8"/>
            <w:vAlign w:val="center"/>
          </w:tcPr>
          <w:p w14:paraId="43F5F847" w14:textId="421C7001" w:rsidR="00452750" w:rsidRPr="000F23E0" w:rsidRDefault="00452750" w:rsidP="00B63D3B">
            <w:pPr>
              <w:pStyle w:val="TableTextLeft"/>
              <w:cnfStyle w:val="000000000000" w:firstRow="0" w:lastRow="0" w:firstColumn="0" w:lastColumn="0" w:oddVBand="0" w:evenVBand="0" w:oddHBand="0" w:evenHBand="0" w:firstRowFirstColumn="0" w:firstRowLastColumn="0" w:lastRowFirstColumn="0" w:lastRowLastColumn="0"/>
            </w:pPr>
            <w:r w:rsidRPr="000F23E0">
              <w:t>Reduction of anthropogenic particulate phosphorus load leaving Great Barrier Reef catchments (per cent)</w:t>
            </w:r>
          </w:p>
        </w:tc>
        <w:tc>
          <w:tcPr>
            <w:tcW w:w="834" w:type="dxa"/>
            <w:shd w:val="clear" w:color="auto" w:fill="FEFAF8"/>
          </w:tcPr>
          <w:p w14:paraId="6C3C7078" w14:textId="25144ADD" w:rsidR="00452750" w:rsidRPr="000F23E0" w:rsidRDefault="00452750" w:rsidP="00B63D3B">
            <w:pPr>
              <w:pStyle w:val="TableTextRight"/>
              <w:cnfStyle w:val="000000000000" w:firstRow="0" w:lastRow="0" w:firstColumn="0" w:lastColumn="0" w:oddVBand="0" w:evenVBand="0" w:oddHBand="0" w:evenHBand="0" w:firstRowFirstColumn="0" w:firstRowLastColumn="0" w:lastRowFirstColumn="0" w:lastRowLastColumn="0"/>
            </w:pPr>
            <w:r w:rsidRPr="000F23E0">
              <w:t>18.5</w:t>
            </w:r>
          </w:p>
        </w:tc>
        <w:tc>
          <w:tcPr>
            <w:tcW w:w="1115" w:type="dxa"/>
            <w:shd w:val="clear" w:color="auto" w:fill="FEFAF8"/>
          </w:tcPr>
          <w:p w14:paraId="65B3976A" w14:textId="77777777" w:rsidR="00452750" w:rsidRPr="000F23E0" w:rsidRDefault="00452750" w:rsidP="00B63D3B">
            <w:pPr>
              <w:pStyle w:val="TableTextRight"/>
              <w:cnfStyle w:val="000000000000" w:firstRow="0" w:lastRow="0" w:firstColumn="0" w:lastColumn="0" w:oddVBand="0" w:evenVBand="0" w:oddHBand="0" w:evenHBand="0" w:firstRowFirstColumn="0" w:firstRowLastColumn="0" w:lastRowFirstColumn="0" w:lastRowLastColumn="0"/>
            </w:pPr>
            <w:r w:rsidRPr="000F23E0">
              <w:t>Recorded</w:t>
            </w:r>
          </w:p>
        </w:tc>
        <w:tc>
          <w:tcPr>
            <w:tcW w:w="1375" w:type="dxa"/>
            <w:shd w:val="clear" w:color="auto" w:fill="FEFAF8"/>
          </w:tcPr>
          <w:p w14:paraId="35C4A609" w14:textId="7F98BE82" w:rsidR="00452750" w:rsidRPr="000F23E0" w:rsidRDefault="00452750" w:rsidP="00B63D3B">
            <w:pPr>
              <w:pStyle w:val="TableTextRight"/>
              <w:cnfStyle w:val="000000000000" w:firstRow="0" w:lastRow="0" w:firstColumn="0" w:lastColumn="0" w:oddVBand="0" w:evenVBand="0" w:oddHBand="0" w:evenHBand="0" w:firstRowFirstColumn="0" w:firstRowLastColumn="0" w:lastRowFirstColumn="0" w:lastRowLastColumn="0"/>
            </w:pPr>
            <w:r w:rsidRPr="000F23E0">
              <w:t>As at June 2022</w:t>
            </w:r>
          </w:p>
        </w:tc>
      </w:tr>
      <w:tr w:rsidR="001D657D" w:rsidRPr="000F23E0" w14:paraId="534573A2" w14:textId="77777777" w:rsidTr="00955A88">
        <w:trPr>
          <w:trHeight w:val="197"/>
        </w:trPr>
        <w:tc>
          <w:tcPr>
            <w:cnfStyle w:val="001000000000" w:firstRow="0" w:lastRow="0" w:firstColumn="1" w:lastColumn="0" w:oddVBand="0" w:evenVBand="0" w:oddHBand="0" w:evenHBand="0" w:firstRowFirstColumn="0" w:firstRowLastColumn="0" w:lastRowFirstColumn="0" w:lastRowLastColumn="0"/>
            <w:tcW w:w="1413" w:type="dxa"/>
            <w:vMerge/>
            <w:shd w:val="clear" w:color="auto" w:fill="FDF0E7"/>
          </w:tcPr>
          <w:p w14:paraId="0F35F044" w14:textId="2072D40E" w:rsidR="00452750" w:rsidRPr="000F23E0" w:rsidRDefault="00452750" w:rsidP="00452750">
            <w:pPr>
              <w:pStyle w:val="TableTextLeft"/>
              <w:rPr>
                <w:b/>
              </w:rPr>
            </w:pPr>
          </w:p>
        </w:tc>
        <w:tc>
          <w:tcPr>
            <w:tcW w:w="4333" w:type="dxa"/>
            <w:shd w:val="clear" w:color="auto" w:fill="FEFAF8"/>
            <w:vAlign w:val="center"/>
          </w:tcPr>
          <w:p w14:paraId="473C2953" w14:textId="2F42D3C5" w:rsidR="00452750" w:rsidRPr="000F23E0" w:rsidRDefault="00452750" w:rsidP="00B63D3B">
            <w:pPr>
              <w:pStyle w:val="TableTextLeft"/>
              <w:cnfStyle w:val="000000000000" w:firstRow="0" w:lastRow="0" w:firstColumn="0" w:lastColumn="0" w:oddVBand="0" w:evenVBand="0" w:oddHBand="0" w:evenHBand="0" w:firstRowFirstColumn="0" w:firstRowLastColumn="0" w:lastRowFirstColumn="0" w:lastRowLastColumn="0"/>
            </w:pPr>
            <w:r w:rsidRPr="000F23E0">
              <w:t>Pesticide risk condition – aquatic species unlikely to experience harmful effects from pesticides (per cent) </w:t>
            </w:r>
          </w:p>
        </w:tc>
        <w:tc>
          <w:tcPr>
            <w:tcW w:w="834" w:type="dxa"/>
            <w:shd w:val="clear" w:color="auto" w:fill="FEFAF8"/>
          </w:tcPr>
          <w:p w14:paraId="217D91AF" w14:textId="147ED2AD" w:rsidR="00452750" w:rsidRPr="000F23E0" w:rsidRDefault="00452750" w:rsidP="00B63D3B">
            <w:pPr>
              <w:pStyle w:val="TableTextRight"/>
              <w:cnfStyle w:val="000000000000" w:firstRow="0" w:lastRow="0" w:firstColumn="0" w:lastColumn="0" w:oddVBand="0" w:evenVBand="0" w:oddHBand="0" w:evenHBand="0" w:firstRowFirstColumn="0" w:firstRowLastColumn="0" w:lastRowFirstColumn="0" w:lastRowLastColumn="0"/>
            </w:pPr>
            <w:r w:rsidRPr="000F23E0">
              <w:t>95.0</w:t>
            </w:r>
          </w:p>
        </w:tc>
        <w:tc>
          <w:tcPr>
            <w:tcW w:w="1115" w:type="dxa"/>
            <w:shd w:val="clear" w:color="auto" w:fill="FEFAF8"/>
          </w:tcPr>
          <w:p w14:paraId="694AA80F" w14:textId="77777777" w:rsidR="00452750" w:rsidRPr="000F23E0" w:rsidRDefault="00452750" w:rsidP="00B63D3B">
            <w:pPr>
              <w:pStyle w:val="TableTextRight"/>
              <w:cnfStyle w:val="000000000000" w:firstRow="0" w:lastRow="0" w:firstColumn="0" w:lastColumn="0" w:oddVBand="0" w:evenVBand="0" w:oddHBand="0" w:evenHBand="0" w:firstRowFirstColumn="0" w:firstRowLastColumn="0" w:lastRowFirstColumn="0" w:lastRowLastColumn="0"/>
            </w:pPr>
            <w:r w:rsidRPr="000F23E0">
              <w:t>Recorded</w:t>
            </w:r>
          </w:p>
        </w:tc>
        <w:tc>
          <w:tcPr>
            <w:tcW w:w="1375" w:type="dxa"/>
            <w:shd w:val="clear" w:color="auto" w:fill="FEFAF8"/>
          </w:tcPr>
          <w:p w14:paraId="701E3E35" w14:textId="6140A16C" w:rsidR="00452750" w:rsidRPr="000F23E0" w:rsidRDefault="00452750" w:rsidP="00B63D3B">
            <w:pPr>
              <w:pStyle w:val="TableTextRight"/>
              <w:cnfStyle w:val="000000000000" w:firstRow="0" w:lastRow="0" w:firstColumn="0" w:lastColumn="0" w:oddVBand="0" w:evenVBand="0" w:oddHBand="0" w:evenHBand="0" w:firstRowFirstColumn="0" w:firstRowLastColumn="0" w:lastRowFirstColumn="0" w:lastRowLastColumn="0"/>
            </w:pPr>
            <w:r w:rsidRPr="000F23E0">
              <w:t>2022</w:t>
            </w:r>
          </w:p>
        </w:tc>
      </w:tr>
      <w:tr w:rsidR="001D657D" w:rsidRPr="000F23E0" w14:paraId="7397E4AF" w14:textId="77777777" w:rsidTr="00955A88">
        <w:trPr>
          <w:trHeight w:val="197"/>
        </w:trPr>
        <w:tc>
          <w:tcPr>
            <w:cnfStyle w:val="001000000000" w:firstRow="0" w:lastRow="0" w:firstColumn="1" w:lastColumn="0" w:oddVBand="0" w:evenVBand="0" w:oddHBand="0" w:evenHBand="0" w:firstRowFirstColumn="0" w:firstRowLastColumn="0" w:lastRowFirstColumn="0" w:lastRowLastColumn="0"/>
            <w:tcW w:w="1413" w:type="dxa"/>
            <w:vMerge/>
            <w:shd w:val="clear" w:color="auto" w:fill="FDF0E7"/>
          </w:tcPr>
          <w:p w14:paraId="130E5FE9" w14:textId="703DE4F1" w:rsidR="00452750" w:rsidRPr="000F23E0" w:rsidRDefault="00452750" w:rsidP="00452750">
            <w:pPr>
              <w:pStyle w:val="TableTextLeft"/>
              <w:rPr>
                <w:b/>
              </w:rPr>
            </w:pPr>
          </w:p>
        </w:tc>
        <w:tc>
          <w:tcPr>
            <w:tcW w:w="4333" w:type="dxa"/>
            <w:shd w:val="clear" w:color="auto" w:fill="FEFAF8"/>
            <w:vAlign w:val="center"/>
          </w:tcPr>
          <w:p w14:paraId="2A71FBC6" w14:textId="0F077D7A" w:rsidR="00452750" w:rsidRPr="000F23E0" w:rsidRDefault="00452750" w:rsidP="00B63D3B">
            <w:pPr>
              <w:pStyle w:val="TableTextLeft"/>
              <w:cnfStyle w:val="000000000000" w:firstRow="0" w:lastRow="0" w:firstColumn="0" w:lastColumn="0" w:oddVBand="0" w:evenVBand="0" w:oddHBand="0" w:evenHBand="0" w:firstRowFirstColumn="0" w:firstRowLastColumn="0" w:lastRowFirstColumn="0" w:lastRowLastColumn="0"/>
            </w:pPr>
            <w:r w:rsidRPr="000F23E0">
              <w:t>Proportion of grazing lands with greater than 70</w:t>
            </w:r>
            <w:r w:rsidR="00955A88" w:rsidRPr="000F23E0">
              <w:t> </w:t>
            </w:r>
            <w:r w:rsidRPr="000F23E0">
              <w:t>per</w:t>
            </w:r>
            <w:r w:rsidR="00955A88" w:rsidRPr="000F23E0">
              <w:t> </w:t>
            </w:r>
            <w:r w:rsidRPr="000F23E0">
              <w:t>cent ground cover in the late dry season (per cent) </w:t>
            </w:r>
          </w:p>
        </w:tc>
        <w:tc>
          <w:tcPr>
            <w:tcW w:w="834" w:type="dxa"/>
            <w:shd w:val="clear" w:color="auto" w:fill="FEFAF8"/>
          </w:tcPr>
          <w:p w14:paraId="0516FE8C" w14:textId="5554394B" w:rsidR="00452750" w:rsidRPr="000F23E0" w:rsidRDefault="00452750" w:rsidP="00B63D3B">
            <w:pPr>
              <w:pStyle w:val="TableTextRight"/>
              <w:cnfStyle w:val="000000000000" w:firstRow="0" w:lastRow="0" w:firstColumn="0" w:lastColumn="0" w:oddVBand="0" w:evenVBand="0" w:oddHBand="0" w:evenHBand="0" w:firstRowFirstColumn="0" w:firstRowLastColumn="0" w:lastRowFirstColumn="0" w:lastRowLastColumn="0"/>
            </w:pPr>
            <w:r w:rsidRPr="000F23E0">
              <w:t>92.0</w:t>
            </w:r>
          </w:p>
        </w:tc>
        <w:tc>
          <w:tcPr>
            <w:tcW w:w="1115" w:type="dxa"/>
            <w:shd w:val="clear" w:color="auto" w:fill="FEFAF8"/>
          </w:tcPr>
          <w:p w14:paraId="5E300079" w14:textId="77777777" w:rsidR="00452750" w:rsidRPr="000F23E0" w:rsidRDefault="00452750" w:rsidP="00B63D3B">
            <w:pPr>
              <w:pStyle w:val="TableTextRight"/>
              <w:cnfStyle w:val="000000000000" w:firstRow="0" w:lastRow="0" w:firstColumn="0" w:lastColumn="0" w:oddVBand="0" w:evenVBand="0" w:oddHBand="0" w:evenHBand="0" w:firstRowFirstColumn="0" w:firstRowLastColumn="0" w:lastRowFirstColumn="0" w:lastRowLastColumn="0"/>
            </w:pPr>
            <w:r w:rsidRPr="000F23E0">
              <w:t>Recorded</w:t>
            </w:r>
          </w:p>
        </w:tc>
        <w:tc>
          <w:tcPr>
            <w:tcW w:w="1375" w:type="dxa"/>
            <w:shd w:val="clear" w:color="auto" w:fill="FEFAF8"/>
          </w:tcPr>
          <w:p w14:paraId="728F03F6" w14:textId="0EA2453F" w:rsidR="00452750" w:rsidRPr="000F23E0" w:rsidRDefault="00452750" w:rsidP="00B63D3B">
            <w:pPr>
              <w:pStyle w:val="TableTextRight"/>
              <w:cnfStyle w:val="000000000000" w:firstRow="0" w:lastRow="0" w:firstColumn="0" w:lastColumn="0" w:oddVBand="0" w:evenVBand="0" w:oddHBand="0" w:evenHBand="0" w:firstRowFirstColumn="0" w:firstRowLastColumn="0" w:lastRowFirstColumn="0" w:lastRowLastColumn="0"/>
            </w:pPr>
            <w:r w:rsidRPr="000F23E0">
              <w:t>2022</w:t>
            </w:r>
          </w:p>
        </w:tc>
      </w:tr>
    </w:tbl>
    <w:bookmarkEnd w:id="354"/>
    <w:p w14:paraId="273D57C3" w14:textId="35D77253" w:rsidR="007277A6" w:rsidRPr="000F23E0" w:rsidRDefault="00437A7D" w:rsidP="0048145F">
      <w:pPr>
        <w:pStyle w:val="Heading4"/>
      </w:pPr>
      <w:r w:rsidRPr="000F23E0">
        <w:t xml:space="preserve">Social </w:t>
      </w:r>
      <w:r w:rsidR="00B45295" w:rsidRPr="000F23E0">
        <w:t>c</w:t>
      </w:r>
      <w:r w:rsidRPr="000F23E0">
        <w:t>o</w:t>
      </w:r>
      <w:r w:rsidR="002C4475" w:rsidRPr="000F23E0">
        <w:noBreakHyphen/>
      </w:r>
      <w:r w:rsidRPr="000F23E0">
        <w:t>benefits</w:t>
      </w:r>
    </w:p>
    <w:p w14:paraId="27D2F312" w14:textId="2F90B66B" w:rsidR="00EE4F21" w:rsidRPr="000F23E0" w:rsidRDefault="00EE4F21" w:rsidP="0048145F">
      <w:r w:rsidRPr="000F23E0">
        <w:t>The Reef is an intrinsic part of the lives of its Traditional Owners, who continue to care for their Sea Country as a significant cultural landscape. More than 70 Traditional Owner groups have long, continuing cultural obligations to the Reef and its catchment stretching back over 60,000</w:t>
      </w:r>
      <w:r w:rsidR="00955A88" w:rsidRPr="000F23E0">
        <w:t> </w:t>
      </w:r>
      <w:r w:rsidRPr="000F23E0">
        <w:t>years. For</w:t>
      </w:r>
      <w:r w:rsidR="00955A88" w:rsidRPr="000F23E0">
        <w:t> </w:t>
      </w:r>
      <w:r w:rsidRPr="000F23E0">
        <w:t>Traditional Owners, its value is immeasurable</w:t>
      </w:r>
      <w:r w:rsidR="004A5126" w:rsidRPr="000F23E0">
        <w:t xml:space="preserve"> as it is</w:t>
      </w:r>
      <w:r w:rsidRPr="000F23E0">
        <w:t> intertwined with identity, self, and culture. Strong social and economic connections with the Reef are also evident among the broader community. People rely on or use the Reef for their livelihoods, recreation and wellbeing</w:t>
      </w:r>
      <w:r w:rsidR="002C4475" w:rsidRPr="000F23E0">
        <w:t xml:space="preserve">. </w:t>
      </w:r>
    </w:p>
    <w:p w14:paraId="62C3AED0" w14:textId="6C7960E7" w:rsidR="00EE4F21" w:rsidRPr="000F23E0" w:rsidRDefault="00EE4F21" w:rsidP="00EE4F21">
      <w:pPr>
        <w:spacing w:before="0" w:after="160" w:line="259" w:lineRule="auto"/>
      </w:pPr>
      <w:r w:rsidRPr="000F23E0">
        <w:t xml:space="preserve">The Reef supports a range of </w:t>
      </w:r>
      <w:r w:rsidR="00FD7711" w:rsidRPr="000F23E0">
        <w:t>r</w:t>
      </w:r>
      <w:r w:rsidRPr="000F23E0">
        <w:t>eef</w:t>
      </w:r>
      <w:r w:rsidR="002C4475" w:rsidRPr="000F23E0">
        <w:noBreakHyphen/>
      </w:r>
      <w:r w:rsidRPr="000F23E0">
        <w:t>dependent commercial (</w:t>
      </w:r>
      <w:r w:rsidR="007A587A" w:rsidRPr="000F23E0">
        <w:t xml:space="preserve">including </w:t>
      </w:r>
      <w:r w:rsidRPr="000F23E0">
        <w:t>tourism</w:t>
      </w:r>
      <w:r w:rsidR="004A5126" w:rsidRPr="000F23E0">
        <w:t xml:space="preserve"> and </w:t>
      </w:r>
      <w:r w:rsidRPr="000F23E0">
        <w:t>fishing) and non</w:t>
      </w:r>
      <w:r w:rsidR="002C4475" w:rsidRPr="000F23E0">
        <w:noBreakHyphen/>
      </w:r>
      <w:r w:rsidRPr="000F23E0">
        <w:t>commercial (recreation</w:t>
      </w:r>
      <w:r w:rsidR="004A5126" w:rsidRPr="000F23E0">
        <w:t xml:space="preserve"> and</w:t>
      </w:r>
      <w:r w:rsidRPr="000F23E0">
        <w:t xml:space="preserve"> research) uses that collectively form an important part of the social and economic fabric of communities in the catchment</w:t>
      </w:r>
      <w:r w:rsidR="009763C1" w:rsidRPr="000F23E0">
        <w:t>s</w:t>
      </w:r>
      <w:r w:rsidRPr="000F23E0">
        <w:t>. Other industries, while not directly dependent on Reef health for their economic sustainability, operate within the Reef (</w:t>
      </w:r>
      <w:r w:rsidR="004A5126" w:rsidRPr="000F23E0">
        <w:t>such as</w:t>
      </w:r>
      <w:r w:rsidRPr="000F23E0">
        <w:t xml:space="preserve"> ports, shipping) or adjacent to it (</w:t>
      </w:r>
      <w:r w:rsidR="004A5126" w:rsidRPr="000F23E0">
        <w:t>such as</w:t>
      </w:r>
      <w:r w:rsidRPr="000F23E0">
        <w:t xml:space="preserve"> agriculture) and have an important relationship with the Reef. </w:t>
      </w:r>
    </w:p>
    <w:p w14:paraId="08164106" w14:textId="1CA2213D" w:rsidR="00EE4F21" w:rsidRPr="000F23E0" w:rsidRDefault="00EE4F21" w:rsidP="00EE4F21">
      <w:pPr>
        <w:spacing w:before="0" w:after="160" w:line="259" w:lineRule="auto"/>
      </w:pPr>
      <w:r w:rsidRPr="000F23E0">
        <w:t xml:space="preserve">The Reef 2050 Plan objectives include specific indigenous heritage and social elements to achieve a </w:t>
      </w:r>
      <w:r w:rsidR="002C4475" w:rsidRPr="000F23E0">
        <w:t>‘</w:t>
      </w:r>
      <w:r w:rsidRPr="000F23E0">
        <w:t>Healthy Reef, and Healthy People</w:t>
      </w:r>
      <w:r w:rsidR="002C4475" w:rsidRPr="000F23E0">
        <w:t>’</w:t>
      </w:r>
      <w:r w:rsidRPr="000F23E0">
        <w:t>, including:</w:t>
      </w:r>
    </w:p>
    <w:p w14:paraId="58C94664" w14:textId="5B6C0536" w:rsidR="00EE4F21" w:rsidRPr="000F23E0" w:rsidRDefault="00672B0C" w:rsidP="005D417E">
      <w:pPr>
        <w:pStyle w:val="Bullet"/>
      </w:pPr>
      <w:r w:rsidRPr="000F23E0">
        <w:t>Traditional Knowledge</w:t>
      </w:r>
      <w:r w:rsidR="00EE4F21" w:rsidRPr="000F23E0">
        <w:t xml:space="preserve"> about the Great Barrier Reef is owned and managed by Traditional Owners and is protected and retained for future generations</w:t>
      </w:r>
    </w:p>
    <w:p w14:paraId="3C9E418C" w14:textId="53AFBEEF" w:rsidR="00EE4F21" w:rsidRPr="000F23E0" w:rsidRDefault="00EE4F21" w:rsidP="005D417E">
      <w:pPr>
        <w:pStyle w:val="Bullet"/>
      </w:pPr>
      <w:r w:rsidRPr="000F23E0">
        <w:t>Traditional Owners</w:t>
      </w:r>
      <w:r w:rsidR="002C4475" w:rsidRPr="000F23E0">
        <w:t>’</w:t>
      </w:r>
      <w:r w:rsidRPr="000F23E0">
        <w:t xml:space="preserve"> rights are genuinely recognised and prioritised, and inform and drive how benefits are shared</w:t>
      </w:r>
    </w:p>
    <w:p w14:paraId="1E455BD2" w14:textId="521D0B52" w:rsidR="00EE4F21" w:rsidRPr="000F23E0" w:rsidRDefault="00CC6D0C" w:rsidP="005D417E">
      <w:pPr>
        <w:pStyle w:val="Bullet"/>
      </w:pPr>
      <w:r w:rsidRPr="000F23E0">
        <w:t>u</w:t>
      </w:r>
      <w:r w:rsidR="00EE4F21" w:rsidRPr="000F23E0">
        <w:t>ses of the Reef are ecologically sustainable as the system changes, in turn sustaining economic and social benefits.</w:t>
      </w:r>
    </w:p>
    <w:p w14:paraId="5B0C44FF" w14:textId="77777777" w:rsidR="0048145F" w:rsidRPr="000F23E0" w:rsidRDefault="0048145F" w:rsidP="0048145F"/>
    <w:p w14:paraId="18B488D5" w14:textId="77777777" w:rsidR="0048145F" w:rsidRPr="000F23E0" w:rsidRDefault="0048145F" w:rsidP="0048145F">
      <w:pPr>
        <w:sectPr w:rsidR="0048145F" w:rsidRPr="000F23E0" w:rsidSect="00D461D1">
          <w:footnotePr>
            <w:numFmt w:val="lowerLetter"/>
          </w:footnotePr>
          <w:endnotePr>
            <w:numFmt w:val="decimal"/>
          </w:endnotePr>
          <w:pgSz w:w="11906" w:h="16838" w:code="9"/>
          <w:pgMar w:top="1843" w:right="1418" w:bottom="1418" w:left="1418" w:header="709" w:footer="709" w:gutter="0"/>
          <w:cols w:space="708"/>
          <w:docGrid w:linePitch="360"/>
        </w:sectPr>
      </w:pPr>
    </w:p>
    <w:p w14:paraId="705BCC9E" w14:textId="7D86FED8" w:rsidR="0050759D" w:rsidRPr="000F23E0" w:rsidRDefault="00D3586C" w:rsidP="00557D2D">
      <w:pPr>
        <w:pStyle w:val="Heading1"/>
      </w:pPr>
      <w:bookmarkStart w:id="355" w:name="_Toc188028334"/>
      <w:bookmarkStart w:id="356" w:name="_Toc225155800"/>
      <w:r w:rsidRPr="000F23E0">
        <w:lastRenderedPageBreak/>
        <w:t xml:space="preserve">Chapter 8: </w:t>
      </w:r>
      <w:r w:rsidR="00DA2016" w:rsidRPr="000F23E0">
        <w:t>Sustainable water and wastewater management</w:t>
      </w:r>
      <w:bookmarkEnd w:id="355"/>
      <w:bookmarkEnd w:id="356"/>
      <w:r w:rsidR="00CF1777" w:rsidRPr="000F23E0">
        <w:t xml:space="preserve"> </w:t>
      </w:r>
    </w:p>
    <w:p w14:paraId="607F6960" w14:textId="48524B0A" w:rsidR="008B3070" w:rsidRPr="000F23E0" w:rsidRDefault="00D169E8" w:rsidP="00F5308D">
      <w:pPr>
        <w:shd w:val="clear" w:color="auto" w:fill="FFFFFF" w:themeFill="background1"/>
      </w:pPr>
      <w:r w:rsidRPr="000F23E0">
        <w:t xml:space="preserve">Australia is </w:t>
      </w:r>
      <w:r w:rsidR="00E618CB" w:rsidRPr="000F23E0">
        <w:t xml:space="preserve">the land of </w:t>
      </w:r>
      <w:r w:rsidR="00C84CEF" w:rsidRPr="000F23E0">
        <w:t>droughts and flooding rains</w:t>
      </w:r>
      <w:r w:rsidR="004E441E" w:rsidRPr="000F23E0">
        <w:t>. Th</w:t>
      </w:r>
      <w:r w:rsidR="008B3070" w:rsidRPr="000F23E0">
        <w:t>is presents unique challenges and</w:t>
      </w:r>
      <w:r w:rsidR="004E441E" w:rsidRPr="000F23E0">
        <w:t xml:space="preserve"> requires careful and sustainable </w:t>
      </w:r>
      <w:r w:rsidR="00A91056" w:rsidRPr="000F23E0">
        <w:t>water and wastewater</w:t>
      </w:r>
      <w:r w:rsidR="00D35AE9" w:rsidRPr="000F23E0">
        <w:t xml:space="preserve"> management</w:t>
      </w:r>
      <w:r w:rsidR="00A91056" w:rsidRPr="000F23E0">
        <w:t>.</w:t>
      </w:r>
    </w:p>
    <w:p w14:paraId="400AFBE6" w14:textId="4FB6AB72" w:rsidR="00381329" w:rsidRPr="000F23E0" w:rsidRDefault="00381329" w:rsidP="00381329">
      <w:pPr>
        <w:shd w:val="clear" w:color="auto" w:fill="FFFFFF" w:themeFill="background1"/>
      </w:pPr>
      <w:r w:rsidRPr="000F23E0">
        <w:t>Australian water resources are managed by agencies at different levels of government. State and territory governments are primarily responsible for managing water in their jurisdictions. The Australian Government provides national coordination and leadership to drive policy and law reforms</w:t>
      </w:r>
      <w:r w:rsidR="00955A88" w:rsidRPr="000F23E0">
        <w:t> </w:t>
      </w:r>
      <w:r w:rsidRPr="000F23E0">
        <w:t>to manage the country</w:t>
      </w:r>
      <w:r w:rsidR="002C4475" w:rsidRPr="000F23E0">
        <w:t>’</w:t>
      </w:r>
      <w:r w:rsidRPr="000F23E0">
        <w:t>s water resources sustainably and productively for future generations of Australians.</w:t>
      </w:r>
    </w:p>
    <w:p w14:paraId="006E7E86" w14:textId="31A39611" w:rsidR="00381329" w:rsidRPr="000F23E0" w:rsidRDefault="00381329" w:rsidP="00381329">
      <w:pPr>
        <w:shd w:val="clear" w:color="auto" w:fill="FFFFFF" w:themeFill="background1"/>
      </w:pPr>
      <w:r w:rsidRPr="000F23E0">
        <w:t>Australia</w:t>
      </w:r>
      <w:r w:rsidR="002C4475" w:rsidRPr="000F23E0">
        <w:t>’</w:t>
      </w:r>
      <w:r w:rsidRPr="000F23E0">
        <w:t>s water policies aim to improve the sustainable management of national water resources, and increase water security for communities, agriculture, and the environment to ensure reliable future supply.</w:t>
      </w:r>
      <w:r w:rsidRPr="000F23E0">
        <w:rPr>
          <w:rStyle w:val="EndnoteReference"/>
        </w:rPr>
        <w:endnoteReference w:id="71"/>
      </w:r>
      <w:r w:rsidRPr="000F23E0">
        <w:t xml:space="preserve"> This includes promoting all sources of water, including recycled water, treated wastewater, stormwater and groundwater.</w:t>
      </w:r>
    </w:p>
    <w:p w14:paraId="6F86BCAA" w14:textId="73FB5D36" w:rsidR="00F5308D" w:rsidRPr="000F23E0" w:rsidRDefault="00606DBB" w:rsidP="00F5308D">
      <w:pPr>
        <w:shd w:val="clear" w:color="auto" w:fill="FFFFFF" w:themeFill="background1"/>
      </w:pPr>
      <w:r w:rsidRPr="000F23E0">
        <w:t>DCCEEW</w:t>
      </w:r>
      <w:r w:rsidR="00E106DD" w:rsidRPr="000F23E0">
        <w:t xml:space="preserve"> </w:t>
      </w:r>
      <w:r w:rsidR="00591E9D" w:rsidRPr="000F23E0">
        <w:t xml:space="preserve">is committed to renewing the National Water Initiative </w:t>
      </w:r>
      <w:r w:rsidR="00E106DD" w:rsidRPr="000F23E0">
        <w:t xml:space="preserve">in consultation with </w:t>
      </w:r>
      <w:r w:rsidR="003F65CF" w:rsidRPr="000F23E0">
        <w:t>s</w:t>
      </w:r>
      <w:r w:rsidR="00E106DD" w:rsidRPr="000F23E0">
        <w:t xml:space="preserve">tate and </w:t>
      </w:r>
      <w:r w:rsidR="003F65CF" w:rsidRPr="000F23E0">
        <w:t>t</w:t>
      </w:r>
      <w:r w:rsidR="00E106DD" w:rsidRPr="000F23E0">
        <w:t>erritory governments. The new National Water Agreement will build on the NWI to address current and future challenges. The new National Water Agreement seek</w:t>
      </w:r>
      <w:r w:rsidR="00554B7A" w:rsidRPr="000F23E0">
        <w:t>s</w:t>
      </w:r>
      <w:r w:rsidR="00E106DD" w:rsidRPr="000F23E0">
        <w:t xml:space="preserve"> to ensure sustainable water planning in a changing climate</w:t>
      </w:r>
      <w:r w:rsidR="00416167" w:rsidRPr="000F23E0">
        <w:t>, improve water quality and the health of water</w:t>
      </w:r>
      <w:r w:rsidR="002C4475" w:rsidRPr="000F23E0">
        <w:noBreakHyphen/>
      </w:r>
      <w:r w:rsidR="00416167" w:rsidRPr="000F23E0">
        <w:t>dependent ecosystems</w:t>
      </w:r>
      <w:r w:rsidR="00E106DD" w:rsidRPr="000F23E0">
        <w:t xml:space="preserve"> and strengthen </w:t>
      </w:r>
      <w:r w:rsidR="00591E9D" w:rsidRPr="000F23E0">
        <w:t xml:space="preserve">the </w:t>
      </w:r>
      <w:r w:rsidR="00E106DD" w:rsidRPr="000F23E0">
        <w:t xml:space="preserve">influence </w:t>
      </w:r>
      <w:r w:rsidR="001426C6" w:rsidRPr="000F23E0">
        <w:t xml:space="preserve">of </w:t>
      </w:r>
      <w:r w:rsidR="00E106DD" w:rsidRPr="000F23E0">
        <w:t>Aboriginal and Torres Strait Islander Peoples in water management.</w:t>
      </w:r>
    </w:p>
    <w:p w14:paraId="129292C1" w14:textId="67DC6D84" w:rsidR="00E106DD" w:rsidRPr="000F23E0" w:rsidRDefault="00611CEF" w:rsidP="00F5308D">
      <w:pPr>
        <w:shd w:val="clear" w:color="auto" w:fill="FFFFFF" w:themeFill="background1"/>
      </w:pPr>
      <w:r w:rsidRPr="000F23E0">
        <w:t>GTB</w:t>
      </w:r>
      <w:r w:rsidR="00E106DD" w:rsidRPr="000F23E0">
        <w:t>s finance programs support the Murray</w:t>
      </w:r>
      <w:r w:rsidR="00965AE7" w:rsidRPr="000F23E0">
        <w:t>–</w:t>
      </w:r>
      <w:r w:rsidR="00E106DD" w:rsidRPr="000F23E0">
        <w:t>Darling Basin which covers 75</w:t>
      </w:r>
      <w:r w:rsidR="00955A88" w:rsidRPr="000F23E0">
        <w:t> </w:t>
      </w:r>
      <w:r w:rsidR="00E106DD" w:rsidRPr="000F23E0">
        <w:t>per</w:t>
      </w:r>
      <w:r w:rsidR="00955A88" w:rsidRPr="000F23E0">
        <w:t> </w:t>
      </w:r>
      <w:r w:rsidR="00E106DD" w:rsidRPr="000F23E0">
        <w:t>cent of New South Wales, more than 50 per cent of Victoria, 15</w:t>
      </w:r>
      <w:r w:rsidR="00955A88" w:rsidRPr="000F23E0">
        <w:t> </w:t>
      </w:r>
      <w:r w:rsidR="00E106DD" w:rsidRPr="000F23E0">
        <w:t>per</w:t>
      </w:r>
      <w:r w:rsidR="00955A88" w:rsidRPr="000F23E0">
        <w:t> </w:t>
      </w:r>
      <w:r w:rsidR="00E106DD" w:rsidRPr="000F23E0">
        <w:t>cent of Queensland, 8 per cent of South Australia and all of the Australian Capital Territory.</w:t>
      </w:r>
    </w:p>
    <w:p w14:paraId="78DAA2C1" w14:textId="1804D8F5" w:rsidR="00955A88" w:rsidRPr="000F23E0" w:rsidRDefault="00955A88" w:rsidP="00FD3F58">
      <w:pPr>
        <w:pStyle w:val="ChartGraphic"/>
        <w:keepNext w:val="0"/>
      </w:pPr>
      <w:r w:rsidRPr="000F23E0">
        <w:drawing>
          <wp:inline distT="0" distB="0" distL="0" distR="0" wp14:anchorId="0D03FDE8" wp14:editId="111F7229">
            <wp:extent cx="5757075" cy="3621974"/>
            <wp:effectExtent l="0" t="0" r="0" b="0"/>
            <wp:docPr id="1108707814" name="Picture 10" descr="Birds eye view of the Nepean River near Richmond, New South W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707814" name="Picture 10" descr="Birds eye view of the Nepean River near Richmond, New South Wales."/>
                    <pic:cNvPicPr/>
                  </pic:nvPicPr>
                  <pic:blipFill rotWithShape="1">
                    <a:blip r:embed="rId111" cstate="print">
                      <a:extLst>
                        <a:ext uri="{28A0092B-C50C-407E-A947-70E740481C1C}">
                          <a14:useLocalDpi xmlns:a14="http://schemas.microsoft.com/office/drawing/2010/main" val="0"/>
                        </a:ext>
                      </a:extLst>
                    </a:blip>
                    <a:srcRect/>
                    <a:stretch>
                      <a:fillRect/>
                    </a:stretch>
                  </pic:blipFill>
                  <pic:spPr bwMode="auto">
                    <a:xfrm>
                      <a:off x="0" y="0"/>
                      <a:ext cx="5757690" cy="3622361"/>
                    </a:xfrm>
                    <a:prstGeom prst="rect">
                      <a:avLst/>
                    </a:prstGeom>
                    <a:ln>
                      <a:noFill/>
                    </a:ln>
                    <a:extLst>
                      <a:ext uri="{53640926-AAD7-44D8-BBD7-CCE9431645EC}">
                        <a14:shadowObscured xmlns:a14="http://schemas.microsoft.com/office/drawing/2010/main"/>
                      </a:ext>
                    </a:extLst>
                  </pic:spPr>
                </pic:pic>
              </a:graphicData>
            </a:graphic>
          </wp:inline>
        </w:drawing>
      </w:r>
    </w:p>
    <w:p w14:paraId="78BBBA89" w14:textId="75B5956F" w:rsidR="00DA4B93" w:rsidRPr="000F23E0" w:rsidRDefault="00377CC8" w:rsidP="0023381C">
      <w:pPr>
        <w:pStyle w:val="Heading2"/>
      </w:pPr>
      <w:bookmarkStart w:id="357" w:name="_Murray-Darling_Basin_Plan"/>
      <w:bookmarkStart w:id="358" w:name="_Toc188028335"/>
      <w:bookmarkStart w:id="359" w:name="_Toc225155801"/>
      <w:bookmarkEnd w:id="357"/>
      <w:r w:rsidRPr="000F23E0">
        <w:lastRenderedPageBreak/>
        <w:t>Murray</w:t>
      </w:r>
      <w:r w:rsidR="00BB1665" w:rsidRPr="000F23E0">
        <w:t>–</w:t>
      </w:r>
      <w:r w:rsidRPr="000F23E0">
        <w:t xml:space="preserve">Darling </w:t>
      </w:r>
      <w:r w:rsidR="005719A0" w:rsidRPr="000F23E0">
        <w:t>Basin Plan</w:t>
      </w:r>
      <w:bookmarkEnd w:id="358"/>
      <w:bookmarkEnd w:id="359"/>
    </w:p>
    <w:p w14:paraId="482951D1" w14:textId="189EB452" w:rsidR="000F778B" w:rsidRPr="000F23E0" w:rsidRDefault="000F778B" w:rsidP="000F778B">
      <w:pPr>
        <w:shd w:val="clear" w:color="auto" w:fill="FFFFFF" w:themeFill="background1"/>
      </w:pPr>
      <w:r w:rsidRPr="000F23E0">
        <w:t>The Murray</w:t>
      </w:r>
      <w:r w:rsidR="00957F07" w:rsidRPr="000F23E0">
        <w:t>–</w:t>
      </w:r>
      <w:r w:rsidRPr="000F23E0">
        <w:t>Darling Basin (the Basin) is Australia</w:t>
      </w:r>
      <w:r w:rsidR="002C4475" w:rsidRPr="000F23E0">
        <w:t>’</w:t>
      </w:r>
      <w:r w:rsidRPr="000F23E0">
        <w:t>s largest river system. It comprises interconnected rivers and lakes and is home to 16 wetlands of international significance under the Ramsar Convention</w:t>
      </w:r>
      <w:r w:rsidR="00737D39" w:rsidRPr="000F23E0">
        <w:t>. It is</w:t>
      </w:r>
      <w:r w:rsidR="00ED538D" w:rsidRPr="000F23E0">
        <w:t xml:space="preserve"> home to 367 bird species (of which 35 are endangered), 65 mammal species (16</w:t>
      </w:r>
      <w:r w:rsidR="00955A88" w:rsidRPr="000F23E0">
        <w:t> </w:t>
      </w:r>
      <w:r w:rsidR="00ED538D" w:rsidRPr="000F23E0">
        <w:t>are</w:t>
      </w:r>
      <w:r w:rsidR="00955A88" w:rsidRPr="000F23E0">
        <w:t> </w:t>
      </w:r>
      <w:r w:rsidR="00ED538D" w:rsidRPr="000F23E0">
        <w:t>endangered), 31 native frog species and over 50 species of native fish</w:t>
      </w:r>
      <w:r w:rsidRPr="000F23E0">
        <w:t>. It covers over 1</w:t>
      </w:r>
      <w:r w:rsidR="00955A88" w:rsidRPr="000F23E0">
        <w:t> </w:t>
      </w:r>
      <w:r w:rsidRPr="000F23E0">
        <w:t>million</w:t>
      </w:r>
      <w:r w:rsidR="00955A88" w:rsidRPr="000F23E0">
        <w:t> </w:t>
      </w:r>
      <w:r w:rsidRPr="000F23E0">
        <w:t>square km</w:t>
      </w:r>
      <w:r w:rsidR="009322DE" w:rsidRPr="000F23E0">
        <w:t xml:space="preserve"> – </w:t>
      </w:r>
      <w:r w:rsidRPr="000F23E0">
        <w:t>the size of France and Germany combined. </w:t>
      </w:r>
    </w:p>
    <w:p w14:paraId="6A121D6E" w14:textId="7DA6789D" w:rsidR="00DB0F7A" w:rsidRPr="000F23E0" w:rsidRDefault="009D6185" w:rsidP="000F778B">
      <w:pPr>
        <w:shd w:val="clear" w:color="auto" w:fill="FFFFFF" w:themeFill="background1"/>
      </w:pPr>
      <w:r w:rsidRPr="000F23E0">
        <w:t>Over the years, the combination of droughts and increasing human use of the waterways for agriculture, manufacturing, and communities has led to a decline in the environmental health of the</w:t>
      </w:r>
      <w:r w:rsidR="00C71B7B" w:rsidRPr="000F23E0">
        <w:t> </w:t>
      </w:r>
      <w:r w:rsidRPr="000F23E0">
        <w:t>Basin</w:t>
      </w:r>
      <w:r w:rsidR="00847A60" w:rsidRPr="000F23E0">
        <w:t>. </w:t>
      </w:r>
      <w:r w:rsidR="0083455A" w:rsidRPr="000F23E0">
        <w:t>The </w:t>
      </w:r>
      <w:r w:rsidR="0083455A" w:rsidRPr="000F23E0">
        <w:rPr>
          <w:i/>
        </w:rPr>
        <w:t>Basin Plan 2012</w:t>
      </w:r>
      <w:r w:rsidR="0083455A" w:rsidRPr="000F23E0">
        <w:t> (Cth) (Basin Plan) provides an integrated and strategic framework for</w:t>
      </w:r>
      <w:r w:rsidR="00C71B7B" w:rsidRPr="000F23E0">
        <w:t> </w:t>
      </w:r>
      <w:r w:rsidR="0083455A" w:rsidRPr="000F23E0">
        <w:t>reform consistent with the requirements of the </w:t>
      </w:r>
      <w:r w:rsidR="0083455A" w:rsidRPr="000F23E0">
        <w:rPr>
          <w:i/>
        </w:rPr>
        <w:t>Water Act 2007 </w:t>
      </w:r>
      <w:r w:rsidR="0083455A" w:rsidRPr="000F23E0">
        <w:t>(Cth) (Water Act). The Basin Plan sets</w:t>
      </w:r>
      <w:r w:rsidR="00C71B7B" w:rsidRPr="000F23E0">
        <w:t> </w:t>
      </w:r>
      <w:r w:rsidR="0083455A" w:rsidRPr="000F23E0">
        <w:t>the amount of water that can be taken from rivers in the Basin each year, leaving enough to maintain a healthy environment.</w:t>
      </w:r>
    </w:p>
    <w:p w14:paraId="7434A7BF" w14:textId="210D3636" w:rsidR="000F778B" w:rsidRPr="000F23E0" w:rsidRDefault="000F778B" w:rsidP="00955A88">
      <w:pPr>
        <w:keepNext/>
        <w:keepLines/>
        <w:shd w:val="clear" w:color="auto" w:fill="FFFFFF" w:themeFill="background1"/>
      </w:pPr>
      <w:r w:rsidRPr="000F23E0">
        <w:t xml:space="preserve">The Basin Plan </w:t>
      </w:r>
      <w:r w:rsidR="009C5DFA" w:rsidRPr="000F23E0">
        <w:t xml:space="preserve">is </w:t>
      </w:r>
      <w:r w:rsidRPr="000F23E0">
        <w:t xml:space="preserve">an integrated and strategic framework for water reform in the Basin, consistent with the requirements of the Water Act. </w:t>
      </w:r>
      <w:r w:rsidR="009C5DFA" w:rsidRPr="000F23E0">
        <w:t>It includes</w:t>
      </w:r>
      <w:r w:rsidRPr="000F23E0">
        <w:t xml:space="preserve"> </w:t>
      </w:r>
      <w:r w:rsidR="00D43D1C" w:rsidRPr="000F23E0">
        <w:t>2</w:t>
      </w:r>
      <w:r w:rsidRPr="000F23E0">
        <w:t xml:space="preserve"> water recovery targets. Key elements of the Basin Plan include:</w:t>
      </w:r>
    </w:p>
    <w:p w14:paraId="23144F03" w14:textId="77777777" w:rsidR="000F778B" w:rsidRPr="000F23E0" w:rsidRDefault="000F778B" w:rsidP="00955A88">
      <w:pPr>
        <w:pStyle w:val="Bullet"/>
        <w:keepNext/>
        <w:keepLines/>
      </w:pPr>
      <w:r w:rsidRPr="000F23E0">
        <w:t>limiting the amount of water taken from the Basin each year (sustainable diversion limits) and water management through local watering plans </w:t>
      </w:r>
    </w:p>
    <w:p w14:paraId="5D27ED0C" w14:textId="70E3A3D7" w:rsidR="000F778B" w:rsidRPr="000F23E0" w:rsidRDefault="000F778B" w:rsidP="00955A88">
      <w:pPr>
        <w:pStyle w:val="Bullet"/>
        <w:keepNext/>
        <w:keepLines/>
      </w:pPr>
      <w:r w:rsidRPr="000F23E0">
        <w:t>returning water to the environment to improve the health of the Basin</w:t>
      </w:r>
      <w:r w:rsidR="002C4475" w:rsidRPr="000F23E0">
        <w:t>’</w:t>
      </w:r>
      <w:r w:rsidRPr="000F23E0">
        <w:t>s rivers and wetlands </w:t>
      </w:r>
    </w:p>
    <w:p w14:paraId="437B7C7E" w14:textId="72A67650" w:rsidR="00E17617" w:rsidRPr="000F23E0" w:rsidRDefault="000F778B" w:rsidP="00955A88">
      <w:pPr>
        <w:pStyle w:val="Bullet"/>
        <w:keepNext/>
        <w:keepLines/>
      </w:pPr>
      <w:r w:rsidRPr="000F23E0">
        <w:t>managing infrastructure development, operation and maintenance to ensure environmental water</w:t>
      </w:r>
      <w:r w:rsidR="002D33EA" w:rsidRPr="000F23E0">
        <w:t> </w:t>
      </w:r>
      <w:r w:rsidRPr="000F23E0">
        <w:t>flows where it is needed and programs to modernise how Australia saves and manages its water efficiently</w:t>
      </w:r>
      <w:r w:rsidR="002C4475" w:rsidRPr="000F23E0">
        <w:t xml:space="preserve">. </w:t>
      </w:r>
    </w:p>
    <w:p w14:paraId="6F192D5D" w14:textId="77777777" w:rsidR="002D33EA" w:rsidRPr="000F23E0" w:rsidRDefault="002D33EA" w:rsidP="002D33EA">
      <w:pPr>
        <w:pStyle w:val="ChartGraphic"/>
      </w:pPr>
      <w:r w:rsidRPr="000F23E0">
        <w:drawing>
          <wp:inline distT="0" distB="0" distL="0" distR="0" wp14:anchorId="54DDC167" wp14:editId="6219C174">
            <wp:extent cx="5753270" cy="3430756"/>
            <wp:effectExtent l="0" t="0" r="0" b="0"/>
            <wp:docPr id="455749700" name="Picture 16" descr="A curved river with red stone on one side, and bushland on the other. A motorboat is on the river.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749700" name="Picture 16" descr="A curved river with red stone on one side, and bushland on the other. A motorboat is on the river. &#10;"/>
                    <pic:cNvPicPr/>
                  </pic:nvPicPr>
                  <pic:blipFill rotWithShape="1">
                    <a:blip r:embed="rId112" cstate="print">
                      <a:extLst>
                        <a:ext uri="{28A0092B-C50C-407E-A947-70E740481C1C}">
                          <a14:useLocalDpi xmlns:a14="http://schemas.microsoft.com/office/drawing/2010/main" val="0"/>
                        </a:ext>
                      </a:extLst>
                    </a:blip>
                    <a:srcRect b="-345"/>
                    <a:stretch>
                      <a:fillRect/>
                    </a:stretch>
                  </pic:blipFill>
                  <pic:spPr bwMode="auto">
                    <a:xfrm>
                      <a:off x="0" y="0"/>
                      <a:ext cx="5759450" cy="3434441"/>
                    </a:xfrm>
                    <a:prstGeom prst="rect">
                      <a:avLst/>
                    </a:prstGeom>
                    <a:ln>
                      <a:noFill/>
                    </a:ln>
                    <a:extLst>
                      <a:ext uri="{53640926-AAD7-44D8-BBD7-CCE9431645EC}">
                        <a14:shadowObscured xmlns:a14="http://schemas.microsoft.com/office/drawing/2010/main"/>
                      </a:ext>
                    </a:extLst>
                  </pic:spPr>
                </pic:pic>
              </a:graphicData>
            </a:graphic>
          </wp:inline>
        </w:drawing>
      </w:r>
    </w:p>
    <w:p w14:paraId="0D7CED97" w14:textId="366F0E50" w:rsidR="002D33EA" w:rsidRPr="000F23E0" w:rsidRDefault="002D33EA" w:rsidP="00FD3F58">
      <w:pPr>
        <w:pStyle w:val="ChartorTableNote"/>
      </w:pPr>
      <w:r w:rsidRPr="000F23E0">
        <w:t>The Murray River at Heading Cliffs, South Australia.</w:t>
      </w:r>
    </w:p>
    <w:p w14:paraId="63CA0DB1" w14:textId="787A56A2" w:rsidR="0031366E" w:rsidRPr="000F23E0" w:rsidRDefault="0031366E" w:rsidP="00955A88">
      <w:pPr>
        <w:keepNext/>
        <w:keepLines/>
        <w:shd w:val="clear" w:color="auto" w:fill="FFFFFF" w:themeFill="background1"/>
      </w:pPr>
      <w:r w:rsidRPr="000F23E0">
        <w:lastRenderedPageBreak/>
        <w:t>As of 30 June 2025, the Commonwealth environmental water holdings are comprised of 2,941.5</w:t>
      </w:r>
      <w:r w:rsidR="00955A88" w:rsidRPr="000F23E0">
        <w:t> </w:t>
      </w:r>
      <w:r w:rsidRPr="000F23E0">
        <w:t>GL of</w:t>
      </w:r>
      <w:r w:rsidR="00955A88" w:rsidRPr="000F23E0">
        <w:t> </w:t>
      </w:r>
      <w:r w:rsidRPr="000F23E0">
        <w:t xml:space="preserve">surface water entitlements and 46.8 GL of groundwater entitlements. The Commonwealth Environmental Water Holder </w:t>
      </w:r>
      <w:r w:rsidR="003F4BDC" w:rsidRPr="000F23E0">
        <w:t>(CEWH)</w:t>
      </w:r>
      <w:r w:rsidRPr="000F23E0">
        <w:t xml:space="preserve"> manages these water entitlements to protect or restore rivers, wetlands and floodplains in the Murray</w:t>
      </w:r>
      <w:r w:rsidR="00055177" w:rsidRPr="000F23E0">
        <w:t>–</w:t>
      </w:r>
      <w:r w:rsidRPr="000F23E0">
        <w:t xml:space="preserve">Darling Basin, to give effect to international agreements. </w:t>
      </w:r>
    </w:p>
    <w:p w14:paraId="11343B7A" w14:textId="53406C21" w:rsidR="00643D8C" w:rsidRPr="000F23E0" w:rsidRDefault="0031366E" w:rsidP="0031366E">
      <w:pPr>
        <w:shd w:val="clear" w:color="auto" w:fill="FFFFFF" w:themeFill="background1"/>
      </w:pPr>
      <w:r w:rsidRPr="000F23E0">
        <w:t>Since 2008</w:t>
      </w:r>
      <w:r w:rsidR="00187AF8" w:rsidRPr="000F23E0">
        <w:t>–</w:t>
      </w:r>
      <w:r w:rsidRPr="000F23E0">
        <w:t>09, a total of 18,497 GL of Commonwealth environmental surface water has been delivered and 295 GL of Commonwealth groundwater has been retained in aquifers across the Murray</w:t>
      </w:r>
      <w:r w:rsidR="00DE4031" w:rsidRPr="000F23E0">
        <w:t>–</w:t>
      </w:r>
      <w:r w:rsidRPr="000F23E0">
        <w:t>Darling Basin</w:t>
      </w:r>
      <w:r w:rsidR="002C4475" w:rsidRPr="000F23E0">
        <w:t xml:space="preserve">. </w:t>
      </w:r>
    </w:p>
    <w:p w14:paraId="0D70F84C" w14:textId="7E9657D6" w:rsidR="000F778B" w:rsidRPr="000F23E0" w:rsidRDefault="00187AF8" w:rsidP="002D33EA">
      <w:pPr>
        <w:shd w:val="clear" w:color="auto" w:fill="FFFFFF" w:themeFill="background1"/>
      </w:pPr>
      <w:r w:rsidRPr="000F23E0">
        <w:t>T</w:t>
      </w:r>
      <w:r w:rsidR="000F778B" w:rsidRPr="000F23E0">
        <w:t xml:space="preserve">he Basin Plan </w:t>
      </w:r>
      <w:r w:rsidRPr="000F23E0">
        <w:t xml:space="preserve">also </w:t>
      </w:r>
      <w:r w:rsidR="000F778B" w:rsidRPr="000F23E0">
        <w:t>include</w:t>
      </w:r>
      <w:r w:rsidRPr="000F23E0">
        <w:t>s</w:t>
      </w:r>
      <w:r w:rsidR="000F778B" w:rsidRPr="000F23E0">
        <w:t xml:space="preserve"> groundwater management, managing water quality, water markets and</w:t>
      </w:r>
      <w:r w:rsidR="00955A88" w:rsidRPr="000F23E0">
        <w:t> </w:t>
      </w:r>
      <w:r w:rsidR="000F778B" w:rsidRPr="000F23E0">
        <w:t>trade, mechanisms to enforce compliance with water rules, monitoring and evaluation, and adaptive management</w:t>
      </w:r>
      <w:r w:rsidR="002C4475" w:rsidRPr="000F23E0">
        <w:t xml:space="preserve">. </w:t>
      </w:r>
    </w:p>
    <w:p w14:paraId="41F23827" w14:textId="0E4818D0" w:rsidR="000F778B" w:rsidRPr="000F23E0" w:rsidRDefault="00611CEF" w:rsidP="002D33EA">
      <w:pPr>
        <w:shd w:val="clear" w:color="auto" w:fill="FFFFFF" w:themeFill="background1"/>
      </w:pPr>
      <w:r w:rsidRPr="000F23E0">
        <w:t>GTB</w:t>
      </w:r>
      <w:r w:rsidR="000F778B" w:rsidRPr="000F23E0">
        <w:t>s are used to finance 3 program st</w:t>
      </w:r>
      <w:r w:rsidR="003B4C05" w:rsidRPr="000F23E0">
        <w:t>r</w:t>
      </w:r>
      <w:r w:rsidR="000F778B" w:rsidRPr="000F23E0">
        <w:t>eams for activities across the Basin</w:t>
      </w:r>
      <w:r w:rsidR="0050250F" w:rsidRPr="000F23E0">
        <w:t>. </w:t>
      </w:r>
    </w:p>
    <w:p w14:paraId="04610105" w14:textId="5E92C00E" w:rsidR="000F778B" w:rsidRPr="000F23E0" w:rsidRDefault="000F778B" w:rsidP="002D33EA">
      <w:pPr>
        <w:pStyle w:val="Bullet"/>
      </w:pPr>
      <w:r w:rsidRPr="000F23E0">
        <w:rPr>
          <w:b/>
        </w:rPr>
        <w:t>Water for the Environment Special Account (WESA):</w:t>
      </w:r>
      <w:r w:rsidRPr="000F23E0">
        <w:t xml:space="preserve"> funding the recovery of environmental water</w:t>
      </w:r>
      <w:r w:rsidR="00955A88" w:rsidRPr="000F23E0">
        <w:t> </w:t>
      </w:r>
      <w:r w:rsidRPr="000F23E0">
        <w:t>in the Basin to increase the volume of water resources available for environmental use by</w:t>
      </w:r>
      <w:r w:rsidR="002D33EA" w:rsidRPr="000F23E0">
        <w:t> </w:t>
      </w:r>
      <w:r w:rsidRPr="000F23E0">
        <w:t>450</w:t>
      </w:r>
      <w:r w:rsidR="00955A88" w:rsidRPr="000F23E0">
        <w:t> </w:t>
      </w:r>
      <w:r w:rsidRPr="000F23E0">
        <w:t>gigalitres per year (GL/y) and to help ease or remove constraints to deliver the water</w:t>
      </w:r>
      <w:r w:rsidR="0050250F" w:rsidRPr="000F23E0">
        <w:t>.</w:t>
      </w:r>
    </w:p>
    <w:p w14:paraId="1870CFEC" w14:textId="32E4628D" w:rsidR="000F778B" w:rsidRPr="000F23E0" w:rsidRDefault="000F778B" w:rsidP="002D33EA">
      <w:pPr>
        <w:pStyle w:val="Bullet"/>
      </w:pPr>
      <w:r w:rsidRPr="000F23E0">
        <w:rPr>
          <w:b/>
        </w:rPr>
        <w:t>Environmental Water Holdings Special Account (EWHSA):</w:t>
      </w:r>
      <w:r w:rsidRPr="000F23E0">
        <w:t xml:space="preserve"> funding to pay for the costs of managing</w:t>
      </w:r>
      <w:r w:rsidR="002D33EA" w:rsidRPr="000F23E0">
        <w:t> </w:t>
      </w:r>
      <w:r w:rsidRPr="000F23E0">
        <w:t>the Commonwealth</w:t>
      </w:r>
      <w:r w:rsidR="002C4475" w:rsidRPr="000F23E0">
        <w:t>’</w:t>
      </w:r>
      <w:r w:rsidRPr="000F23E0">
        <w:t xml:space="preserve">s portfolio of water entitlements </w:t>
      </w:r>
      <w:r w:rsidR="00E17617" w:rsidRPr="000F23E0">
        <w:t>and t</w:t>
      </w:r>
      <w:r w:rsidR="005A4B8D" w:rsidRPr="000F23E0">
        <w:t>he</w:t>
      </w:r>
      <w:r w:rsidR="00E17617" w:rsidRPr="000F23E0">
        <w:t xml:space="preserve"> use of those holdings </w:t>
      </w:r>
      <w:r w:rsidRPr="000F23E0">
        <w:t>to</w:t>
      </w:r>
      <w:r w:rsidR="002D33EA" w:rsidRPr="000F23E0">
        <w:t> </w:t>
      </w:r>
      <w:r w:rsidRPr="000F23E0">
        <w:t>protect or restore rivers, wetlands and floodplains in the Basin and to give effect to international</w:t>
      </w:r>
      <w:r w:rsidR="002D33EA" w:rsidRPr="000F23E0">
        <w:t> </w:t>
      </w:r>
      <w:r w:rsidRPr="000F23E0">
        <w:t>agreements</w:t>
      </w:r>
      <w:r w:rsidR="0050250F" w:rsidRPr="000F23E0">
        <w:t>.</w:t>
      </w:r>
      <w:r w:rsidRPr="000F23E0">
        <w:t> </w:t>
      </w:r>
    </w:p>
    <w:p w14:paraId="5FD6B818" w14:textId="16B981CB" w:rsidR="00062E08" w:rsidRPr="000F23E0" w:rsidRDefault="00755F2D" w:rsidP="002D33EA">
      <w:pPr>
        <w:pStyle w:val="Bullet"/>
      </w:pPr>
      <w:r w:rsidRPr="000F23E0">
        <w:rPr>
          <w:b/>
        </w:rPr>
        <w:t xml:space="preserve">Sustainable Rural Water Use and Infrastructure Program (SRWUIP): </w:t>
      </w:r>
      <w:r w:rsidRPr="000F23E0">
        <w:t xml:space="preserve">a national program that invests in rural water use, management and efficiency, including improved water knowledge and market reform, and water purchase for the environment. SRWUIP is the key mechanism to </w:t>
      </w:r>
      <w:r w:rsidR="002C4475" w:rsidRPr="000F23E0">
        <w:t>‘</w:t>
      </w:r>
      <w:r w:rsidRPr="000F23E0">
        <w:t xml:space="preserve">bridge the </w:t>
      </w:r>
      <w:r w:rsidR="000F778B" w:rsidRPr="000F23E0">
        <w:t>gap</w:t>
      </w:r>
      <w:r w:rsidR="002C4475" w:rsidRPr="000F23E0">
        <w:t>’</w:t>
      </w:r>
      <w:r w:rsidRPr="000F23E0">
        <w:t xml:space="preserve"> to the sustainable diversion limits under the Basin Plan.</w:t>
      </w:r>
      <w:r w:rsidR="000F778B" w:rsidRPr="000F23E0">
        <w:t> </w:t>
      </w:r>
    </w:p>
    <w:p w14:paraId="1F189E47" w14:textId="4D55BA78" w:rsidR="00FD74E6" w:rsidRPr="000F23E0" w:rsidRDefault="00FD74E6" w:rsidP="002D33EA">
      <w:pPr>
        <w:pStyle w:val="Heading3"/>
        <w:keepLines/>
      </w:pPr>
      <w:r w:rsidRPr="000F23E0">
        <w:lastRenderedPageBreak/>
        <w:t xml:space="preserve">Green Treasury Bond </w:t>
      </w:r>
      <w:r w:rsidR="0050250F" w:rsidRPr="000F23E0">
        <w:t>a</w:t>
      </w:r>
      <w:r w:rsidRPr="000F23E0">
        <w:t>llocation</w:t>
      </w:r>
    </w:p>
    <w:p w14:paraId="0EE40CF8" w14:textId="5FCDC20D" w:rsidR="007F0D4C" w:rsidRPr="000F23E0" w:rsidRDefault="00611CEF" w:rsidP="002D33EA">
      <w:pPr>
        <w:keepNext/>
        <w:keepLines/>
      </w:pPr>
      <w:r w:rsidRPr="000F23E0">
        <w:t>GTB</w:t>
      </w:r>
      <w:r w:rsidR="003913F3" w:rsidRPr="000F23E0">
        <w:t xml:space="preserve">s have </w:t>
      </w:r>
      <w:r w:rsidR="005137BB" w:rsidRPr="000F23E0">
        <w:t>financed</w:t>
      </w:r>
      <w:r w:rsidR="003913F3" w:rsidRPr="000F23E0">
        <w:t xml:space="preserve"> $</w:t>
      </w:r>
      <w:r w:rsidR="00A85725" w:rsidRPr="000F23E0">
        <w:t>378.1</w:t>
      </w:r>
      <w:r w:rsidR="003913F3" w:rsidRPr="000F23E0">
        <w:t xml:space="preserve"> million over 202</w:t>
      </w:r>
      <w:r w:rsidR="005137BB" w:rsidRPr="000F23E0">
        <w:t>4</w:t>
      </w:r>
      <w:r w:rsidR="003913F3" w:rsidRPr="000F23E0">
        <w:t>–2</w:t>
      </w:r>
      <w:r w:rsidR="005137BB" w:rsidRPr="000F23E0">
        <w:t>5</w:t>
      </w:r>
      <w:r w:rsidR="003913F3" w:rsidRPr="000F23E0">
        <w:t xml:space="preserve"> </w:t>
      </w:r>
      <w:r w:rsidR="005137BB" w:rsidRPr="000F23E0">
        <w:t>of</w:t>
      </w:r>
      <w:r w:rsidR="003913F3" w:rsidRPr="000F23E0">
        <w:t xml:space="preserve"> activities across the Basin including the Basin Plan</w:t>
      </w:r>
      <w:r w:rsidR="000B3764" w:rsidRPr="000F23E0">
        <w:t xml:space="preserve"> </w:t>
      </w:r>
      <w:r w:rsidR="00A04537" w:rsidRPr="000F23E0">
        <w:t>(Table 3</w:t>
      </w:r>
      <w:r w:rsidR="00D05E71" w:rsidRPr="000F23E0">
        <w:t>9</w:t>
      </w:r>
      <w:r w:rsidR="00A04537" w:rsidRPr="000F23E0">
        <w:t>)</w:t>
      </w:r>
      <w:r w:rsidR="00DF0D8B" w:rsidRPr="000F23E0">
        <w:t xml:space="preserve"> </w:t>
      </w:r>
      <w:r w:rsidR="00A71291" w:rsidRPr="000F23E0">
        <w:fldChar w:fldCharType="begin"/>
      </w:r>
      <w:r w:rsidR="00A71291" w:rsidRPr="000F23E0">
        <w:instrText xml:space="preserve"> REF _Ref214983232 \h </w:instrText>
      </w:r>
      <w:r w:rsidR="00A71291" w:rsidRPr="000F23E0">
        <w:fldChar w:fldCharType="separate"/>
      </w:r>
      <w:r w:rsidR="00A71291" w:rsidRPr="000F23E0">
        <w:fldChar w:fldCharType="end"/>
      </w:r>
      <w:r w:rsidR="003913F3" w:rsidRPr="000F23E0">
        <w:t>.</w:t>
      </w:r>
    </w:p>
    <w:p w14:paraId="2E0BC0D1" w14:textId="6CAC6D75" w:rsidR="007F0D4C" w:rsidRPr="000F23E0" w:rsidRDefault="000B3A11" w:rsidP="002D33EA">
      <w:pPr>
        <w:keepNext/>
        <w:keepLines/>
      </w:pPr>
      <w:r w:rsidRPr="000F23E0">
        <w:t>The Sustainable Water Use and Infrastructure Program expenditure includes $117.02</w:t>
      </w:r>
      <w:r w:rsidR="00955A88" w:rsidRPr="000F23E0">
        <w:t> </w:t>
      </w:r>
      <w:r w:rsidRPr="000F23E0">
        <w:t xml:space="preserve">million in accrued expenditure. See </w:t>
      </w:r>
      <w:r w:rsidR="002C4475" w:rsidRPr="000F23E0">
        <w:t>‘</w:t>
      </w:r>
      <w:r w:rsidRPr="000F23E0">
        <w:t>Approach to impact and allocation reporting</w:t>
      </w:r>
      <w:r w:rsidR="002C4475" w:rsidRPr="000F23E0">
        <w:t>’</w:t>
      </w:r>
      <w:r w:rsidRPr="000F23E0">
        <w:t xml:space="preserve"> for further information on the</w:t>
      </w:r>
      <w:r w:rsidR="002D33EA" w:rsidRPr="000F23E0">
        <w:t> </w:t>
      </w:r>
      <w:r w:rsidRPr="000F23E0">
        <w:t>treatment of accruals and timing of expenditure.</w:t>
      </w:r>
    </w:p>
    <w:p w14:paraId="03D56170" w14:textId="17286DF0" w:rsidR="009B547C" w:rsidRPr="000F23E0" w:rsidRDefault="003913F3" w:rsidP="002D33EA">
      <w:pPr>
        <w:keepNext/>
        <w:keepLines/>
      </w:pPr>
      <w:r w:rsidRPr="000F23E0">
        <w:t>The program of works across the Basin commenced in 2007 and is funded until 2027</w:t>
      </w:r>
      <w:r w:rsidR="0050250F" w:rsidRPr="000F23E0">
        <w:t>–</w:t>
      </w:r>
      <w:r w:rsidRPr="000F23E0">
        <w:t>28.</w:t>
      </w:r>
      <w:r w:rsidR="00B0443A" w:rsidRPr="000F23E0">
        <w:t xml:space="preserve"> </w:t>
      </w:r>
      <w:r w:rsidRPr="000F23E0">
        <w:t>The total Government contribution represents the expected funding of each sub</w:t>
      </w:r>
      <w:r w:rsidR="002C4475" w:rsidRPr="000F23E0">
        <w:noBreakHyphen/>
      </w:r>
      <w:r w:rsidRPr="000F23E0">
        <w:t xml:space="preserve">program as of the </w:t>
      </w:r>
      <w:r w:rsidR="00FF258B" w:rsidRPr="000F23E0">
        <w:t>202</w:t>
      </w:r>
      <w:r w:rsidR="00843CF5" w:rsidRPr="000F23E0">
        <w:t>5</w:t>
      </w:r>
      <w:r w:rsidR="00FF258B" w:rsidRPr="000F23E0">
        <w:t>–</w:t>
      </w:r>
      <w:r w:rsidRPr="000F23E0">
        <w:t>2</w:t>
      </w:r>
      <w:r w:rsidR="00843CF5" w:rsidRPr="000F23E0">
        <w:t>6</w:t>
      </w:r>
      <w:r w:rsidRPr="000F23E0">
        <w:t xml:space="preserve"> MYEFO. Funding in future financial years will be financed through </w:t>
      </w:r>
      <w:r w:rsidR="00611CEF" w:rsidRPr="000F23E0">
        <w:t>GTB</w:t>
      </w:r>
      <w:r w:rsidRPr="000F23E0">
        <w:t>s</w:t>
      </w:r>
      <w:r w:rsidR="002C4475" w:rsidRPr="000F23E0">
        <w:t xml:space="preserve">. </w:t>
      </w:r>
    </w:p>
    <w:p w14:paraId="319601D6" w14:textId="21DD2616" w:rsidR="00B54DC7" w:rsidRPr="000F23E0" w:rsidRDefault="00FA055E" w:rsidP="00551F72">
      <w:pPr>
        <w:pStyle w:val="TableMainHeading"/>
      </w:pPr>
      <w:bookmarkStart w:id="360" w:name="_Toc220662897"/>
      <w:bookmarkStart w:id="361" w:name="_Toc224637851"/>
      <w:bookmarkStart w:id="362" w:name="_Toc224642515"/>
      <w:bookmarkStart w:id="363" w:name="_Toc225153491"/>
      <w:bookmarkStart w:id="364" w:name="_Toc225154537"/>
      <w:bookmarkStart w:id="365" w:name="_Toc225155802"/>
      <w:r w:rsidRPr="000F23E0">
        <w:t xml:space="preserve">Table </w:t>
      </w:r>
      <w:r w:rsidR="00A04537" w:rsidRPr="000F23E0">
        <w:t>3</w:t>
      </w:r>
      <w:r w:rsidR="0068550D" w:rsidRPr="000F23E0">
        <w:t>9:</w:t>
      </w:r>
      <w:r w:rsidR="00B80189" w:rsidRPr="000F23E0">
        <w:t xml:space="preserve"> Allocation Data for the Murray</w:t>
      </w:r>
      <w:r w:rsidR="00AB5999" w:rsidRPr="000F23E0">
        <w:t>–</w:t>
      </w:r>
      <w:r w:rsidR="00B80189" w:rsidRPr="000F23E0">
        <w:t>Darling Basin Plan ($ million)</w:t>
      </w:r>
      <w:bookmarkEnd w:id="360"/>
      <w:bookmarkEnd w:id="361"/>
      <w:bookmarkEnd w:id="362"/>
      <w:bookmarkEnd w:id="363"/>
      <w:bookmarkEnd w:id="364"/>
      <w:bookmarkEnd w:id="365"/>
    </w:p>
    <w:tbl>
      <w:tblPr>
        <w:tblStyle w:val="GridTable4-Accent2"/>
        <w:tblW w:w="5000" w:type="pct"/>
        <w:tblInd w:w="5" w:type="dxa"/>
        <w:tblBorders>
          <w:top w:val="single" w:sz="4" w:space="0" w:color="DFA795"/>
          <w:bottom w:val="single" w:sz="4" w:space="0" w:color="DFA795"/>
          <w:insideH w:val="single" w:sz="4" w:space="0" w:color="DFA795"/>
        </w:tblBorders>
        <w:tblLayout w:type="fixed"/>
        <w:tblLook w:val="04A0" w:firstRow="1" w:lastRow="0" w:firstColumn="1" w:lastColumn="0" w:noHBand="0" w:noVBand="1"/>
      </w:tblPr>
      <w:tblGrid>
        <w:gridCol w:w="2117"/>
        <w:gridCol w:w="1511"/>
        <w:gridCol w:w="1814"/>
        <w:gridCol w:w="2345"/>
        <w:gridCol w:w="1283"/>
      </w:tblGrid>
      <w:tr w:rsidR="002D1788" w:rsidRPr="000F23E0" w14:paraId="36E3EB91" w14:textId="77777777" w:rsidTr="00B132F8">
        <w:trPr>
          <w:cnfStyle w:val="100000000000" w:firstRow="1" w:lastRow="0" w:firstColumn="0" w:lastColumn="0" w:oddVBand="0" w:evenVBand="0" w:oddHBand="0" w:evenHBand="0" w:firstRowFirstColumn="0" w:firstRowLastColumn="0" w:lastRowFirstColumn="0" w:lastRowLastColumn="0"/>
          <w:trHeight w:val="767"/>
        </w:trPr>
        <w:tc>
          <w:tcPr>
            <w:cnfStyle w:val="001000000000" w:firstRow="0" w:lastRow="0" w:firstColumn="1" w:lastColumn="0" w:oddVBand="0" w:evenVBand="0" w:oddHBand="0" w:evenHBand="0" w:firstRowFirstColumn="0" w:firstRowLastColumn="0" w:lastRowFirstColumn="0" w:lastRowLastColumn="0"/>
            <w:tcW w:w="2117" w:type="dxa"/>
            <w:shd w:val="clear" w:color="auto" w:fill="F1D0C6"/>
          </w:tcPr>
          <w:p w14:paraId="7B0FF8D5" w14:textId="09678508" w:rsidR="002D1788" w:rsidRPr="000F23E0" w:rsidRDefault="00036BEF" w:rsidP="002D33EA">
            <w:pPr>
              <w:pStyle w:val="TableColumnHeadingLeft"/>
              <w:keepLines/>
              <w:rPr>
                <w:b/>
                <w:bCs w:val="0"/>
              </w:rPr>
            </w:pPr>
            <w:r w:rsidRPr="000F23E0">
              <w:rPr>
                <w:b/>
                <w:bCs w:val="0"/>
              </w:rPr>
              <w:t>Eligible Green Expenditure</w:t>
            </w:r>
          </w:p>
        </w:tc>
        <w:tc>
          <w:tcPr>
            <w:tcW w:w="1511" w:type="dxa"/>
            <w:shd w:val="clear" w:color="auto" w:fill="F1D0C6"/>
          </w:tcPr>
          <w:p w14:paraId="3D044A92" w14:textId="30704698" w:rsidR="002D1788" w:rsidRPr="000F23E0" w:rsidRDefault="002D1788" w:rsidP="002D33EA">
            <w:pPr>
              <w:pStyle w:val="TableColumnHeadingRight"/>
              <w:keepLines/>
              <w:cnfStyle w:val="100000000000" w:firstRow="1" w:lastRow="0" w:firstColumn="0" w:lastColumn="0" w:oddVBand="0" w:evenVBand="0" w:oddHBand="0" w:evenHBand="0" w:firstRowFirstColumn="0" w:firstRowLastColumn="0" w:lastRowFirstColumn="0" w:lastRowLastColumn="0"/>
              <w:rPr>
                <w:b/>
              </w:rPr>
            </w:pPr>
            <w:r w:rsidRPr="000F23E0">
              <w:rPr>
                <w:b/>
              </w:rPr>
              <w:t>2024</w:t>
            </w:r>
            <w:r w:rsidR="00ED5506" w:rsidRPr="000F23E0">
              <w:rPr>
                <w:b/>
              </w:rPr>
              <w:t>–</w:t>
            </w:r>
            <w:r w:rsidRPr="000F23E0">
              <w:rPr>
                <w:b/>
              </w:rPr>
              <w:t xml:space="preserve">25 Expenditure </w:t>
            </w:r>
          </w:p>
        </w:tc>
        <w:tc>
          <w:tcPr>
            <w:tcW w:w="1814" w:type="dxa"/>
            <w:shd w:val="clear" w:color="auto" w:fill="F1D0C6"/>
          </w:tcPr>
          <w:p w14:paraId="682241D1" w14:textId="4A52305A" w:rsidR="002D1788" w:rsidRPr="000F23E0" w:rsidRDefault="00EA0F10" w:rsidP="002D33EA">
            <w:pPr>
              <w:pStyle w:val="TableColumnHeadingRight"/>
              <w:keepLines/>
              <w:cnfStyle w:val="100000000000" w:firstRow="1" w:lastRow="0" w:firstColumn="0" w:lastColumn="0" w:oddVBand="0" w:evenVBand="0" w:oddHBand="0" w:evenHBand="0" w:firstRowFirstColumn="0" w:firstRowLastColumn="0" w:lastRowFirstColumn="0" w:lastRowLastColumn="0"/>
              <w:rPr>
                <w:b/>
              </w:rPr>
            </w:pPr>
            <w:r w:rsidRPr="000F23E0">
              <w:rPr>
                <w:b/>
              </w:rPr>
              <w:t>Allocation 2026 Report</w:t>
            </w:r>
            <w:r w:rsidR="002D1788" w:rsidRPr="000F23E0">
              <w:rPr>
                <w:b/>
              </w:rPr>
              <w:t xml:space="preserve"> </w:t>
            </w:r>
          </w:p>
        </w:tc>
        <w:tc>
          <w:tcPr>
            <w:tcW w:w="2345" w:type="dxa"/>
            <w:shd w:val="clear" w:color="auto" w:fill="F1D0C6"/>
          </w:tcPr>
          <w:p w14:paraId="17A4B51E" w14:textId="5D903C99" w:rsidR="002D1788" w:rsidRPr="000F23E0" w:rsidRDefault="002D1788" w:rsidP="002D33EA">
            <w:pPr>
              <w:pStyle w:val="TableColumnHeadingRight"/>
              <w:keepLines/>
              <w:cnfStyle w:val="100000000000" w:firstRow="1" w:lastRow="0" w:firstColumn="0" w:lastColumn="0" w:oddVBand="0" w:evenVBand="0" w:oddHBand="0" w:evenHBand="0" w:firstRowFirstColumn="0" w:firstRowLastColumn="0" w:lastRowFirstColumn="0" w:lastRowLastColumn="0"/>
              <w:rPr>
                <w:b/>
              </w:rPr>
            </w:pPr>
            <w:r w:rsidRPr="000F23E0">
              <w:rPr>
                <w:b/>
              </w:rPr>
              <w:t xml:space="preserve">Total Australian Government Contribution </w:t>
            </w:r>
          </w:p>
        </w:tc>
        <w:tc>
          <w:tcPr>
            <w:tcW w:w="1283" w:type="dxa"/>
            <w:shd w:val="clear" w:color="auto" w:fill="F1D0C6"/>
          </w:tcPr>
          <w:p w14:paraId="24C50F2D" w14:textId="0D6CA04B" w:rsidR="002D1788" w:rsidRPr="000F23E0" w:rsidRDefault="002D1788" w:rsidP="002D33EA">
            <w:pPr>
              <w:pStyle w:val="TableColumnHeadingRight"/>
              <w:keepLines/>
              <w:cnfStyle w:val="100000000000" w:firstRow="1" w:lastRow="0" w:firstColumn="0" w:lastColumn="0" w:oddVBand="0" w:evenVBand="0" w:oddHBand="0" w:evenHBand="0" w:firstRowFirstColumn="0" w:firstRowLastColumn="0" w:lastRowFirstColumn="0" w:lastRowLastColumn="0"/>
              <w:rPr>
                <w:b/>
              </w:rPr>
            </w:pPr>
            <w:r w:rsidRPr="000F23E0">
              <w:rPr>
                <w:b/>
              </w:rPr>
              <w:t xml:space="preserve">Total Cost of Project </w:t>
            </w:r>
          </w:p>
        </w:tc>
      </w:tr>
      <w:tr w:rsidR="005B4F75" w:rsidRPr="000F23E0" w14:paraId="544F8549" w14:textId="77777777" w:rsidTr="00B132F8">
        <w:trPr>
          <w:trHeight w:val="258"/>
        </w:trPr>
        <w:tc>
          <w:tcPr>
            <w:cnfStyle w:val="001000000000" w:firstRow="0" w:lastRow="0" w:firstColumn="1" w:lastColumn="0" w:oddVBand="0" w:evenVBand="0" w:oddHBand="0" w:evenHBand="0" w:firstRowFirstColumn="0" w:firstRowLastColumn="0" w:lastRowFirstColumn="0" w:lastRowLastColumn="0"/>
            <w:tcW w:w="2117" w:type="dxa"/>
            <w:shd w:val="clear" w:color="auto" w:fill="FDF0E7"/>
            <w:vAlign w:val="center"/>
          </w:tcPr>
          <w:p w14:paraId="67737F13" w14:textId="77777777" w:rsidR="005B4F75" w:rsidRPr="000F23E0" w:rsidRDefault="005B4F75" w:rsidP="002D33EA">
            <w:pPr>
              <w:pStyle w:val="TableTextLeft"/>
              <w:keepNext/>
              <w:keepLines/>
            </w:pPr>
            <w:r w:rsidRPr="000F23E0">
              <w:t>Water for the Environment Special Account</w:t>
            </w:r>
          </w:p>
        </w:tc>
        <w:tc>
          <w:tcPr>
            <w:tcW w:w="1511" w:type="dxa"/>
            <w:shd w:val="clear" w:color="auto" w:fill="FEFAF8"/>
          </w:tcPr>
          <w:p w14:paraId="1E1EAF93" w14:textId="6B47C367" w:rsidR="005B4F75" w:rsidRPr="000F23E0" w:rsidRDefault="005B4F75" w:rsidP="002D33EA">
            <w:pPr>
              <w:pStyle w:val="TableTextRight"/>
              <w:keepNext/>
              <w:keepLines/>
              <w:cnfStyle w:val="000000000000" w:firstRow="0" w:lastRow="0" w:firstColumn="0" w:lastColumn="0" w:oddVBand="0" w:evenVBand="0" w:oddHBand="0" w:evenHBand="0" w:firstRowFirstColumn="0" w:firstRowLastColumn="0" w:lastRowFirstColumn="0" w:lastRowLastColumn="0"/>
            </w:pPr>
            <w:r w:rsidRPr="000F23E0">
              <w:t>295.7</w:t>
            </w:r>
          </w:p>
        </w:tc>
        <w:tc>
          <w:tcPr>
            <w:tcW w:w="1814" w:type="dxa"/>
            <w:shd w:val="clear" w:color="auto" w:fill="FEFAF8"/>
          </w:tcPr>
          <w:p w14:paraId="70995D2F" w14:textId="75A91981" w:rsidR="005B4F75" w:rsidRPr="000F23E0" w:rsidRDefault="008C3BFD" w:rsidP="002D33EA">
            <w:pPr>
              <w:pStyle w:val="TableTextRight"/>
              <w:keepNext/>
              <w:keepLines/>
              <w:cnfStyle w:val="000000000000" w:firstRow="0" w:lastRow="0" w:firstColumn="0" w:lastColumn="0" w:oddVBand="0" w:evenVBand="0" w:oddHBand="0" w:evenHBand="0" w:firstRowFirstColumn="0" w:firstRowLastColumn="0" w:lastRowFirstColumn="0" w:lastRowLastColumn="0"/>
            </w:pPr>
            <w:r w:rsidRPr="000F23E0">
              <w:t>160.0</w:t>
            </w:r>
          </w:p>
        </w:tc>
        <w:tc>
          <w:tcPr>
            <w:tcW w:w="2345" w:type="dxa"/>
            <w:shd w:val="clear" w:color="auto" w:fill="FEFAF8"/>
          </w:tcPr>
          <w:p w14:paraId="6F4A6B0E" w14:textId="2F457E65" w:rsidR="005B4F75" w:rsidRPr="000F23E0" w:rsidRDefault="005B4F75" w:rsidP="002D33EA">
            <w:pPr>
              <w:pStyle w:val="TableTextRight"/>
              <w:keepNext/>
              <w:keepLines/>
              <w:cnfStyle w:val="000000000000" w:firstRow="0" w:lastRow="0" w:firstColumn="0" w:lastColumn="0" w:oddVBand="0" w:evenVBand="0" w:oddHBand="0" w:evenHBand="0" w:firstRowFirstColumn="0" w:firstRowLastColumn="0" w:lastRowFirstColumn="0" w:lastRowLastColumn="0"/>
            </w:pPr>
            <w:r w:rsidRPr="000F23E0">
              <w:t>1,674.</w:t>
            </w:r>
            <w:r w:rsidRPr="000F23E0">
              <w:rPr>
                <w:rFonts w:eastAsia="Calibri"/>
              </w:rPr>
              <w:t>0</w:t>
            </w:r>
          </w:p>
        </w:tc>
        <w:tc>
          <w:tcPr>
            <w:tcW w:w="1283" w:type="dxa"/>
            <w:shd w:val="clear" w:color="auto" w:fill="FEFAF8"/>
          </w:tcPr>
          <w:p w14:paraId="14F9F598" w14:textId="5C8E1B0F" w:rsidR="005B4F75" w:rsidRPr="000F23E0" w:rsidRDefault="005B4F75" w:rsidP="002D33EA">
            <w:pPr>
              <w:pStyle w:val="TableTextRight"/>
              <w:keepNext/>
              <w:keepLines/>
              <w:cnfStyle w:val="000000000000" w:firstRow="0" w:lastRow="0" w:firstColumn="0" w:lastColumn="0" w:oddVBand="0" w:evenVBand="0" w:oddHBand="0" w:evenHBand="0" w:firstRowFirstColumn="0" w:firstRowLastColumn="0" w:lastRowFirstColumn="0" w:lastRowLastColumn="0"/>
            </w:pPr>
            <w:r w:rsidRPr="000F23E0" w:rsidDel="00C62C8C">
              <w:t>N/A</w:t>
            </w:r>
            <w:r w:rsidR="00747DC3" w:rsidRPr="000F23E0">
              <w:rPr>
                <w:vertAlign w:val="superscript"/>
              </w:rPr>
              <w:t>(</w:t>
            </w:r>
            <w:r w:rsidR="0073193A" w:rsidRPr="000F23E0">
              <w:rPr>
                <w:vertAlign w:val="superscript"/>
              </w:rPr>
              <w:t>b</w:t>
            </w:r>
            <w:r w:rsidR="00747DC3" w:rsidRPr="000F23E0">
              <w:rPr>
                <w:vertAlign w:val="superscript"/>
              </w:rPr>
              <w:t>)</w:t>
            </w:r>
          </w:p>
        </w:tc>
      </w:tr>
      <w:tr w:rsidR="005B4F75" w:rsidRPr="000F23E0" w14:paraId="2E77B72B" w14:textId="77777777" w:rsidTr="00B132F8">
        <w:trPr>
          <w:trHeight w:val="258"/>
        </w:trPr>
        <w:tc>
          <w:tcPr>
            <w:cnfStyle w:val="001000000000" w:firstRow="0" w:lastRow="0" w:firstColumn="1" w:lastColumn="0" w:oddVBand="0" w:evenVBand="0" w:oddHBand="0" w:evenHBand="0" w:firstRowFirstColumn="0" w:firstRowLastColumn="0" w:lastRowFirstColumn="0" w:lastRowLastColumn="0"/>
            <w:tcW w:w="2117" w:type="dxa"/>
            <w:shd w:val="clear" w:color="auto" w:fill="FDF0E7"/>
            <w:vAlign w:val="center"/>
          </w:tcPr>
          <w:p w14:paraId="09B91CC9" w14:textId="77777777" w:rsidR="005B4F75" w:rsidRPr="000F23E0" w:rsidRDefault="005B4F75" w:rsidP="002D33EA">
            <w:pPr>
              <w:pStyle w:val="TableTextLeft"/>
              <w:keepNext/>
              <w:keepLines/>
            </w:pPr>
            <w:r w:rsidRPr="000F23E0">
              <w:t>Sustainable Water Use and Infrastructure Program</w:t>
            </w:r>
          </w:p>
        </w:tc>
        <w:tc>
          <w:tcPr>
            <w:tcW w:w="1511" w:type="dxa"/>
            <w:shd w:val="clear" w:color="auto" w:fill="FEFAF8"/>
          </w:tcPr>
          <w:p w14:paraId="5D6B587A" w14:textId="40C977B7" w:rsidR="005B4F75" w:rsidRPr="000F23E0" w:rsidRDefault="005B4F75" w:rsidP="002D33EA">
            <w:pPr>
              <w:pStyle w:val="TableTextRight"/>
              <w:keepNext/>
              <w:keepLines/>
              <w:cnfStyle w:val="000000000000" w:firstRow="0" w:lastRow="0" w:firstColumn="0" w:lastColumn="0" w:oddVBand="0" w:evenVBand="0" w:oddHBand="0" w:evenHBand="0" w:firstRowFirstColumn="0" w:firstRowLastColumn="0" w:lastRowFirstColumn="0" w:lastRowLastColumn="0"/>
            </w:pPr>
            <w:r w:rsidRPr="000F23E0">
              <w:t>360.2</w:t>
            </w:r>
          </w:p>
        </w:tc>
        <w:tc>
          <w:tcPr>
            <w:tcW w:w="1814" w:type="dxa"/>
            <w:shd w:val="clear" w:color="auto" w:fill="FEFAF8"/>
          </w:tcPr>
          <w:p w14:paraId="083B9F28" w14:textId="456A9FBA" w:rsidR="005B4F75" w:rsidRPr="000F23E0" w:rsidRDefault="004946BC" w:rsidP="002D33EA">
            <w:pPr>
              <w:pStyle w:val="TableTextRight"/>
              <w:keepNext/>
              <w:keepLines/>
              <w:cnfStyle w:val="000000000000" w:firstRow="0" w:lastRow="0" w:firstColumn="0" w:lastColumn="0" w:oddVBand="0" w:evenVBand="0" w:oddHBand="0" w:evenHBand="0" w:firstRowFirstColumn="0" w:firstRowLastColumn="0" w:lastRowFirstColumn="0" w:lastRowLastColumn="0"/>
            </w:pPr>
            <w:r w:rsidRPr="000F23E0">
              <w:t>195.0</w:t>
            </w:r>
          </w:p>
        </w:tc>
        <w:tc>
          <w:tcPr>
            <w:tcW w:w="2345" w:type="dxa"/>
            <w:shd w:val="clear" w:color="auto" w:fill="FEFAF8"/>
          </w:tcPr>
          <w:p w14:paraId="41E5A4D1" w14:textId="28BBBBBC" w:rsidR="005B4F75" w:rsidRPr="000F23E0" w:rsidRDefault="005B4F75" w:rsidP="002D33EA">
            <w:pPr>
              <w:pStyle w:val="TableTextRight"/>
              <w:keepNext/>
              <w:keepLines/>
              <w:cnfStyle w:val="000000000000" w:firstRow="0" w:lastRow="0" w:firstColumn="0" w:lastColumn="0" w:oddVBand="0" w:evenVBand="0" w:oddHBand="0" w:evenHBand="0" w:firstRowFirstColumn="0" w:firstRowLastColumn="0" w:lastRowFirstColumn="0" w:lastRowLastColumn="0"/>
            </w:pPr>
            <w:r w:rsidRPr="000F23E0">
              <w:t>7,038.</w:t>
            </w:r>
            <w:r w:rsidRPr="000F23E0">
              <w:rPr>
                <w:rFonts w:eastAsia="Calibri"/>
              </w:rPr>
              <w:t>0</w:t>
            </w:r>
          </w:p>
        </w:tc>
        <w:tc>
          <w:tcPr>
            <w:tcW w:w="1283" w:type="dxa"/>
            <w:shd w:val="clear" w:color="auto" w:fill="FEFAF8"/>
          </w:tcPr>
          <w:p w14:paraId="21F0D067" w14:textId="5594B619" w:rsidR="005B4F75" w:rsidRPr="000F23E0" w:rsidRDefault="005B4F75" w:rsidP="002D33EA">
            <w:pPr>
              <w:pStyle w:val="TableTextRight"/>
              <w:keepNext/>
              <w:keepLines/>
              <w:cnfStyle w:val="000000000000" w:firstRow="0" w:lastRow="0" w:firstColumn="0" w:lastColumn="0" w:oddVBand="0" w:evenVBand="0" w:oddHBand="0" w:evenHBand="0" w:firstRowFirstColumn="0" w:firstRowLastColumn="0" w:lastRowFirstColumn="0" w:lastRowLastColumn="0"/>
            </w:pPr>
            <w:r w:rsidRPr="000F23E0">
              <w:t>N/A</w:t>
            </w:r>
            <w:r w:rsidR="00747DC3" w:rsidRPr="000F23E0">
              <w:rPr>
                <w:vertAlign w:val="superscript"/>
              </w:rPr>
              <w:t>(</w:t>
            </w:r>
            <w:r w:rsidR="0073193A" w:rsidRPr="000F23E0">
              <w:rPr>
                <w:vertAlign w:val="superscript"/>
              </w:rPr>
              <w:t>b</w:t>
            </w:r>
            <w:r w:rsidR="00747DC3" w:rsidRPr="000F23E0">
              <w:rPr>
                <w:vertAlign w:val="superscript"/>
              </w:rPr>
              <w:t>)</w:t>
            </w:r>
          </w:p>
        </w:tc>
      </w:tr>
      <w:tr w:rsidR="005B4F75" w:rsidRPr="000F23E0" w14:paraId="6FF6E5AD" w14:textId="77777777" w:rsidTr="00B132F8">
        <w:trPr>
          <w:trHeight w:val="258"/>
        </w:trPr>
        <w:tc>
          <w:tcPr>
            <w:cnfStyle w:val="001000000000" w:firstRow="0" w:lastRow="0" w:firstColumn="1" w:lastColumn="0" w:oddVBand="0" w:evenVBand="0" w:oddHBand="0" w:evenHBand="0" w:firstRowFirstColumn="0" w:firstRowLastColumn="0" w:lastRowFirstColumn="0" w:lastRowLastColumn="0"/>
            <w:tcW w:w="2117" w:type="dxa"/>
            <w:shd w:val="clear" w:color="auto" w:fill="FDF0E7"/>
            <w:vAlign w:val="center"/>
          </w:tcPr>
          <w:p w14:paraId="41BAA57E" w14:textId="77777777" w:rsidR="005B4F75" w:rsidRPr="000F23E0" w:rsidRDefault="005B4F75" w:rsidP="002D33EA">
            <w:pPr>
              <w:pStyle w:val="TableTextLeft"/>
              <w:keepNext/>
              <w:keepLines/>
            </w:pPr>
            <w:r w:rsidRPr="000F23E0">
              <w:t>Environmental Water Holdings Special Account</w:t>
            </w:r>
          </w:p>
        </w:tc>
        <w:tc>
          <w:tcPr>
            <w:tcW w:w="1511" w:type="dxa"/>
            <w:shd w:val="clear" w:color="auto" w:fill="FEFAF8"/>
          </w:tcPr>
          <w:p w14:paraId="40340D42" w14:textId="60421382" w:rsidR="005B4F75" w:rsidRPr="000F23E0" w:rsidRDefault="005B4F75" w:rsidP="002D33EA">
            <w:pPr>
              <w:pStyle w:val="TableTextRight"/>
              <w:keepNext/>
              <w:keepLines/>
              <w:cnfStyle w:val="000000000000" w:firstRow="0" w:lastRow="0" w:firstColumn="0" w:lastColumn="0" w:oddVBand="0" w:evenVBand="0" w:oddHBand="0" w:evenHBand="0" w:firstRowFirstColumn="0" w:firstRowLastColumn="0" w:lastRowFirstColumn="0" w:lastRowLastColumn="0"/>
            </w:pPr>
            <w:r w:rsidRPr="000F23E0">
              <w:t>42.</w:t>
            </w:r>
            <w:r w:rsidRPr="000F23E0" w:rsidDel="0067051F">
              <w:t>7</w:t>
            </w:r>
          </w:p>
        </w:tc>
        <w:tc>
          <w:tcPr>
            <w:tcW w:w="1814" w:type="dxa"/>
            <w:shd w:val="clear" w:color="auto" w:fill="FEFAF8"/>
          </w:tcPr>
          <w:p w14:paraId="606EB403" w14:textId="20020A31" w:rsidR="005B4F75" w:rsidRPr="000F23E0" w:rsidRDefault="008C3BFD" w:rsidP="002D33EA">
            <w:pPr>
              <w:pStyle w:val="TableTextRight"/>
              <w:keepNext/>
              <w:keepLines/>
              <w:cnfStyle w:val="000000000000" w:firstRow="0" w:lastRow="0" w:firstColumn="0" w:lastColumn="0" w:oddVBand="0" w:evenVBand="0" w:oddHBand="0" w:evenHBand="0" w:firstRowFirstColumn="0" w:firstRowLastColumn="0" w:lastRowFirstColumn="0" w:lastRowLastColumn="0"/>
            </w:pPr>
            <w:r w:rsidRPr="000F23E0">
              <w:t>23.1</w:t>
            </w:r>
          </w:p>
        </w:tc>
        <w:tc>
          <w:tcPr>
            <w:tcW w:w="2345" w:type="dxa"/>
            <w:shd w:val="clear" w:color="auto" w:fill="FEFAF8"/>
          </w:tcPr>
          <w:p w14:paraId="24F7A4AD" w14:textId="4B71DCB8" w:rsidR="005B4F75" w:rsidRPr="000F23E0" w:rsidRDefault="005B4F75" w:rsidP="002D33EA">
            <w:pPr>
              <w:pStyle w:val="TableTextRight"/>
              <w:keepNext/>
              <w:keepLines/>
              <w:cnfStyle w:val="000000000000" w:firstRow="0" w:lastRow="0" w:firstColumn="0" w:lastColumn="0" w:oddVBand="0" w:evenVBand="0" w:oddHBand="0" w:evenHBand="0" w:firstRowFirstColumn="0" w:firstRowLastColumn="0" w:lastRowFirstColumn="0" w:lastRowLastColumn="0"/>
            </w:pPr>
            <w:r w:rsidRPr="000F23E0">
              <w:t>477.1</w:t>
            </w:r>
          </w:p>
        </w:tc>
        <w:tc>
          <w:tcPr>
            <w:tcW w:w="1283" w:type="dxa"/>
            <w:shd w:val="clear" w:color="auto" w:fill="FEFAF8"/>
          </w:tcPr>
          <w:p w14:paraId="4B75597D" w14:textId="000CBB0B" w:rsidR="005B4F75" w:rsidRPr="000F23E0" w:rsidRDefault="005B4F75" w:rsidP="002D33EA">
            <w:pPr>
              <w:pStyle w:val="TableTextRight"/>
              <w:keepNext/>
              <w:keepLines/>
              <w:cnfStyle w:val="000000000000" w:firstRow="0" w:lastRow="0" w:firstColumn="0" w:lastColumn="0" w:oddVBand="0" w:evenVBand="0" w:oddHBand="0" w:evenHBand="0" w:firstRowFirstColumn="0" w:firstRowLastColumn="0" w:lastRowFirstColumn="0" w:lastRowLastColumn="0"/>
            </w:pPr>
            <w:r w:rsidRPr="000F23E0" w:rsidDel="00387144">
              <w:t>N/A</w:t>
            </w:r>
            <w:r w:rsidR="00747DC3" w:rsidRPr="000F23E0">
              <w:rPr>
                <w:vertAlign w:val="superscript"/>
              </w:rPr>
              <w:t>(</w:t>
            </w:r>
            <w:r w:rsidR="0073193A" w:rsidRPr="000F23E0">
              <w:rPr>
                <w:vertAlign w:val="superscript"/>
              </w:rPr>
              <w:t>b</w:t>
            </w:r>
            <w:r w:rsidR="00747DC3" w:rsidRPr="000F23E0">
              <w:rPr>
                <w:vertAlign w:val="superscript"/>
              </w:rPr>
              <w:t>)</w:t>
            </w:r>
          </w:p>
        </w:tc>
      </w:tr>
      <w:tr w:rsidR="005B4F75" w:rsidRPr="000F23E0" w14:paraId="07C60AA1" w14:textId="77777777" w:rsidTr="00B132F8">
        <w:trPr>
          <w:trHeight w:val="60"/>
        </w:trPr>
        <w:tc>
          <w:tcPr>
            <w:cnfStyle w:val="001000000000" w:firstRow="0" w:lastRow="0" w:firstColumn="1" w:lastColumn="0" w:oddVBand="0" w:evenVBand="0" w:oddHBand="0" w:evenHBand="0" w:firstRowFirstColumn="0" w:firstRowLastColumn="0" w:lastRowFirstColumn="0" w:lastRowLastColumn="0"/>
            <w:tcW w:w="2117" w:type="dxa"/>
            <w:shd w:val="clear" w:color="auto" w:fill="FDF0E7"/>
            <w:vAlign w:val="center"/>
          </w:tcPr>
          <w:p w14:paraId="6DD612CF" w14:textId="77777777" w:rsidR="005B4F75" w:rsidRPr="000F23E0" w:rsidRDefault="005B4F75" w:rsidP="002D33EA">
            <w:pPr>
              <w:pStyle w:val="TableTextLeft"/>
              <w:keepNext/>
              <w:keepLines/>
              <w:rPr>
                <w:b/>
                <w:bCs w:val="0"/>
              </w:rPr>
            </w:pPr>
            <w:r w:rsidRPr="000F23E0">
              <w:rPr>
                <w:b/>
                <w:bCs w:val="0"/>
              </w:rPr>
              <w:t>Total</w:t>
            </w:r>
          </w:p>
        </w:tc>
        <w:tc>
          <w:tcPr>
            <w:tcW w:w="1511" w:type="dxa"/>
            <w:shd w:val="clear" w:color="auto" w:fill="FEFAF8"/>
            <w:vAlign w:val="center"/>
          </w:tcPr>
          <w:p w14:paraId="578EA517" w14:textId="61F34295" w:rsidR="005B4F75" w:rsidRPr="000F23E0" w:rsidRDefault="005B4F75" w:rsidP="002D33EA">
            <w:pPr>
              <w:pStyle w:val="TableTextRight"/>
              <w:keepNext/>
              <w:keepLines/>
              <w:cnfStyle w:val="000000000000" w:firstRow="0" w:lastRow="0" w:firstColumn="0" w:lastColumn="0" w:oddVBand="0" w:evenVBand="0" w:oddHBand="0" w:evenHBand="0" w:firstRowFirstColumn="0" w:firstRowLastColumn="0" w:lastRowFirstColumn="0" w:lastRowLastColumn="0"/>
              <w:rPr>
                <w:b/>
                <w:bCs/>
              </w:rPr>
            </w:pPr>
            <w:r w:rsidRPr="000F23E0">
              <w:rPr>
                <w:b/>
                <w:bCs/>
              </w:rPr>
              <w:t>698.6</w:t>
            </w:r>
          </w:p>
        </w:tc>
        <w:tc>
          <w:tcPr>
            <w:tcW w:w="1814" w:type="dxa"/>
            <w:shd w:val="clear" w:color="auto" w:fill="FEFAF8"/>
            <w:vAlign w:val="center"/>
          </w:tcPr>
          <w:p w14:paraId="3B684A63" w14:textId="32DE1295" w:rsidR="005B4F75" w:rsidRPr="000F23E0" w:rsidRDefault="006F67F7" w:rsidP="002D33EA">
            <w:pPr>
              <w:pStyle w:val="TableTextRight"/>
              <w:keepNext/>
              <w:keepLines/>
              <w:cnfStyle w:val="000000000000" w:firstRow="0" w:lastRow="0" w:firstColumn="0" w:lastColumn="0" w:oddVBand="0" w:evenVBand="0" w:oddHBand="0" w:evenHBand="0" w:firstRowFirstColumn="0" w:firstRowLastColumn="0" w:lastRowFirstColumn="0" w:lastRowLastColumn="0"/>
              <w:rPr>
                <w:b/>
                <w:bCs/>
              </w:rPr>
            </w:pPr>
            <w:r w:rsidRPr="000F23E0">
              <w:rPr>
                <w:b/>
                <w:bCs/>
              </w:rPr>
              <w:t>378.1</w:t>
            </w:r>
          </w:p>
        </w:tc>
        <w:tc>
          <w:tcPr>
            <w:tcW w:w="2345" w:type="dxa"/>
            <w:shd w:val="clear" w:color="auto" w:fill="FEFAF8"/>
            <w:vAlign w:val="center"/>
          </w:tcPr>
          <w:p w14:paraId="01AE9B0F" w14:textId="1CBCB768" w:rsidR="005B4F75" w:rsidRPr="000F23E0" w:rsidRDefault="005B4F75" w:rsidP="002D33EA">
            <w:pPr>
              <w:pStyle w:val="TableTextRight"/>
              <w:keepNext/>
              <w:keepLines/>
              <w:cnfStyle w:val="000000000000" w:firstRow="0" w:lastRow="0" w:firstColumn="0" w:lastColumn="0" w:oddVBand="0" w:evenVBand="0" w:oddHBand="0" w:evenHBand="0" w:firstRowFirstColumn="0" w:firstRowLastColumn="0" w:lastRowFirstColumn="0" w:lastRowLastColumn="0"/>
              <w:rPr>
                <w:b/>
                <w:bCs/>
              </w:rPr>
            </w:pPr>
            <w:r w:rsidRPr="000F23E0">
              <w:rPr>
                <w:rFonts w:eastAsia="Calibri"/>
                <w:b/>
                <w:bCs/>
              </w:rPr>
              <w:t>9,189.1</w:t>
            </w:r>
            <w:r w:rsidR="002027FC" w:rsidRPr="000F23E0">
              <w:rPr>
                <w:rFonts w:eastAsia="Calibri"/>
                <w:b/>
                <w:bCs/>
                <w:vertAlign w:val="superscript"/>
              </w:rPr>
              <w:t>(</w:t>
            </w:r>
            <w:r w:rsidRPr="000F23E0">
              <w:rPr>
                <w:rFonts w:eastAsia="Calibri"/>
                <w:b/>
                <w:bCs/>
                <w:vertAlign w:val="superscript"/>
              </w:rPr>
              <w:t>a</w:t>
            </w:r>
            <w:r w:rsidR="002027FC" w:rsidRPr="000F23E0">
              <w:rPr>
                <w:rFonts w:eastAsia="Calibri"/>
                <w:b/>
                <w:bCs/>
                <w:vertAlign w:val="superscript"/>
              </w:rPr>
              <w:t>)</w:t>
            </w:r>
          </w:p>
        </w:tc>
        <w:tc>
          <w:tcPr>
            <w:tcW w:w="1283" w:type="dxa"/>
            <w:shd w:val="clear" w:color="auto" w:fill="FEFAF8"/>
            <w:vAlign w:val="center"/>
          </w:tcPr>
          <w:p w14:paraId="227F46A6" w14:textId="7FA51AD5" w:rsidR="005B4F75" w:rsidRPr="000F23E0" w:rsidRDefault="005B4F75" w:rsidP="002D33EA">
            <w:pPr>
              <w:pStyle w:val="TableTextRight"/>
              <w:keepNext/>
              <w:keepLines/>
              <w:cnfStyle w:val="000000000000" w:firstRow="0" w:lastRow="0" w:firstColumn="0" w:lastColumn="0" w:oddVBand="0" w:evenVBand="0" w:oddHBand="0" w:evenHBand="0" w:firstRowFirstColumn="0" w:firstRowLastColumn="0" w:lastRowFirstColumn="0" w:lastRowLastColumn="0"/>
              <w:rPr>
                <w:b/>
                <w:bCs/>
              </w:rPr>
            </w:pPr>
            <w:r w:rsidRPr="000F23E0" w:rsidDel="00C62C8C">
              <w:rPr>
                <w:b/>
                <w:bCs/>
              </w:rPr>
              <w:t>N/A</w:t>
            </w:r>
            <w:r w:rsidR="00BB170D" w:rsidRPr="000F23E0">
              <w:rPr>
                <w:b/>
                <w:bCs/>
                <w:vertAlign w:val="superscript"/>
              </w:rPr>
              <w:t>(</w:t>
            </w:r>
            <w:r w:rsidR="00DB7357" w:rsidRPr="000F23E0">
              <w:rPr>
                <w:b/>
                <w:bCs/>
                <w:vertAlign w:val="superscript"/>
              </w:rPr>
              <w:t>b</w:t>
            </w:r>
            <w:r w:rsidR="00BB170D" w:rsidRPr="000F23E0">
              <w:rPr>
                <w:b/>
                <w:bCs/>
                <w:vertAlign w:val="superscript"/>
              </w:rPr>
              <w:t>)</w:t>
            </w:r>
          </w:p>
        </w:tc>
      </w:tr>
    </w:tbl>
    <w:p w14:paraId="3CFB23BE" w14:textId="7C847A7C" w:rsidR="00B80189" w:rsidRPr="000F23E0" w:rsidRDefault="004A0C05" w:rsidP="002D33EA">
      <w:pPr>
        <w:pStyle w:val="ChartandTableFootnoteAlpha"/>
        <w:keepNext/>
        <w:keepLines/>
        <w:numPr>
          <w:ilvl w:val="0"/>
          <w:numId w:val="11"/>
        </w:numPr>
      </w:pPr>
      <w:r w:rsidRPr="000F23E0">
        <w:t xml:space="preserve">The </w:t>
      </w:r>
      <w:r w:rsidR="0044457A" w:rsidRPr="000F23E0">
        <w:t xml:space="preserve">Total Government Contribution amount does not include funding allocated to measures that have been noted as </w:t>
      </w:r>
      <w:r w:rsidR="002C4475" w:rsidRPr="000F23E0">
        <w:t>‘</w:t>
      </w:r>
      <w:r w:rsidR="0044457A" w:rsidRPr="000F23E0">
        <w:t>not for publication</w:t>
      </w:r>
      <w:r w:rsidR="002C4475" w:rsidRPr="000F23E0">
        <w:t>’</w:t>
      </w:r>
      <w:r w:rsidR="0044457A" w:rsidRPr="000F23E0">
        <w:t xml:space="preserve"> by the Australian Government</w:t>
      </w:r>
      <w:r w:rsidR="00361AB3" w:rsidRPr="000F23E0">
        <w:t>.</w:t>
      </w:r>
      <w:r w:rsidR="00DA407D" w:rsidRPr="000F23E0">
        <w:t xml:space="preserve"> For the Water for the Environment Special Account and the Sustainable Rural Water Use and Infrastructure Program it covers the full measure value including departmental funds and programs with and without water recovery components. </w:t>
      </w:r>
    </w:p>
    <w:p w14:paraId="6FB9D334" w14:textId="0FE4BB52" w:rsidR="00361AB3" w:rsidRPr="000F23E0" w:rsidRDefault="00361AB3" w:rsidP="002D33EA">
      <w:pPr>
        <w:pStyle w:val="ChartandTableFootnoteAlpha"/>
        <w:keepNext/>
        <w:keepLines/>
        <w:numPr>
          <w:ilvl w:val="0"/>
          <w:numId w:val="11"/>
        </w:numPr>
      </w:pPr>
      <w:r w:rsidRPr="000F23E0">
        <w:t>It is not possible to provide the Total Cost of Project at this stage as different sub</w:t>
      </w:r>
      <w:r w:rsidR="002C4475" w:rsidRPr="000F23E0">
        <w:noBreakHyphen/>
      </w:r>
      <w:r w:rsidRPr="000F23E0">
        <w:t>projects may include contributions by other parties, including state and territory governments.</w:t>
      </w:r>
    </w:p>
    <w:p w14:paraId="43EB5ABF" w14:textId="06D49914" w:rsidR="00B54DC7" w:rsidRPr="000F23E0" w:rsidRDefault="00454FE5" w:rsidP="002D33EA">
      <w:pPr>
        <w:pStyle w:val="Heading4"/>
      </w:pPr>
      <w:r w:rsidRPr="000F23E0">
        <w:t>Co</w:t>
      </w:r>
      <w:r w:rsidR="002C4475" w:rsidRPr="000F23E0">
        <w:noBreakHyphen/>
      </w:r>
      <w:r w:rsidRPr="000F23E0">
        <w:t xml:space="preserve">financing </w:t>
      </w:r>
      <w:r w:rsidR="0050250F" w:rsidRPr="000F23E0">
        <w:t>a</w:t>
      </w:r>
      <w:r w:rsidRPr="000F23E0">
        <w:t>rrangements</w:t>
      </w:r>
    </w:p>
    <w:p w14:paraId="54B5E63E" w14:textId="3AC5D13E" w:rsidR="00454FE5" w:rsidRPr="000F23E0" w:rsidRDefault="006E7DB1" w:rsidP="002D33EA">
      <w:pPr>
        <w:shd w:val="clear" w:color="auto" w:fill="FFFFFF" w:themeFill="background1"/>
      </w:pPr>
      <w:r w:rsidRPr="000F23E0">
        <w:t>The Murray</w:t>
      </w:r>
      <w:r w:rsidR="009A3E11" w:rsidRPr="000F23E0">
        <w:t>–</w:t>
      </w:r>
      <w:r w:rsidRPr="000F23E0">
        <w:t>Darling Basin Agreement</w:t>
      </w:r>
      <w:r w:rsidR="003C5F21" w:rsidRPr="000F23E0">
        <w:t>, which forms Schedule 1 of the Water Act,</w:t>
      </w:r>
      <w:r w:rsidRPr="000F23E0">
        <w:t xml:space="preserve"> is a long</w:t>
      </w:r>
      <w:r w:rsidR="002C4475" w:rsidRPr="000F23E0">
        <w:noBreakHyphen/>
      </w:r>
      <w:r w:rsidRPr="000F23E0">
        <w:t>standing arrangement signed by Basin state governments and the Australian Government. State governments may contribute to projects financed through the Basin Plan.</w:t>
      </w:r>
      <w:r w:rsidR="003C5F21" w:rsidRPr="000F23E0">
        <w:t> </w:t>
      </w:r>
    </w:p>
    <w:p w14:paraId="68A381EE" w14:textId="2BDF57CA" w:rsidR="006E7DB1" w:rsidRPr="000F23E0" w:rsidRDefault="00934D7A" w:rsidP="002D33EA">
      <w:pPr>
        <w:pStyle w:val="Heading4"/>
        <w:keepNext/>
        <w:keepLines/>
      </w:pPr>
      <w:r w:rsidRPr="000F23E0">
        <w:lastRenderedPageBreak/>
        <w:t xml:space="preserve">Material </w:t>
      </w:r>
      <w:r w:rsidR="0050250F" w:rsidRPr="000F23E0">
        <w:t>r</w:t>
      </w:r>
      <w:r w:rsidRPr="000F23E0">
        <w:t>isks</w:t>
      </w:r>
    </w:p>
    <w:p w14:paraId="2763D02C" w14:textId="2F9E6DBA" w:rsidR="00C5743B" w:rsidRPr="000F23E0" w:rsidRDefault="00C5743B" w:rsidP="002D33EA">
      <w:pPr>
        <w:keepNext/>
        <w:keepLines/>
      </w:pPr>
      <w:r w:rsidRPr="000F23E0">
        <w:t>Water recovery programs take time to deliver and for water recovered to be counted towards Basin Plan targets. Early commencement and steady progression of water recovery programs is necessary to meet the December 2027 statutory timeframes, and any delays to programs may risk delivery.</w:t>
      </w:r>
    </w:p>
    <w:p w14:paraId="3B35E43A" w14:textId="69FF9FDD" w:rsidR="00C5743B" w:rsidRPr="000F23E0" w:rsidRDefault="00C5743B" w:rsidP="002D33EA">
      <w:pPr>
        <w:keepNext/>
        <w:keepLines/>
      </w:pPr>
      <w:r w:rsidRPr="000F23E0">
        <w:t xml:space="preserve">The costs of program delivery by state governments may be impacted by resourcing costs and delays </w:t>
      </w:r>
      <w:r w:rsidR="0050250F" w:rsidRPr="000F23E0">
        <w:t xml:space="preserve">in </w:t>
      </w:r>
      <w:r w:rsidRPr="000F23E0">
        <w:t>project implementation. </w:t>
      </w:r>
    </w:p>
    <w:p w14:paraId="1D9ABA36" w14:textId="3F1684BD" w:rsidR="00C5743B" w:rsidRPr="000F23E0" w:rsidRDefault="00C5743B" w:rsidP="002D33EA">
      <w:pPr>
        <w:keepNext/>
        <w:keepLines/>
      </w:pPr>
      <w:r w:rsidRPr="000F23E0">
        <w:t xml:space="preserve">Climatic and market conditions can influence the price of water entitlements, making it more expensive to recover water </w:t>
      </w:r>
      <w:r w:rsidR="003B03FB" w:rsidRPr="000F23E0">
        <w:t xml:space="preserve">for </w:t>
      </w:r>
      <w:r w:rsidRPr="000F23E0">
        <w:t>Basin Plan targets. The Australian Climate Service</w:t>
      </w:r>
      <w:r w:rsidR="002C4475" w:rsidRPr="000F23E0">
        <w:t>’</w:t>
      </w:r>
      <w:r w:rsidRPr="000F23E0">
        <w:t xml:space="preserve">s latest </w:t>
      </w:r>
      <w:r w:rsidRPr="000F23E0">
        <w:rPr>
          <w:i/>
        </w:rPr>
        <w:t>National Climate Risk Assessment 2025</w:t>
      </w:r>
      <w:r w:rsidRPr="000F23E0">
        <w:t xml:space="preserve"> found that time spent in drought and associated water scarcity is likely to increase across most of Australia. There are also differences between water market conditions in the northern and southern </w:t>
      </w:r>
      <w:r w:rsidR="004E1A24" w:rsidRPr="000F23E0">
        <w:t>b</w:t>
      </w:r>
      <w:r w:rsidRPr="000F23E0">
        <w:t>asins that may influence prices over time.</w:t>
      </w:r>
    </w:p>
    <w:p w14:paraId="39CD60AE" w14:textId="36D62D22" w:rsidR="006B7940" w:rsidRPr="000F23E0" w:rsidRDefault="006B7940" w:rsidP="006B7940">
      <w:r w:rsidRPr="000F23E0">
        <w:t>The expenditure of funds from the EWHSA is largely driven by the quantum of statutory fees and charges and other delivery costs incurred through holding and using the Commonwealth</w:t>
      </w:r>
      <w:r w:rsidR="002C4475" w:rsidRPr="000F23E0">
        <w:t>’</w:t>
      </w:r>
      <w:r w:rsidRPr="000F23E0">
        <w:t>s environmental water holdings. The volume of water entitlements recovered to meet the Basin Plan recovery targets and the volume of environmental water delivered each year will therefore impact annual expenditure from the EWHSA.</w:t>
      </w:r>
    </w:p>
    <w:p w14:paraId="7A4D1720" w14:textId="0287B6D6" w:rsidR="006B7940" w:rsidRPr="000F23E0" w:rsidRDefault="006B7940" w:rsidP="00C5743B">
      <w:r w:rsidRPr="000F23E0">
        <w:t>Climatic conditions drive the quantum of water allocated each year by state water authorities, as well as the demand for environmental water on a seasonal basis. These drivers also impact decisions by the CEWH to sell or purchase water each year.</w:t>
      </w:r>
    </w:p>
    <w:p w14:paraId="26CA1165" w14:textId="4F13046D" w:rsidR="00B825F7" w:rsidRPr="000F23E0" w:rsidRDefault="00B825F7" w:rsidP="00B825F7">
      <w:r w:rsidRPr="000F23E0">
        <w:t>The volume of water entitlements recovered to meet the Basin Plan recovery targets and the volume</w:t>
      </w:r>
      <w:r w:rsidR="00955A88" w:rsidRPr="000F23E0">
        <w:t> </w:t>
      </w:r>
      <w:r w:rsidRPr="000F23E0">
        <w:t>of environmental water delivered each year will therefore impact annual expenditure from the</w:t>
      </w:r>
      <w:r w:rsidR="00955A88" w:rsidRPr="000F23E0">
        <w:t> </w:t>
      </w:r>
      <w:r w:rsidRPr="000F23E0">
        <w:t>EWHSA.</w:t>
      </w:r>
    </w:p>
    <w:p w14:paraId="159CED6B" w14:textId="5492A650" w:rsidR="00EC66C6" w:rsidRPr="000F23E0" w:rsidRDefault="00EC66C6" w:rsidP="00425F03">
      <w:pPr>
        <w:pStyle w:val="Heading3"/>
      </w:pPr>
      <w:r w:rsidRPr="000F23E0">
        <w:t xml:space="preserve">Project </w:t>
      </w:r>
      <w:r w:rsidR="00883029" w:rsidRPr="000F23E0">
        <w:t>i</w:t>
      </w:r>
      <w:r w:rsidRPr="000F23E0">
        <w:t>mpacts</w:t>
      </w:r>
    </w:p>
    <w:p w14:paraId="2A40E806" w14:textId="23D9D16F" w:rsidR="00EC66C6" w:rsidRPr="000F23E0" w:rsidRDefault="000E0630" w:rsidP="00813C70">
      <w:r w:rsidRPr="000F23E0">
        <w:t xml:space="preserve">The Basin Plan, funded under WESA and SRWUIP, seeks to recover water towards </w:t>
      </w:r>
      <w:r w:rsidR="00D43D1C" w:rsidRPr="000F23E0">
        <w:t>2</w:t>
      </w:r>
      <w:r w:rsidR="00955A88" w:rsidRPr="000F23E0">
        <w:t> </w:t>
      </w:r>
      <w:r w:rsidRPr="000F23E0">
        <w:t>targets:</w:t>
      </w:r>
    </w:p>
    <w:p w14:paraId="1C2C6F2A" w14:textId="3743D262" w:rsidR="00D170F0" w:rsidRPr="000F23E0" w:rsidRDefault="00883029" w:rsidP="006A165A">
      <w:pPr>
        <w:pStyle w:val="Bullet"/>
      </w:pPr>
      <w:r w:rsidRPr="000F23E0">
        <w:t>b</w:t>
      </w:r>
      <w:r w:rsidR="00D170F0" w:rsidRPr="000F23E0">
        <w:t>ridging the Gap to sustainable diversion limits (2,075 GL/y)</w:t>
      </w:r>
    </w:p>
    <w:p w14:paraId="7C741E74" w14:textId="3FEABDC9" w:rsidR="000E0630" w:rsidRPr="000F23E0" w:rsidRDefault="00D170F0" w:rsidP="006A165A">
      <w:pPr>
        <w:pStyle w:val="Bullet"/>
      </w:pPr>
      <w:r w:rsidRPr="000F23E0">
        <w:t>recover an additional 450 GL/y for enhanced environmental outcomes.</w:t>
      </w:r>
    </w:p>
    <w:p w14:paraId="7D359DB3" w14:textId="5432B5C3" w:rsidR="000C6EF3" w:rsidRPr="000F23E0" w:rsidRDefault="00D92CDC" w:rsidP="00813C70">
      <w:r w:rsidRPr="000F23E0">
        <w:t>During 2024</w:t>
      </w:r>
      <w:r w:rsidR="00ED5506" w:rsidRPr="000F23E0">
        <w:t>–</w:t>
      </w:r>
      <w:r w:rsidRPr="000F23E0">
        <w:t>25</w:t>
      </w:r>
      <w:r w:rsidR="000C6EF3" w:rsidRPr="000F23E0">
        <w:t xml:space="preserve">, </w:t>
      </w:r>
      <w:r w:rsidR="00611CEF" w:rsidRPr="000F23E0">
        <w:t>GTB</w:t>
      </w:r>
      <w:r w:rsidR="000C6EF3" w:rsidRPr="000F23E0">
        <w:t xml:space="preserve">s </w:t>
      </w:r>
      <w:r w:rsidR="001A49D3" w:rsidRPr="000F23E0">
        <w:t xml:space="preserve">contributed to </w:t>
      </w:r>
      <w:r w:rsidR="000C6EF3" w:rsidRPr="000F23E0">
        <w:t xml:space="preserve">the recovery of </w:t>
      </w:r>
      <w:r w:rsidR="00881DC6" w:rsidRPr="000F23E0">
        <w:t>11</w:t>
      </w:r>
      <w:r w:rsidR="000C6EF3" w:rsidRPr="000F23E0">
        <w:t>.</w:t>
      </w:r>
      <w:r w:rsidR="00BF5D8E" w:rsidRPr="000F23E0">
        <w:t>3</w:t>
      </w:r>
      <w:r w:rsidR="000C6EF3" w:rsidRPr="000F23E0">
        <w:t xml:space="preserve"> GL/y towards the Bridging the Gap target and 2</w:t>
      </w:r>
      <w:r w:rsidR="00BF5D8E" w:rsidRPr="000F23E0">
        <w:t>6</w:t>
      </w:r>
      <w:r w:rsidR="000C6EF3" w:rsidRPr="000F23E0">
        <w:t>.</w:t>
      </w:r>
      <w:r w:rsidR="00BF5D8E" w:rsidRPr="000F23E0">
        <w:t>9</w:t>
      </w:r>
      <w:r w:rsidR="000C6EF3" w:rsidRPr="000F23E0">
        <w:t xml:space="preserve"> GL/y towards the 450 GL/y target of enhanced environmental water. This investment plus historic water recovery efforts leaves </w:t>
      </w:r>
      <w:r w:rsidR="00B92C61" w:rsidRPr="000F23E0">
        <w:t>6</w:t>
      </w:r>
      <w:r w:rsidR="000C6EF3" w:rsidRPr="000F23E0">
        <w:t>.</w:t>
      </w:r>
      <w:r w:rsidR="00B92C61" w:rsidRPr="000F23E0">
        <w:t>9</w:t>
      </w:r>
      <w:r w:rsidR="000C6EF3" w:rsidRPr="000F23E0">
        <w:t xml:space="preserve"> GL/y to be recovered against the Bridging the Gap target and </w:t>
      </w:r>
      <w:r w:rsidR="00114607" w:rsidRPr="000F23E0">
        <w:t>292.4</w:t>
      </w:r>
      <w:r w:rsidR="000C6EF3" w:rsidRPr="000F23E0">
        <w:t xml:space="preserve"> GL/y to be recovered against the 450 GL/y target, as at 30</w:t>
      </w:r>
      <w:r w:rsidR="00955A88" w:rsidRPr="000F23E0">
        <w:t> </w:t>
      </w:r>
      <w:r w:rsidR="000C6EF3" w:rsidRPr="000F23E0">
        <w:t>June</w:t>
      </w:r>
      <w:r w:rsidR="00955A88" w:rsidRPr="000F23E0">
        <w:t> </w:t>
      </w:r>
      <w:r w:rsidR="000C6EF3" w:rsidRPr="000F23E0">
        <w:t>202</w:t>
      </w:r>
      <w:r w:rsidR="003F760F" w:rsidRPr="000F23E0">
        <w:t>5</w:t>
      </w:r>
      <w:r w:rsidR="000C6EF3" w:rsidRPr="000F23E0">
        <w:t>.</w:t>
      </w:r>
    </w:p>
    <w:p w14:paraId="6674697D" w14:textId="161A491C" w:rsidR="006C3821" w:rsidRPr="000F23E0" w:rsidRDefault="006C3821" w:rsidP="00A04537">
      <w:bookmarkStart w:id="366" w:name="_Ref214983271"/>
      <w:r w:rsidRPr="000F23E0">
        <w:t>The EWHSA targets a metric that less than 5 per cent of surface water allocations</w:t>
      </w:r>
      <w:r w:rsidR="00955A88" w:rsidRPr="000F23E0">
        <w:t xml:space="preserve"> </w:t>
      </w:r>
      <w:r w:rsidRPr="000F23E0">
        <w:t>(in Commonwealth accounts)</w:t>
      </w:r>
      <w:r w:rsidR="00955A88" w:rsidRPr="000F23E0">
        <w:t xml:space="preserve"> </w:t>
      </w:r>
      <w:r w:rsidRPr="000F23E0">
        <w:t>are</w:t>
      </w:r>
      <w:r w:rsidR="00955A88" w:rsidRPr="000F23E0">
        <w:t xml:space="preserve"> </w:t>
      </w:r>
      <w:r w:rsidRPr="000F23E0">
        <w:t>forfeited</w:t>
      </w:r>
      <w:r w:rsidR="00955A88" w:rsidRPr="000F23E0">
        <w:t xml:space="preserve"> </w:t>
      </w:r>
      <w:r w:rsidRPr="000F23E0">
        <w:t>on 30</w:t>
      </w:r>
      <w:r w:rsidR="00955A88" w:rsidRPr="000F23E0">
        <w:t> </w:t>
      </w:r>
      <w:r w:rsidRPr="000F23E0">
        <w:t>June</w:t>
      </w:r>
      <w:r w:rsidR="00955A88" w:rsidRPr="000F23E0">
        <w:t xml:space="preserve"> </w:t>
      </w:r>
      <w:r w:rsidRPr="000F23E0">
        <w:t>at the end of each water year. </w:t>
      </w:r>
    </w:p>
    <w:p w14:paraId="34B740B7" w14:textId="4AB3083A" w:rsidR="000C6EF3" w:rsidRPr="000F23E0" w:rsidRDefault="00FA055E" w:rsidP="00551F72">
      <w:pPr>
        <w:pStyle w:val="TableMainHeading"/>
      </w:pPr>
      <w:bookmarkStart w:id="367" w:name="_Toc220662898"/>
      <w:bookmarkStart w:id="368" w:name="_Toc224637852"/>
      <w:bookmarkStart w:id="369" w:name="_Toc224642516"/>
      <w:bookmarkStart w:id="370" w:name="_Toc225153492"/>
      <w:bookmarkStart w:id="371" w:name="_Toc225154538"/>
      <w:bookmarkStart w:id="372" w:name="_Toc225155803"/>
      <w:r w:rsidRPr="000F23E0">
        <w:lastRenderedPageBreak/>
        <w:t xml:space="preserve">Table </w:t>
      </w:r>
      <w:bookmarkEnd w:id="366"/>
      <w:r w:rsidR="0068550D" w:rsidRPr="000F23E0">
        <w:t>40:</w:t>
      </w:r>
      <w:r w:rsidR="00B31937" w:rsidRPr="000F23E0">
        <w:t xml:space="preserve"> Impact Data for the Murray</w:t>
      </w:r>
      <w:r w:rsidR="009C243B" w:rsidRPr="000F23E0">
        <w:t>–</w:t>
      </w:r>
      <w:r w:rsidR="00B31937" w:rsidRPr="000F23E0">
        <w:t>Darling Basin Plan</w:t>
      </w:r>
      <w:bookmarkEnd w:id="367"/>
      <w:bookmarkEnd w:id="368"/>
      <w:bookmarkEnd w:id="369"/>
      <w:bookmarkEnd w:id="370"/>
      <w:bookmarkEnd w:id="371"/>
      <w:bookmarkEnd w:id="372"/>
    </w:p>
    <w:tbl>
      <w:tblPr>
        <w:tblStyle w:val="GridTable4-Accent2"/>
        <w:tblW w:w="5000" w:type="pct"/>
        <w:tblInd w:w="-3" w:type="dxa"/>
        <w:tblBorders>
          <w:top w:val="single" w:sz="4" w:space="0" w:color="DFA795"/>
          <w:bottom w:val="single" w:sz="4" w:space="0" w:color="DFA795"/>
          <w:insideH w:val="single" w:sz="4" w:space="0" w:color="DFA795"/>
        </w:tblBorders>
        <w:shd w:val="clear" w:color="auto" w:fill="FFFFFF" w:themeFill="background1"/>
        <w:tblLook w:val="04A0" w:firstRow="1" w:lastRow="0" w:firstColumn="1" w:lastColumn="0" w:noHBand="0" w:noVBand="1"/>
      </w:tblPr>
      <w:tblGrid>
        <w:gridCol w:w="2356"/>
        <w:gridCol w:w="3884"/>
        <w:gridCol w:w="567"/>
        <w:gridCol w:w="1134"/>
        <w:gridCol w:w="1129"/>
      </w:tblGrid>
      <w:tr w:rsidR="00EB7950" w:rsidRPr="000F23E0" w14:paraId="384BD2E3" w14:textId="77777777" w:rsidTr="00955A88">
        <w:trPr>
          <w:cnfStyle w:val="100000000000" w:firstRow="1" w:lastRow="0" w:firstColumn="0" w:lastColumn="0" w:oddVBand="0" w:evenVBand="0" w:oddHBand="0" w:evenHBand="0" w:firstRowFirstColumn="0" w:firstRowLastColumn="0" w:lastRowFirstColumn="0" w:lastRowLastColumn="0"/>
          <w:trHeight w:val="342"/>
        </w:trPr>
        <w:tc>
          <w:tcPr>
            <w:cnfStyle w:val="001000000000" w:firstRow="0" w:lastRow="0" w:firstColumn="1" w:lastColumn="0" w:oddVBand="0" w:evenVBand="0" w:oddHBand="0" w:evenHBand="0" w:firstRowFirstColumn="0" w:firstRowLastColumn="0" w:lastRowFirstColumn="0" w:lastRowLastColumn="0"/>
            <w:tcW w:w="2356" w:type="dxa"/>
            <w:shd w:val="clear" w:color="auto" w:fill="F1D0C6"/>
          </w:tcPr>
          <w:p w14:paraId="46FFE2AD" w14:textId="7541D8B7" w:rsidR="006D0BEE" w:rsidRPr="000F23E0" w:rsidRDefault="006D0BEE" w:rsidP="002D33EA">
            <w:pPr>
              <w:pStyle w:val="TableColumnHeadingLeft"/>
              <w:keepLines/>
              <w:rPr>
                <w:b/>
                <w:bCs w:val="0"/>
              </w:rPr>
            </w:pPr>
            <w:r w:rsidRPr="000F23E0">
              <w:rPr>
                <w:b/>
                <w:bCs w:val="0"/>
              </w:rPr>
              <w:t>Project</w:t>
            </w:r>
          </w:p>
        </w:tc>
        <w:tc>
          <w:tcPr>
            <w:tcW w:w="3884" w:type="dxa"/>
            <w:shd w:val="clear" w:color="auto" w:fill="F1D0C6"/>
          </w:tcPr>
          <w:p w14:paraId="18BFB2D5" w14:textId="32AD8CD0" w:rsidR="006D0BEE" w:rsidRPr="000F23E0" w:rsidRDefault="006D0BEE" w:rsidP="002D33EA">
            <w:pPr>
              <w:pStyle w:val="TableColumnHeadingLeft"/>
              <w:keepLines/>
              <w:cnfStyle w:val="100000000000" w:firstRow="1" w:lastRow="0" w:firstColumn="0" w:lastColumn="0" w:oddVBand="0" w:evenVBand="0" w:oddHBand="0" w:evenHBand="0" w:firstRowFirstColumn="0" w:firstRowLastColumn="0" w:lastRowFirstColumn="0" w:lastRowLastColumn="0"/>
              <w:rPr>
                <w:b/>
              </w:rPr>
            </w:pPr>
            <w:r w:rsidRPr="000F23E0">
              <w:rPr>
                <w:b/>
              </w:rPr>
              <w:t>Metric</w:t>
            </w:r>
          </w:p>
        </w:tc>
        <w:tc>
          <w:tcPr>
            <w:tcW w:w="567" w:type="dxa"/>
            <w:shd w:val="clear" w:color="auto" w:fill="F1D0C6"/>
          </w:tcPr>
          <w:p w14:paraId="5D594481" w14:textId="6FFDB5D4" w:rsidR="006D0BEE" w:rsidRPr="000F23E0" w:rsidRDefault="009D512B" w:rsidP="002D33EA">
            <w:pPr>
              <w:pStyle w:val="TableColumnHeadingRight"/>
              <w:keepLines/>
              <w:cnfStyle w:val="100000000000" w:firstRow="1" w:lastRow="0" w:firstColumn="0" w:lastColumn="0" w:oddVBand="0" w:evenVBand="0" w:oddHBand="0" w:evenHBand="0" w:firstRowFirstColumn="0" w:firstRowLastColumn="0" w:lastRowFirstColumn="0" w:lastRowLastColumn="0"/>
              <w:rPr>
                <w:b/>
              </w:rPr>
            </w:pPr>
            <w:r w:rsidRPr="000F23E0">
              <w:rPr>
                <w:b/>
              </w:rPr>
              <w:t>Value</w:t>
            </w:r>
          </w:p>
        </w:tc>
        <w:tc>
          <w:tcPr>
            <w:tcW w:w="1134" w:type="dxa"/>
            <w:shd w:val="clear" w:color="auto" w:fill="F1D0C6"/>
          </w:tcPr>
          <w:p w14:paraId="2D470A6C" w14:textId="02F93644" w:rsidR="006D0BEE" w:rsidRPr="000F23E0" w:rsidRDefault="006D0BEE" w:rsidP="002D33EA">
            <w:pPr>
              <w:pStyle w:val="TableColumnHeadingRight"/>
              <w:keepLines/>
              <w:cnfStyle w:val="100000000000" w:firstRow="1" w:lastRow="0" w:firstColumn="0" w:lastColumn="0" w:oddVBand="0" w:evenVBand="0" w:oddHBand="0" w:evenHBand="0" w:firstRowFirstColumn="0" w:firstRowLastColumn="0" w:lastRowFirstColumn="0" w:lastRowLastColumn="0"/>
              <w:rPr>
                <w:b/>
              </w:rPr>
            </w:pPr>
            <w:r w:rsidRPr="000F23E0">
              <w:rPr>
                <w:b/>
              </w:rPr>
              <w:t>Projected/</w:t>
            </w:r>
            <w:r w:rsidR="002A032C" w:rsidRPr="000F23E0">
              <w:rPr>
                <w:b/>
              </w:rPr>
              <w:t xml:space="preserve"> </w:t>
            </w:r>
            <w:r w:rsidRPr="000F23E0">
              <w:rPr>
                <w:b/>
              </w:rPr>
              <w:t xml:space="preserve">Recorded </w:t>
            </w:r>
          </w:p>
        </w:tc>
        <w:tc>
          <w:tcPr>
            <w:tcW w:w="1129" w:type="dxa"/>
            <w:shd w:val="clear" w:color="auto" w:fill="F1D0C6"/>
          </w:tcPr>
          <w:p w14:paraId="1967A5AE" w14:textId="77777777" w:rsidR="006D0BEE" w:rsidRPr="000F23E0" w:rsidRDefault="006D0BEE" w:rsidP="002D33EA">
            <w:pPr>
              <w:pStyle w:val="TableColumnHeadingRight"/>
              <w:keepLines/>
              <w:cnfStyle w:val="100000000000" w:firstRow="1" w:lastRow="0" w:firstColumn="0" w:lastColumn="0" w:oddVBand="0" w:evenVBand="0" w:oddHBand="0" w:evenHBand="0" w:firstRowFirstColumn="0" w:firstRowLastColumn="0" w:lastRowFirstColumn="0" w:lastRowLastColumn="0"/>
              <w:rPr>
                <w:b/>
              </w:rPr>
            </w:pPr>
            <w:r w:rsidRPr="000F23E0">
              <w:rPr>
                <w:b/>
              </w:rPr>
              <w:t>Time Period</w:t>
            </w:r>
          </w:p>
        </w:tc>
      </w:tr>
      <w:tr w:rsidR="00EB7950" w:rsidRPr="000F23E0" w14:paraId="71C3CCD4" w14:textId="77777777" w:rsidTr="00955A88">
        <w:trPr>
          <w:trHeight w:val="197"/>
        </w:trPr>
        <w:tc>
          <w:tcPr>
            <w:cnfStyle w:val="001000000000" w:firstRow="0" w:lastRow="0" w:firstColumn="1" w:lastColumn="0" w:oddVBand="0" w:evenVBand="0" w:oddHBand="0" w:evenHBand="0" w:firstRowFirstColumn="0" w:firstRowLastColumn="0" w:lastRowFirstColumn="0" w:lastRowLastColumn="0"/>
            <w:tcW w:w="2356" w:type="dxa"/>
            <w:shd w:val="clear" w:color="auto" w:fill="FDF0E7"/>
          </w:tcPr>
          <w:p w14:paraId="03FA1224" w14:textId="42AC19EF" w:rsidR="006D0BEE" w:rsidRPr="000F23E0" w:rsidRDefault="006D0BEE" w:rsidP="002D33EA">
            <w:pPr>
              <w:pStyle w:val="TableTextLeft"/>
              <w:keepNext/>
              <w:keepLines/>
            </w:pPr>
            <w:r w:rsidRPr="000F23E0">
              <w:t>Sustainable Rural Water Use and Infrastructure Program</w:t>
            </w:r>
          </w:p>
        </w:tc>
        <w:tc>
          <w:tcPr>
            <w:tcW w:w="3884" w:type="dxa"/>
            <w:shd w:val="clear" w:color="auto" w:fill="FEFAF8"/>
          </w:tcPr>
          <w:p w14:paraId="45DAD14D" w14:textId="66DD83C1" w:rsidR="006D0BEE" w:rsidRPr="000F23E0" w:rsidRDefault="006D0BEE" w:rsidP="002D33EA">
            <w:pPr>
              <w:pStyle w:val="TableTextLeft"/>
              <w:keepNext/>
              <w:keepLines/>
              <w:cnfStyle w:val="000000000000" w:firstRow="0" w:lastRow="0" w:firstColumn="0" w:lastColumn="0" w:oddVBand="0" w:evenVBand="0" w:oddHBand="0" w:evenHBand="0" w:firstRowFirstColumn="0" w:firstRowLastColumn="0" w:lastRowFirstColumn="0" w:lastRowLastColumn="0"/>
            </w:pPr>
            <w:r w:rsidRPr="000F23E0">
              <w:t>Surface water registered to Commonwealth (GL/y)</w:t>
            </w:r>
            <w:r w:rsidR="003874A0" w:rsidRPr="000F23E0">
              <w:t>(</w:t>
            </w:r>
            <w:r w:rsidRPr="000F23E0">
              <w:t>c</w:t>
            </w:r>
            <w:r w:rsidR="003874A0" w:rsidRPr="000F23E0">
              <w:t>)</w:t>
            </w:r>
          </w:p>
        </w:tc>
        <w:tc>
          <w:tcPr>
            <w:tcW w:w="567" w:type="dxa"/>
            <w:shd w:val="clear" w:color="auto" w:fill="FEFAF8"/>
            <w:vAlign w:val="center"/>
          </w:tcPr>
          <w:p w14:paraId="6811137F" w14:textId="42509A4F" w:rsidR="006D0BEE" w:rsidRPr="000F23E0" w:rsidRDefault="006D0BEE" w:rsidP="002D33EA">
            <w:pPr>
              <w:pStyle w:val="TableTextRight"/>
              <w:keepNext/>
              <w:keepLines/>
              <w:cnfStyle w:val="000000000000" w:firstRow="0" w:lastRow="0" w:firstColumn="0" w:lastColumn="0" w:oddVBand="0" w:evenVBand="0" w:oddHBand="0" w:evenHBand="0" w:firstRowFirstColumn="0" w:firstRowLastColumn="0" w:lastRowFirstColumn="0" w:lastRowLastColumn="0"/>
            </w:pPr>
            <w:r w:rsidRPr="000F23E0">
              <w:t>11.3</w:t>
            </w:r>
          </w:p>
        </w:tc>
        <w:tc>
          <w:tcPr>
            <w:tcW w:w="1134" w:type="dxa"/>
            <w:shd w:val="clear" w:color="auto" w:fill="FEFAF8"/>
            <w:vAlign w:val="center"/>
          </w:tcPr>
          <w:p w14:paraId="7225E080" w14:textId="29E4186B" w:rsidR="006D0BEE" w:rsidRPr="000F23E0" w:rsidRDefault="006D0BEE" w:rsidP="002D33EA">
            <w:pPr>
              <w:pStyle w:val="TableTextRight"/>
              <w:keepNext/>
              <w:keepLines/>
              <w:cnfStyle w:val="000000000000" w:firstRow="0" w:lastRow="0" w:firstColumn="0" w:lastColumn="0" w:oddVBand="0" w:evenVBand="0" w:oddHBand="0" w:evenHBand="0" w:firstRowFirstColumn="0" w:firstRowLastColumn="0" w:lastRowFirstColumn="0" w:lastRowLastColumn="0"/>
            </w:pPr>
            <w:r w:rsidRPr="000F23E0">
              <w:t>Recorded</w:t>
            </w:r>
          </w:p>
        </w:tc>
        <w:tc>
          <w:tcPr>
            <w:tcW w:w="1129" w:type="dxa"/>
            <w:shd w:val="clear" w:color="auto" w:fill="FEFAF8"/>
            <w:vAlign w:val="center"/>
          </w:tcPr>
          <w:p w14:paraId="322287E3" w14:textId="2FD06D17" w:rsidR="006D0BEE" w:rsidRPr="000F23E0" w:rsidRDefault="006D0BEE" w:rsidP="002D33EA">
            <w:pPr>
              <w:pStyle w:val="TableTextRight"/>
              <w:keepNext/>
              <w:keepLines/>
              <w:cnfStyle w:val="000000000000" w:firstRow="0" w:lastRow="0" w:firstColumn="0" w:lastColumn="0" w:oddVBand="0" w:evenVBand="0" w:oddHBand="0" w:evenHBand="0" w:firstRowFirstColumn="0" w:firstRowLastColumn="0" w:lastRowFirstColumn="0" w:lastRowLastColumn="0"/>
            </w:pPr>
            <w:r w:rsidRPr="000F23E0">
              <w:t>FY2024–25</w:t>
            </w:r>
          </w:p>
        </w:tc>
      </w:tr>
      <w:tr w:rsidR="00EB7950" w:rsidRPr="000F23E0" w14:paraId="65537080" w14:textId="77777777" w:rsidTr="00955A88">
        <w:trPr>
          <w:trHeight w:val="197"/>
        </w:trPr>
        <w:tc>
          <w:tcPr>
            <w:cnfStyle w:val="001000000000" w:firstRow="0" w:lastRow="0" w:firstColumn="1" w:lastColumn="0" w:oddVBand="0" w:evenVBand="0" w:oddHBand="0" w:evenHBand="0" w:firstRowFirstColumn="0" w:firstRowLastColumn="0" w:lastRowFirstColumn="0" w:lastRowLastColumn="0"/>
            <w:tcW w:w="2356" w:type="dxa"/>
            <w:shd w:val="clear" w:color="auto" w:fill="FDF0E7"/>
          </w:tcPr>
          <w:p w14:paraId="790DD855" w14:textId="4E932FB9" w:rsidR="006D0BEE" w:rsidRPr="000F23E0" w:rsidRDefault="006D0BEE" w:rsidP="002D33EA">
            <w:pPr>
              <w:pStyle w:val="TableTextLeft"/>
              <w:keepNext/>
              <w:keepLines/>
            </w:pPr>
            <w:r w:rsidRPr="000F23E0">
              <w:t>Water for the Environment Special</w:t>
            </w:r>
            <w:r w:rsidR="00955A88" w:rsidRPr="000F23E0">
              <w:t> </w:t>
            </w:r>
            <w:r w:rsidRPr="000F23E0">
              <w:t>Account</w:t>
            </w:r>
          </w:p>
        </w:tc>
        <w:tc>
          <w:tcPr>
            <w:tcW w:w="3884" w:type="dxa"/>
            <w:shd w:val="clear" w:color="auto" w:fill="FEFAF8"/>
          </w:tcPr>
          <w:p w14:paraId="4FE61DAA" w14:textId="45C42A12" w:rsidR="006D0BEE" w:rsidRPr="000F23E0" w:rsidRDefault="006D0BEE" w:rsidP="002D33EA">
            <w:pPr>
              <w:pStyle w:val="TableTextLeft"/>
              <w:keepNext/>
              <w:keepLines/>
              <w:cnfStyle w:val="000000000000" w:firstRow="0" w:lastRow="0" w:firstColumn="0" w:lastColumn="0" w:oddVBand="0" w:evenVBand="0" w:oddHBand="0" w:evenHBand="0" w:firstRowFirstColumn="0" w:firstRowLastColumn="0" w:lastRowFirstColumn="0" w:lastRowLastColumn="0"/>
            </w:pPr>
            <w:r w:rsidRPr="000F23E0">
              <w:t>Surface Water registered for environmental use (GL/y)</w:t>
            </w:r>
            <w:r w:rsidR="003874A0" w:rsidRPr="000F23E0">
              <w:t>(</w:t>
            </w:r>
            <w:r w:rsidRPr="000F23E0">
              <w:t>a</w:t>
            </w:r>
            <w:r w:rsidR="004E3127" w:rsidRPr="000F23E0">
              <w:t>)</w:t>
            </w:r>
            <w:r w:rsidRPr="000F23E0">
              <w:t>,</w:t>
            </w:r>
            <w:r w:rsidR="004E3127" w:rsidRPr="000F23E0">
              <w:t>(</w:t>
            </w:r>
            <w:r w:rsidRPr="000F23E0">
              <w:t>b</w:t>
            </w:r>
            <w:r w:rsidR="003874A0" w:rsidRPr="000F23E0">
              <w:t>)</w:t>
            </w:r>
          </w:p>
        </w:tc>
        <w:tc>
          <w:tcPr>
            <w:tcW w:w="567" w:type="dxa"/>
            <w:shd w:val="clear" w:color="auto" w:fill="FEFAF8"/>
            <w:vAlign w:val="center"/>
          </w:tcPr>
          <w:p w14:paraId="6A6F0BA4" w14:textId="3D4C1678" w:rsidR="006D0BEE" w:rsidRPr="000F23E0" w:rsidRDefault="006D0BEE" w:rsidP="002D33EA">
            <w:pPr>
              <w:pStyle w:val="TableTextRight"/>
              <w:keepNext/>
              <w:keepLines/>
              <w:cnfStyle w:val="000000000000" w:firstRow="0" w:lastRow="0" w:firstColumn="0" w:lastColumn="0" w:oddVBand="0" w:evenVBand="0" w:oddHBand="0" w:evenHBand="0" w:firstRowFirstColumn="0" w:firstRowLastColumn="0" w:lastRowFirstColumn="0" w:lastRowLastColumn="0"/>
            </w:pPr>
            <w:r w:rsidRPr="000F23E0">
              <w:t>26.9</w:t>
            </w:r>
          </w:p>
        </w:tc>
        <w:tc>
          <w:tcPr>
            <w:tcW w:w="1134" w:type="dxa"/>
            <w:shd w:val="clear" w:color="auto" w:fill="FEFAF8"/>
            <w:vAlign w:val="center"/>
          </w:tcPr>
          <w:p w14:paraId="411E7855" w14:textId="77777777" w:rsidR="006D0BEE" w:rsidRPr="000F23E0" w:rsidRDefault="006D0BEE" w:rsidP="002D33EA">
            <w:pPr>
              <w:pStyle w:val="TableTextRight"/>
              <w:keepNext/>
              <w:keepLines/>
              <w:cnfStyle w:val="000000000000" w:firstRow="0" w:lastRow="0" w:firstColumn="0" w:lastColumn="0" w:oddVBand="0" w:evenVBand="0" w:oddHBand="0" w:evenHBand="0" w:firstRowFirstColumn="0" w:firstRowLastColumn="0" w:lastRowFirstColumn="0" w:lastRowLastColumn="0"/>
            </w:pPr>
            <w:r w:rsidRPr="000F23E0">
              <w:t>Recorded</w:t>
            </w:r>
          </w:p>
        </w:tc>
        <w:tc>
          <w:tcPr>
            <w:tcW w:w="1129" w:type="dxa"/>
            <w:shd w:val="clear" w:color="auto" w:fill="FEFAF8"/>
            <w:vAlign w:val="center"/>
          </w:tcPr>
          <w:p w14:paraId="48FB21FB" w14:textId="634F53D2" w:rsidR="006D0BEE" w:rsidRPr="000F23E0" w:rsidRDefault="006D0BEE" w:rsidP="002D33EA">
            <w:pPr>
              <w:pStyle w:val="TableTextRight"/>
              <w:keepNext/>
              <w:keepLines/>
              <w:cnfStyle w:val="000000000000" w:firstRow="0" w:lastRow="0" w:firstColumn="0" w:lastColumn="0" w:oddVBand="0" w:evenVBand="0" w:oddHBand="0" w:evenHBand="0" w:firstRowFirstColumn="0" w:firstRowLastColumn="0" w:lastRowFirstColumn="0" w:lastRowLastColumn="0"/>
            </w:pPr>
            <w:r w:rsidRPr="000F23E0">
              <w:t>FY2024–25</w:t>
            </w:r>
          </w:p>
        </w:tc>
      </w:tr>
      <w:tr w:rsidR="00EB7950" w:rsidRPr="000F23E0" w14:paraId="2F8D0B56" w14:textId="77777777" w:rsidTr="00955A88">
        <w:trPr>
          <w:trHeight w:val="197"/>
        </w:trPr>
        <w:tc>
          <w:tcPr>
            <w:cnfStyle w:val="001000000000" w:firstRow="0" w:lastRow="0" w:firstColumn="1" w:lastColumn="0" w:oddVBand="0" w:evenVBand="0" w:oddHBand="0" w:evenHBand="0" w:firstRowFirstColumn="0" w:firstRowLastColumn="0" w:lastRowFirstColumn="0" w:lastRowLastColumn="0"/>
            <w:tcW w:w="2356" w:type="dxa"/>
            <w:shd w:val="clear" w:color="auto" w:fill="FDF0E7"/>
          </w:tcPr>
          <w:p w14:paraId="090F0519" w14:textId="7581B31E" w:rsidR="006D0BEE" w:rsidRPr="000F23E0" w:rsidRDefault="006D0BEE" w:rsidP="002D33EA">
            <w:pPr>
              <w:pStyle w:val="TableTextLeft"/>
              <w:keepNext/>
              <w:keepLines/>
            </w:pPr>
            <w:r w:rsidRPr="000F23E0">
              <w:t>Environmental Water</w:t>
            </w:r>
            <w:r w:rsidR="00955A88" w:rsidRPr="000F23E0">
              <w:t xml:space="preserve"> </w:t>
            </w:r>
            <w:r w:rsidRPr="000F23E0">
              <w:t>Holdings</w:t>
            </w:r>
            <w:r w:rsidR="00955A88" w:rsidRPr="000F23E0">
              <w:t> </w:t>
            </w:r>
            <w:r w:rsidRPr="000F23E0">
              <w:t>Special</w:t>
            </w:r>
            <w:r w:rsidR="00955A88" w:rsidRPr="000F23E0">
              <w:t xml:space="preserve"> </w:t>
            </w:r>
            <w:r w:rsidRPr="000F23E0">
              <w:t>Account</w:t>
            </w:r>
          </w:p>
        </w:tc>
        <w:tc>
          <w:tcPr>
            <w:tcW w:w="3884" w:type="dxa"/>
            <w:shd w:val="clear" w:color="auto" w:fill="FEFAF8"/>
          </w:tcPr>
          <w:p w14:paraId="1F021CB8" w14:textId="713B46BE" w:rsidR="006D0BEE" w:rsidRPr="000F23E0" w:rsidRDefault="006D0BEE" w:rsidP="002D33EA">
            <w:pPr>
              <w:pStyle w:val="TableTextLeft"/>
              <w:keepNext/>
              <w:keepLines/>
              <w:cnfStyle w:val="000000000000" w:firstRow="0" w:lastRow="0" w:firstColumn="0" w:lastColumn="0" w:oddVBand="0" w:evenVBand="0" w:oddHBand="0" w:evenHBand="0" w:firstRowFirstColumn="0" w:firstRowLastColumn="0" w:lastRowFirstColumn="0" w:lastRowLastColumn="0"/>
            </w:pPr>
            <w:r w:rsidRPr="000F23E0">
              <w:t>Proportion of surface water allocation (in</w:t>
            </w:r>
            <w:r w:rsidR="00955A88" w:rsidRPr="000F23E0">
              <w:t> </w:t>
            </w:r>
            <w:r w:rsidRPr="000F23E0">
              <w:t>Commonwealth accounts) forfeited (per cent)</w:t>
            </w:r>
            <w:r w:rsidR="003874A0" w:rsidRPr="000F23E0">
              <w:t>(c)</w:t>
            </w:r>
          </w:p>
        </w:tc>
        <w:tc>
          <w:tcPr>
            <w:tcW w:w="567" w:type="dxa"/>
            <w:shd w:val="clear" w:color="auto" w:fill="FEFAF8"/>
            <w:vAlign w:val="center"/>
          </w:tcPr>
          <w:p w14:paraId="3E8F442B" w14:textId="3ABCC128" w:rsidR="006D0BEE" w:rsidRPr="000F23E0" w:rsidRDefault="006D0BEE" w:rsidP="002D33EA">
            <w:pPr>
              <w:pStyle w:val="TableTextRight"/>
              <w:keepNext/>
              <w:keepLines/>
              <w:cnfStyle w:val="000000000000" w:firstRow="0" w:lastRow="0" w:firstColumn="0" w:lastColumn="0" w:oddVBand="0" w:evenVBand="0" w:oddHBand="0" w:evenHBand="0" w:firstRowFirstColumn="0" w:firstRowLastColumn="0" w:lastRowFirstColumn="0" w:lastRowLastColumn="0"/>
            </w:pPr>
            <w:r w:rsidRPr="000F23E0">
              <w:t>&lt;5</w:t>
            </w:r>
          </w:p>
        </w:tc>
        <w:tc>
          <w:tcPr>
            <w:tcW w:w="1134" w:type="dxa"/>
            <w:shd w:val="clear" w:color="auto" w:fill="FEFAF8"/>
            <w:vAlign w:val="center"/>
          </w:tcPr>
          <w:p w14:paraId="1936FC2A" w14:textId="77777777" w:rsidR="006D0BEE" w:rsidRPr="000F23E0" w:rsidRDefault="006D0BEE" w:rsidP="002D33EA">
            <w:pPr>
              <w:pStyle w:val="TableTextRight"/>
              <w:keepNext/>
              <w:keepLines/>
              <w:cnfStyle w:val="000000000000" w:firstRow="0" w:lastRow="0" w:firstColumn="0" w:lastColumn="0" w:oddVBand="0" w:evenVBand="0" w:oddHBand="0" w:evenHBand="0" w:firstRowFirstColumn="0" w:firstRowLastColumn="0" w:lastRowFirstColumn="0" w:lastRowLastColumn="0"/>
            </w:pPr>
            <w:r w:rsidRPr="000F23E0">
              <w:t>Recorded</w:t>
            </w:r>
          </w:p>
        </w:tc>
        <w:tc>
          <w:tcPr>
            <w:tcW w:w="1129" w:type="dxa"/>
            <w:shd w:val="clear" w:color="auto" w:fill="FEFAF8"/>
            <w:vAlign w:val="center"/>
          </w:tcPr>
          <w:p w14:paraId="6D74A93A" w14:textId="668ABE7A" w:rsidR="006D0BEE" w:rsidRPr="000F23E0" w:rsidRDefault="006D0BEE" w:rsidP="002D33EA">
            <w:pPr>
              <w:pStyle w:val="TableTextRight"/>
              <w:keepNext/>
              <w:keepLines/>
              <w:cnfStyle w:val="000000000000" w:firstRow="0" w:lastRow="0" w:firstColumn="0" w:lastColumn="0" w:oddVBand="0" w:evenVBand="0" w:oddHBand="0" w:evenHBand="0" w:firstRowFirstColumn="0" w:firstRowLastColumn="0" w:lastRowFirstColumn="0" w:lastRowLastColumn="0"/>
            </w:pPr>
            <w:r w:rsidRPr="000F23E0">
              <w:t>FY2024–25</w:t>
            </w:r>
          </w:p>
        </w:tc>
      </w:tr>
    </w:tbl>
    <w:p w14:paraId="7F642BAF" w14:textId="77777777" w:rsidR="0087535C" w:rsidRPr="000F23E0" w:rsidRDefault="0087535C" w:rsidP="002D33EA">
      <w:pPr>
        <w:pStyle w:val="ChartandTableFootnoteAlpha"/>
        <w:keepNext/>
        <w:keepLines/>
        <w:numPr>
          <w:ilvl w:val="0"/>
          <w:numId w:val="52"/>
        </w:numPr>
      </w:pPr>
      <w:r w:rsidRPr="000F23E0">
        <w:t>Contribution to 450 GL/y target, in the financial year the entitlement was registered with the Commonwealth. </w:t>
      </w:r>
    </w:p>
    <w:p w14:paraId="40ECE7D6" w14:textId="77777777" w:rsidR="0087535C" w:rsidRPr="000F23E0" w:rsidRDefault="0087535C" w:rsidP="002D33EA">
      <w:pPr>
        <w:pStyle w:val="ChartandTableFootnoteAlpha"/>
        <w:keepNext/>
        <w:keepLines/>
      </w:pPr>
      <w:r w:rsidRPr="000F23E0">
        <w:t>The value stated here only reflects new registered acquisitions to the 450 GL/y target during the reporting period. It does not include entitlements that were reclassified from the Bridging the Gap (2,075 GL/y) target to the 450 GL/y target. </w:t>
      </w:r>
    </w:p>
    <w:p w14:paraId="5B86E1F8" w14:textId="77777777" w:rsidR="0087535C" w:rsidRPr="000F23E0" w:rsidRDefault="0087535C" w:rsidP="002D33EA">
      <w:pPr>
        <w:pStyle w:val="ChartandTableFootnoteAlpha"/>
        <w:keepNext/>
        <w:keepLines/>
      </w:pPr>
      <w:r w:rsidRPr="000F23E0">
        <w:t>Contribution to 2,075 GL/y target, in the financial year the entitlement was registered with the Commonwealth. </w:t>
      </w:r>
    </w:p>
    <w:p w14:paraId="4D6DD9E4" w14:textId="0B41F076" w:rsidR="000A129D" w:rsidRPr="000F23E0" w:rsidRDefault="000A129D" w:rsidP="002D33EA">
      <w:pPr>
        <w:keepNext/>
        <w:keepLines/>
        <w:shd w:val="clear" w:color="auto" w:fill="FFFFFF" w:themeFill="background1"/>
      </w:pPr>
      <w:r w:rsidRPr="000F23E0">
        <w:t xml:space="preserve">Water recovery data are validated between </w:t>
      </w:r>
      <w:r w:rsidR="00882002" w:rsidRPr="000F23E0">
        <w:t>DCCEEW</w:t>
      </w:r>
      <w:r w:rsidRPr="000F23E0">
        <w:t xml:space="preserve"> and the Murray</w:t>
      </w:r>
      <w:r w:rsidR="00804947" w:rsidRPr="000F23E0">
        <w:t>–</w:t>
      </w:r>
      <w:r w:rsidRPr="000F23E0">
        <w:t xml:space="preserve">Darling Basin Authority. Relevant details and data sources are regularly updated </w:t>
      </w:r>
      <w:r w:rsidR="008D1035" w:rsidRPr="000F23E0">
        <w:t xml:space="preserve">by DCCEEW </w:t>
      </w:r>
      <w:r w:rsidR="00602ACD" w:rsidRPr="000F23E0">
        <w:t>in</w:t>
      </w:r>
      <w:r w:rsidRPr="000F23E0">
        <w:t xml:space="preserve"> </w:t>
      </w:r>
      <w:r w:rsidR="00602ACD" w:rsidRPr="000F23E0">
        <w:t>progress updates on the Murray</w:t>
      </w:r>
      <w:r w:rsidR="00965AE7" w:rsidRPr="000F23E0">
        <w:t>–</w:t>
      </w:r>
      <w:r w:rsidR="00602ACD" w:rsidRPr="000F23E0">
        <w:t>Darling Basin water recovery</w:t>
      </w:r>
      <w:r w:rsidRPr="000F23E0">
        <w:t>.</w:t>
      </w:r>
    </w:p>
    <w:p w14:paraId="57933A8F" w14:textId="2887B593" w:rsidR="000C6EF3" w:rsidRPr="000F23E0" w:rsidRDefault="0024486F" w:rsidP="001166C4">
      <w:pPr>
        <w:shd w:val="clear" w:color="auto" w:fill="FFFFFF" w:themeFill="background1"/>
      </w:pPr>
      <w:r w:rsidRPr="000F23E0">
        <w:t>I</w:t>
      </w:r>
      <w:r w:rsidR="000A129D" w:rsidRPr="000F23E0">
        <w:t xml:space="preserve">nformation on the management of Commonwealth environment water is </w:t>
      </w:r>
      <w:r w:rsidRPr="000F23E0">
        <w:t>recorded by DCCEEW as part of regular</w:t>
      </w:r>
      <w:r w:rsidR="000A129D" w:rsidRPr="000F23E0">
        <w:t xml:space="preserve"> </w:t>
      </w:r>
      <w:hyperlink r:id="rId113" w:anchor="commonwealth-environmental-water-holdings" w:history="1">
        <w:r w:rsidRPr="000F23E0">
          <w:rPr>
            <w:rStyle w:val="Hyperlink"/>
          </w:rPr>
          <w:t>updates on water holdings</w:t>
        </w:r>
      </w:hyperlink>
      <w:r w:rsidR="000A129D" w:rsidRPr="000F23E0">
        <w:t>.</w:t>
      </w:r>
    </w:p>
    <w:p w14:paraId="733BEB92" w14:textId="5A5B571F" w:rsidR="000A129D" w:rsidRPr="000F23E0" w:rsidRDefault="00C841E0" w:rsidP="00425F03">
      <w:pPr>
        <w:pStyle w:val="Heading4"/>
      </w:pPr>
      <w:r w:rsidRPr="000F23E0">
        <w:t xml:space="preserve">Social </w:t>
      </w:r>
      <w:r w:rsidR="00027725" w:rsidRPr="000F23E0">
        <w:t>c</w:t>
      </w:r>
      <w:r w:rsidRPr="000F23E0">
        <w:t>o</w:t>
      </w:r>
      <w:r w:rsidR="002C4475" w:rsidRPr="000F23E0">
        <w:noBreakHyphen/>
      </w:r>
      <w:r w:rsidRPr="000F23E0">
        <w:t>benefits</w:t>
      </w:r>
    </w:p>
    <w:p w14:paraId="2C0EF065" w14:textId="3E095E9A" w:rsidR="00335CC3" w:rsidRPr="000F23E0" w:rsidRDefault="00335CC3" w:rsidP="00813C70">
      <w:r w:rsidRPr="000F23E0">
        <w:t>Current programs are designed to minimise adverse impacts, and the Australian Government is also working with the Basin governments to deliver the Sustainable Communities Program. This program provides funding to communities affected by water recovery to help diversify their economies, build</w:t>
      </w:r>
      <w:r w:rsidR="00955A88" w:rsidRPr="000F23E0">
        <w:t> </w:t>
      </w:r>
      <w:r w:rsidRPr="000F23E0">
        <w:t xml:space="preserve">resilience </w:t>
      </w:r>
      <w:r w:rsidR="00027725" w:rsidRPr="000F23E0">
        <w:t>and</w:t>
      </w:r>
      <w:r w:rsidRPr="000F23E0">
        <w:t xml:space="preserve"> capacity, prepare for a future with less water, and respond to local challenges and</w:t>
      </w:r>
      <w:r w:rsidR="00955A88" w:rsidRPr="000F23E0">
        <w:t> </w:t>
      </w:r>
      <w:r w:rsidRPr="000F23E0">
        <w:t xml:space="preserve">priorities. </w:t>
      </w:r>
    </w:p>
    <w:p w14:paraId="1DB5C050" w14:textId="5832654E" w:rsidR="00B36FDB" w:rsidRPr="000F23E0" w:rsidRDefault="00335CC3" w:rsidP="00C0014B">
      <w:r w:rsidRPr="000F23E0">
        <w:t>As part of the Basin Plan, the Government is fulfilling its commitment to increase First Nations Peoples</w:t>
      </w:r>
      <w:r w:rsidR="002C4475" w:rsidRPr="000F23E0">
        <w:t>’</w:t>
      </w:r>
      <w:r w:rsidRPr="000F23E0">
        <w:t xml:space="preserve"> ownership and access to water through the Murray</w:t>
      </w:r>
      <w:r w:rsidR="00C0014B" w:rsidRPr="000F23E0">
        <w:t>–</w:t>
      </w:r>
      <w:r w:rsidRPr="000F23E0">
        <w:t>Darling Basin Aboriginal Water Entitlements Program (AWEP). In the Murray</w:t>
      </w:r>
      <w:r w:rsidR="00C0014B" w:rsidRPr="000F23E0">
        <w:t>–</w:t>
      </w:r>
      <w:r w:rsidRPr="000F23E0">
        <w:t>Darling Basin water is a vital part of the connection to</w:t>
      </w:r>
      <w:r w:rsidR="0048145F" w:rsidRPr="000F23E0">
        <w:t> </w:t>
      </w:r>
      <w:r w:rsidRPr="000F23E0">
        <w:t>Country. However, the impacts of colonisation have deeply affected these communities</w:t>
      </w:r>
      <w:r w:rsidR="002C4475" w:rsidRPr="000F23E0">
        <w:t>’</w:t>
      </w:r>
      <w:r w:rsidRPr="000F23E0">
        <w:t xml:space="preserve"> access to</w:t>
      </w:r>
      <w:r w:rsidR="0048145F" w:rsidRPr="000F23E0">
        <w:t> </w:t>
      </w:r>
      <w:r w:rsidRPr="000F23E0">
        <w:t>water.</w:t>
      </w:r>
    </w:p>
    <w:p w14:paraId="2AEBC4AF" w14:textId="77777777" w:rsidR="00955A88" w:rsidRPr="000F23E0" w:rsidRDefault="00955A88" w:rsidP="0048145F">
      <w:bookmarkStart w:id="373" w:name="_Toc188028336"/>
    </w:p>
    <w:p w14:paraId="0CAE3DCB" w14:textId="77777777" w:rsidR="00955A88" w:rsidRPr="000F23E0" w:rsidRDefault="00955A88" w:rsidP="0048145F">
      <w:pPr>
        <w:sectPr w:rsidR="00955A88" w:rsidRPr="000F23E0" w:rsidSect="00D461D1">
          <w:footnotePr>
            <w:numFmt w:val="lowerLetter"/>
          </w:footnotePr>
          <w:endnotePr>
            <w:numFmt w:val="decimal"/>
          </w:endnotePr>
          <w:pgSz w:w="11906" w:h="16838" w:code="9"/>
          <w:pgMar w:top="1843" w:right="1418" w:bottom="1418" w:left="1418" w:header="709" w:footer="709" w:gutter="0"/>
          <w:cols w:space="708"/>
          <w:docGrid w:linePitch="360"/>
        </w:sectPr>
      </w:pPr>
    </w:p>
    <w:p w14:paraId="09415E06" w14:textId="3A905169" w:rsidR="00EA632B" w:rsidRPr="000F23E0" w:rsidRDefault="00D3586C" w:rsidP="00557D2D">
      <w:pPr>
        <w:pStyle w:val="Heading1"/>
      </w:pPr>
      <w:bookmarkStart w:id="374" w:name="_Toc225155804"/>
      <w:r w:rsidRPr="000F23E0">
        <w:lastRenderedPageBreak/>
        <w:t xml:space="preserve">Chapter 9: </w:t>
      </w:r>
      <w:r w:rsidR="00EA632B" w:rsidRPr="000F23E0">
        <w:t xml:space="preserve">Circular </w:t>
      </w:r>
      <w:r w:rsidR="0016612D" w:rsidRPr="000F23E0">
        <w:t>e</w:t>
      </w:r>
      <w:r w:rsidR="00187649" w:rsidRPr="000F23E0">
        <w:t>conomy</w:t>
      </w:r>
      <w:bookmarkEnd w:id="374"/>
    </w:p>
    <w:p w14:paraId="3B5B0A8B" w14:textId="6938DAAB" w:rsidR="003F5E03" w:rsidRPr="000F23E0" w:rsidRDefault="003F5E03" w:rsidP="00C807A1">
      <w:r w:rsidRPr="000F23E0">
        <w:t>A circular economy keeps products and materials in use for as long as possible by prioritising reuse, repair and recycling</w:t>
      </w:r>
      <w:r w:rsidR="0016612D" w:rsidRPr="000F23E0">
        <w:t>. This</w:t>
      </w:r>
      <w:r w:rsidRPr="000F23E0">
        <w:t xml:space="preserve"> </w:t>
      </w:r>
      <w:r w:rsidR="0016612D" w:rsidRPr="000F23E0">
        <w:t xml:space="preserve">minimises </w:t>
      </w:r>
      <w:r w:rsidRPr="000F23E0">
        <w:t xml:space="preserve">waste and </w:t>
      </w:r>
      <w:r w:rsidR="0016612D" w:rsidRPr="000F23E0">
        <w:t xml:space="preserve">improves </w:t>
      </w:r>
      <w:r w:rsidRPr="000F23E0">
        <w:t>resource efficiency. Australia is aiming to double its circularity by 2035, signalling a shift in use, recover</w:t>
      </w:r>
      <w:r w:rsidR="00BB1A84" w:rsidRPr="000F23E0">
        <w:t>y</w:t>
      </w:r>
      <w:r w:rsidRPr="000F23E0">
        <w:t xml:space="preserve"> and regenerat</w:t>
      </w:r>
      <w:r w:rsidR="00BB1A84" w:rsidRPr="000F23E0">
        <w:t>ion of</w:t>
      </w:r>
      <w:r w:rsidRPr="000F23E0">
        <w:t xml:space="preserve"> </w:t>
      </w:r>
      <w:r w:rsidR="00BB1A84" w:rsidRPr="000F23E0">
        <w:t>resources</w:t>
      </w:r>
      <w:r w:rsidRPr="000F23E0">
        <w:t xml:space="preserve"> across the economy. This transition creates a growing pipeline of projects that can be financed through </w:t>
      </w:r>
      <w:r w:rsidR="004A3946" w:rsidRPr="000F23E0">
        <w:t>GTB</w:t>
      </w:r>
      <w:r w:rsidRPr="000F23E0">
        <w:t>s, particularly those that reduce waste, extend product lifecycles or enable the recovery of materials</w:t>
      </w:r>
      <w:r w:rsidR="0009502D" w:rsidRPr="000F23E0">
        <w:t>.</w:t>
      </w:r>
    </w:p>
    <w:p w14:paraId="2992A6C8" w14:textId="1056294F" w:rsidR="00EA2F8E" w:rsidRPr="000F23E0" w:rsidRDefault="00896D75" w:rsidP="00C807A1">
      <w:r w:rsidRPr="000F23E0">
        <w:t>Australia</w:t>
      </w:r>
      <w:r w:rsidR="002C4475" w:rsidRPr="000F23E0">
        <w:t>’</w:t>
      </w:r>
      <w:r w:rsidRPr="000F23E0">
        <w:t>s Circular Economy Framework identifies priority areas for increasing circularity across industry, built environment, food and agriculture, and resources sectors. These areas align closely with</w:t>
      </w:r>
      <w:r w:rsidR="00C71B7B" w:rsidRPr="000F23E0">
        <w:t> </w:t>
      </w:r>
      <w:r w:rsidR="004A3946" w:rsidRPr="000F23E0">
        <w:t>GTB</w:t>
      </w:r>
      <w:r w:rsidRPr="000F23E0">
        <w:t xml:space="preserve"> </w:t>
      </w:r>
      <w:r w:rsidR="0088492F" w:rsidRPr="000F23E0">
        <w:t>Eligible Green Expenditures</w:t>
      </w:r>
      <w:r w:rsidRPr="000F23E0">
        <w:t>, including sustainable materials management, waste reduction infrastructure and technologies that support reuse and recycling. Achieving the national target of doubling circularity would:</w:t>
      </w:r>
    </w:p>
    <w:p w14:paraId="2082D45B" w14:textId="5339C588" w:rsidR="0065407E" w:rsidRPr="000F23E0" w:rsidRDefault="0009502D" w:rsidP="0065407E">
      <w:pPr>
        <w:pStyle w:val="Bullet"/>
      </w:pPr>
      <w:r w:rsidRPr="000F23E0">
        <w:t>a</w:t>
      </w:r>
      <w:r w:rsidR="0065407E" w:rsidRPr="000F23E0">
        <w:t xml:space="preserve">dd </w:t>
      </w:r>
      <w:r w:rsidR="00255CC1" w:rsidRPr="000F23E0">
        <w:t>up to</w:t>
      </w:r>
      <w:r w:rsidR="0065407E" w:rsidRPr="000F23E0">
        <w:t xml:space="preserve"> $26 billion in Gross Domestic Product each year by 2035</w:t>
      </w:r>
    </w:p>
    <w:p w14:paraId="24C632E4" w14:textId="6A5BCA38" w:rsidR="0065407E" w:rsidRPr="000F23E0" w:rsidRDefault="0009502D" w:rsidP="0065407E">
      <w:pPr>
        <w:pStyle w:val="Bullet"/>
      </w:pPr>
      <w:r w:rsidRPr="000F23E0">
        <w:t>r</w:t>
      </w:r>
      <w:r w:rsidR="0065407E" w:rsidRPr="000F23E0">
        <w:t xml:space="preserve">educe greenhouse gas emissions by </w:t>
      </w:r>
      <w:r w:rsidR="00255CC1" w:rsidRPr="000F23E0">
        <w:t xml:space="preserve">up to </w:t>
      </w:r>
      <w:r w:rsidR="0065407E" w:rsidRPr="000F23E0">
        <w:t>14 per cent by 2035</w:t>
      </w:r>
    </w:p>
    <w:p w14:paraId="203B1823" w14:textId="5E69C20C" w:rsidR="0065407E" w:rsidRPr="000F23E0" w:rsidRDefault="0009502D" w:rsidP="0065407E">
      <w:pPr>
        <w:pStyle w:val="Bullet"/>
      </w:pPr>
      <w:r w:rsidRPr="000F23E0">
        <w:t>d</w:t>
      </w:r>
      <w:r w:rsidR="0065407E" w:rsidRPr="000F23E0">
        <w:t xml:space="preserve">ivert </w:t>
      </w:r>
      <w:r w:rsidR="00255CC1" w:rsidRPr="000F23E0">
        <w:t xml:space="preserve">up to </w:t>
      </w:r>
      <w:r w:rsidR="0065407E" w:rsidRPr="000F23E0">
        <w:t>26 million tonnes of materials from landfill each year.</w:t>
      </w:r>
    </w:p>
    <w:p w14:paraId="48EBACFA" w14:textId="35D50AF4" w:rsidR="004724CB" w:rsidRPr="000F23E0" w:rsidRDefault="004724CB" w:rsidP="00C807A1">
      <w:r w:rsidRPr="000F23E0">
        <w:t>A more circular economy will contribute to Australia</w:t>
      </w:r>
      <w:r w:rsidR="002C4475" w:rsidRPr="000F23E0">
        <w:t>’</w:t>
      </w:r>
      <w:r w:rsidRPr="000F23E0">
        <w:t xml:space="preserve">s climate strategy by reducing emissions across the full lifecycle of materials and products. </w:t>
      </w:r>
      <w:r w:rsidR="0009502D" w:rsidRPr="000F23E0">
        <w:t>Circular practices lower the demand for energy intensive extraction and manufacturing b</w:t>
      </w:r>
      <w:r w:rsidRPr="000F23E0">
        <w:t>y designing out waste, extending product lifespans and increasing the recovery and reuse of materials. This reduces upstream emissions, avoids landfill</w:t>
      </w:r>
      <w:r w:rsidR="002C4475" w:rsidRPr="000F23E0">
        <w:noBreakHyphen/>
      </w:r>
      <w:r w:rsidRPr="000F23E0">
        <w:t xml:space="preserve">related emissions and supports broader emissions reduction targets. These benefits strengthen the case for </w:t>
      </w:r>
      <w:r w:rsidR="002812EC" w:rsidRPr="000F23E0">
        <w:t>GTB</w:t>
      </w:r>
      <w:r w:rsidRPr="000F23E0">
        <w:t xml:space="preserve"> </w:t>
      </w:r>
      <w:r w:rsidR="0009502D" w:rsidRPr="000F23E0">
        <w:t xml:space="preserve">projects </w:t>
      </w:r>
      <w:r w:rsidRPr="000F23E0">
        <w:t>financing that enable</w:t>
      </w:r>
      <w:r w:rsidR="0009502D" w:rsidRPr="000F23E0">
        <w:t>s</w:t>
      </w:r>
      <w:r w:rsidRPr="000F23E0">
        <w:t xml:space="preserve"> material efficiency, recycling infrastructure and low</w:t>
      </w:r>
      <w:r w:rsidR="002C4475" w:rsidRPr="000F23E0">
        <w:noBreakHyphen/>
      </w:r>
      <w:r w:rsidRPr="000F23E0">
        <w:t>carbon production</w:t>
      </w:r>
      <w:r w:rsidR="00C71B7B" w:rsidRPr="000F23E0">
        <w:t> </w:t>
      </w:r>
      <w:r w:rsidRPr="000F23E0">
        <w:t>systems.</w:t>
      </w:r>
    </w:p>
    <w:p w14:paraId="3BAC4284" w14:textId="77777777" w:rsidR="00EF58BA" w:rsidRPr="000F23E0" w:rsidRDefault="00DC3C1D" w:rsidP="00C32E41">
      <w:r w:rsidRPr="000F23E0">
        <w:t xml:space="preserve">The Australian Government is supporting several </w:t>
      </w:r>
      <w:r w:rsidR="00072C5B" w:rsidRPr="000F23E0">
        <w:t>circular economy</w:t>
      </w:r>
      <w:r w:rsidR="001330DD" w:rsidRPr="000F23E0">
        <w:t xml:space="preserve"> </w:t>
      </w:r>
      <w:r w:rsidR="00072C5B" w:rsidRPr="000F23E0">
        <w:t>initiatives</w:t>
      </w:r>
      <w:r w:rsidR="00EF58BA" w:rsidRPr="000F23E0">
        <w:t>.</w:t>
      </w:r>
    </w:p>
    <w:p w14:paraId="0DD1D713" w14:textId="2060189C" w:rsidR="00165314" w:rsidRPr="000F23E0" w:rsidRDefault="00EF58BA" w:rsidP="00EF58BA">
      <w:pPr>
        <w:pStyle w:val="Bullet"/>
      </w:pPr>
      <w:r w:rsidRPr="000F23E0">
        <w:t>The ReMade in Australia scheme enables consumers, businesses and governments to identify genuine, certified products and projects that use recycled content made or constructed in</w:t>
      </w:r>
      <w:r w:rsidR="00C71B7B" w:rsidRPr="000F23E0">
        <w:t> </w:t>
      </w:r>
      <w:r w:rsidRPr="000F23E0">
        <w:t>Australia.</w:t>
      </w:r>
    </w:p>
    <w:p w14:paraId="2E6F5E0E" w14:textId="72F2329D" w:rsidR="00165314" w:rsidRPr="000F23E0" w:rsidRDefault="00165314" w:rsidP="00EF58BA">
      <w:pPr>
        <w:pStyle w:val="Bullet"/>
      </w:pPr>
      <w:r w:rsidRPr="000F23E0">
        <w:t>T</w:t>
      </w:r>
      <w:r w:rsidR="00EF58BA" w:rsidRPr="000F23E0">
        <w:t>he Government</w:t>
      </w:r>
      <w:r w:rsidR="002C4475" w:rsidRPr="000F23E0">
        <w:t>’</w:t>
      </w:r>
      <w:r w:rsidR="00EF58BA" w:rsidRPr="000F23E0">
        <w:t>s Environmentally Sustainable Procurement policy encourages public sector purchasing of low</w:t>
      </w:r>
      <w:r w:rsidR="0009502D" w:rsidRPr="000F23E0">
        <w:t xml:space="preserve"> waste</w:t>
      </w:r>
      <w:r w:rsidR="00EF58BA" w:rsidRPr="000F23E0">
        <w:t>, recycled and responsibly sourced materials, helping to stimulate demand for circular products and services.</w:t>
      </w:r>
    </w:p>
    <w:p w14:paraId="3110AF39" w14:textId="77777777" w:rsidR="00862C5F" w:rsidRPr="000F23E0" w:rsidRDefault="00165314" w:rsidP="00EF58BA">
      <w:pPr>
        <w:pStyle w:val="Bullet"/>
      </w:pPr>
      <w:r w:rsidRPr="000F23E0">
        <w:t xml:space="preserve">DCCEEW </w:t>
      </w:r>
      <w:r w:rsidR="00EF58BA" w:rsidRPr="000F23E0">
        <w:t>has also developed the National Framework for Recycled Content Traceability, improving transparency across supply chains and enabling better verification of recycled content, material recovery and end of life outcomes.</w:t>
      </w:r>
    </w:p>
    <w:p w14:paraId="5213C3AA" w14:textId="16D58F9C" w:rsidR="00165314" w:rsidRPr="000F23E0" w:rsidRDefault="00EF58BA" w:rsidP="00862C5F">
      <w:r w:rsidRPr="000F23E0">
        <w:t xml:space="preserve">Together, these initiatives create a more supportive environment for </w:t>
      </w:r>
      <w:r w:rsidR="002812EC" w:rsidRPr="000F23E0">
        <w:t>GTB</w:t>
      </w:r>
      <w:r w:rsidRPr="000F23E0">
        <w:t xml:space="preserve"> eligible projects that advance circularity, resource efficiency and low carbon material systems.</w:t>
      </w:r>
    </w:p>
    <w:p w14:paraId="0FF21A06" w14:textId="41753787" w:rsidR="00F572C5" w:rsidRPr="000F23E0" w:rsidRDefault="00611CEF" w:rsidP="00DF42CB">
      <w:r w:rsidRPr="000F23E0">
        <w:t>GTB</w:t>
      </w:r>
      <w:r w:rsidR="00180BAB" w:rsidRPr="000F23E0">
        <w:t>s are financing the circular economy through</w:t>
      </w:r>
      <w:r w:rsidR="001330DD" w:rsidRPr="000F23E0">
        <w:t xml:space="preserve"> the Recycling </w:t>
      </w:r>
      <w:r w:rsidR="00D253E2" w:rsidRPr="000F23E0">
        <w:t xml:space="preserve">Modernisation </w:t>
      </w:r>
      <w:r w:rsidR="001330DD" w:rsidRPr="000F23E0">
        <w:t>Fund</w:t>
      </w:r>
      <w:r w:rsidR="002E3841" w:rsidRPr="000F23E0">
        <w:t xml:space="preserve">, </w:t>
      </w:r>
      <w:r w:rsidR="00FD37C1" w:rsidRPr="000F23E0">
        <w:t>a national initiative expanding Australia</w:t>
      </w:r>
      <w:r w:rsidR="002C4475" w:rsidRPr="000F23E0">
        <w:t>’</w:t>
      </w:r>
      <w:r w:rsidR="00FD37C1" w:rsidRPr="000F23E0">
        <w:t>s capacity to sort, process and remanufacture glass, plastic, tyres, paper and cardboard.</w:t>
      </w:r>
    </w:p>
    <w:p w14:paraId="20B0C12B" w14:textId="77777777" w:rsidR="0075243C" w:rsidRPr="000F23E0" w:rsidRDefault="00EA632B" w:rsidP="00B424DA">
      <w:pPr>
        <w:pStyle w:val="Heading2"/>
      </w:pPr>
      <w:bookmarkStart w:id="375" w:name="_Toc225155805"/>
      <w:r w:rsidRPr="000F23E0">
        <w:lastRenderedPageBreak/>
        <w:t>Recycling Modernisation Fund</w:t>
      </w:r>
      <w:bookmarkEnd w:id="375"/>
    </w:p>
    <w:p w14:paraId="38B4C803" w14:textId="553109F2" w:rsidR="00321FDC" w:rsidRPr="000F23E0" w:rsidRDefault="00321FDC" w:rsidP="00321FDC">
      <w:r w:rsidRPr="000F23E0">
        <w:t>The Recycling Modernisation Fund (RMF) is a national initiative that is expanding Australia</w:t>
      </w:r>
      <w:r w:rsidR="002C4475" w:rsidRPr="000F23E0">
        <w:t>’</w:t>
      </w:r>
      <w:r w:rsidRPr="000F23E0">
        <w:t xml:space="preserve">s capacity to sort, process and remanufacture waste materials that are subject to export regulations under the </w:t>
      </w:r>
      <w:r w:rsidRPr="000F23E0">
        <w:rPr>
          <w:i/>
        </w:rPr>
        <w:t>Recycling and Waste Reduction Act 2020</w:t>
      </w:r>
      <w:r w:rsidR="002C4475" w:rsidRPr="000F23E0">
        <w:t xml:space="preserve">. </w:t>
      </w:r>
    </w:p>
    <w:p w14:paraId="0D365DF9" w14:textId="77777777" w:rsidR="003640E0" w:rsidRPr="000F23E0" w:rsidRDefault="003640E0" w:rsidP="003640E0">
      <w:r w:rsidRPr="000F23E0">
        <w:t>The Australian Government is contributing over $200 million towards new and upgraded recycling infrastructure projects through the RMF. The RMF will see $1 billion of investment in recycling infrastructure, with contributions from the states and territories and industry.</w:t>
      </w:r>
    </w:p>
    <w:p w14:paraId="1BB2B97C" w14:textId="2002AD9E" w:rsidR="00321FDC" w:rsidRPr="000F23E0" w:rsidRDefault="00321FDC" w:rsidP="00321FDC">
      <w:r w:rsidRPr="000F23E0">
        <w:t>The objective of the RMF is to improve recycling outcomes by addressing critical infrastructure gaps in Australia</w:t>
      </w:r>
      <w:r w:rsidR="002C4475" w:rsidRPr="000F23E0">
        <w:t>’</w:t>
      </w:r>
      <w:r w:rsidRPr="000F23E0">
        <w:t xml:space="preserve">s waste management and resource recovery system. This is achieved by increasing the supply of quality recycled materials available for use and increasing the capacity for domestic sorting, processing and manufacturing of waste glass, plastic, tyres, paper and cardboard. </w:t>
      </w:r>
    </w:p>
    <w:p w14:paraId="31D25DED" w14:textId="380027C8" w:rsidR="00321FDC" w:rsidRPr="000F23E0" w:rsidRDefault="00321FDC" w:rsidP="00321FDC">
      <w:r w:rsidRPr="000F23E0">
        <w:t>The Australian Government</w:t>
      </w:r>
      <w:r w:rsidR="002C4475" w:rsidRPr="000F23E0">
        <w:t>’</w:t>
      </w:r>
      <w:r w:rsidRPr="000F23E0">
        <w:t>s investment in recycling infrastructure through the RMF is supporting the</w:t>
      </w:r>
      <w:r w:rsidR="00C71B7B" w:rsidRPr="000F23E0">
        <w:t> </w:t>
      </w:r>
      <w:r w:rsidRPr="000F23E0">
        <w:t>transition to a safe, circular economy, through addressing critical gaps in our domestic recycling capacity. The additional recycling capacity funded by the RMF supports Australia</w:t>
      </w:r>
      <w:r w:rsidR="002C4475" w:rsidRPr="000F23E0">
        <w:t>’</w:t>
      </w:r>
      <w:r w:rsidRPr="000F23E0">
        <w:t xml:space="preserve">s transition to a circular economy by allowing more products to be reused, recycled or remanufactured when they are no longer useful or required for their initial purpose. </w:t>
      </w:r>
    </w:p>
    <w:p w14:paraId="3890D549" w14:textId="4025D403" w:rsidR="00EA632B" w:rsidRPr="000F23E0" w:rsidRDefault="00425F03" w:rsidP="00F55854">
      <w:r w:rsidRPr="000F23E0">
        <w:t>DCCEEW</w:t>
      </w:r>
      <w:r w:rsidR="00321FDC" w:rsidRPr="000F23E0">
        <w:t xml:space="preserve"> administers the RMF in partnership with the States and Territories through the Federal Financial Relations framework.</w:t>
      </w:r>
    </w:p>
    <w:p w14:paraId="6C4AB07D" w14:textId="6461D745" w:rsidR="003A469B" w:rsidRPr="000F23E0" w:rsidRDefault="003A469B" w:rsidP="003A469B">
      <w:pPr>
        <w:pStyle w:val="Heading3"/>
      </w:pPr>
      <w:r w:rsidRPr="000F23E0">
        <w:t>Green Treasury Bond allocation</w:t>
      </w:r>
    </w:p>
    <w:p w14:paraId="0AD8A7CB" w14:textId="05D93223" w:rsidR="00592680" w:rsidRPr="000F23E0" w:rsidRDefault="00611CEF" w:rsidP="003A469B">
      <w:r w:rsidRPr="000F23E0">
        <w:t>GTB</w:t>
      </w:r>
      <w:r w:rsidR="00592680" w:rsidRPr="000F23E0">
        <w:t>s contributed $17.8 million over 2024</w:t>
      </w:r>
      <w:r w:rsidR="00ED5506" w:rsidRPr="000F23E0">
        <w:t>–</w:t>
      </w:r>
      <w:r w:rsidR="00592680" w:rsidRPr="000F23E0">
        <w:t xml:space="preserve">25 to the Recycling Modernisation Fund </w:t>
      </w:r>
      <w:r w:rsidR="00325093" w:rsidRPr="000F23E0">
        <w:t xml:space="preserve">(RMF) </w:t>
      </w:r>
      <w:r w:rsidR="00592680" w:rsidRPr="000F23E0">
        <w:t>(</w:t>
      </w:r>
      <w:r w:rsidR="00A04537" w:rsidRPr="000F23E0">
        <w:t>Table 4</w:t>
      </w:r>
      <w:r w:rsidR="00D05E71" w:rsidRPr="000F23E0">
        <w:t>1</w:t>
      </w:r>
      <w:r w:rsidR="00592680" w:rsidRPr="000F23E0">
        <w:t>).</w:t>
      </w:r>
    </w:p>
    <w:p w14:paraId="1D731FEA" w14:textId="6EDC2E9D" w:rsidR="008467BD" w:rsidRPr="000F23E0" w:rsidRDefault="008467BD" w:rsidP="00551F72">
      <w:pPr>
        <w:pStyle w:val="TableMainHeading"/>
      </w:pPr>
      <w:bookmarkStart w:id="376" w:name="_Toc220662899"/>
      <w:bookmarkStart w:id="377" w:name="_Toc224637855"/>
      <w:bookmarkStart w:id="378" w:name="_Toc224642519"/>
      <w:bookmarkStart w:id="379" w:name="_Toc225153495"/>
      <w:bookmarkStart w:id="380" w:name="_Toc225154541"/>
      <w:bookmarkStart w:id="381" w:name="_Toc225155806"/>
      <w:r w:rsidRPr="000F23E0">
        <w:t xml:space="preserve">Table </w:t>
      </w:r>
      <w:r w:rsidR="00A04537" w:rsidRPr="000F23E0">
        <w:t>4</w:t>
      </w:r>
      <w:r w:rsidR="0068550D" w:rsidRPr="000F23E0">
        <w:t>1:</w:t>
      </w:r>
      <w:r w:rsidRPr="000F23E0">
        <w:t xml:space="preserve"> Allocation Data for the Recycling Modernisation Fund ($ million)</w:t>
      </w:r>
      <w:bookmarkEnd w:id="376"/>
      <w:bookmarkEnd w:id="377"/>
      <w:bookmarkEnd w:id="378"/>
      <w:bookmarkEnd w:id="379"/>
      <w:bookmarkEnd w:id="380"/>
      <w:bookmarkEnd w:id="381"/>
    </w:p>
    <w:tbl>
      <w:tblPr>
        <w:tblStyle w:val="GridTable4-Accent2"/>
        <w:tblW w:w="5000" w:type="pct"/>
        <w:tblInd w:w="5" w:type="dxa"/>
        <w:tblBorders>
          <w:top w:val="single" w:sz="4" w:space="0" w:color="DFA795"/>
          <w:bottom w:val="single" w:sz="4" w:space="0" w:color="DFA795"/>
          <w:insideH w:val="single" w:sz="4" w:space="0" w:color="DFA795"/>
        </w:tblBorders>
        <w:tblLayout w:type="fixed"/>
        <w:tblLook w:val="04A0" w:firstRow="1" w:lastRow="0" w:firstColumn="1" w:lastColumn="0" w:noHBand="0" w:noVBand="1"/>
      </w:tblPr>
      <w:tblGrid>
        <w:gridCol w:w="2972"/>
        <w:gridCol w:w="1134"/>
        <w:gridCol w:w="1418"/>
        <w:gridCol w:w="2268"/>
        <w:gridCol w:w="1278"/>
      </w:tblGrid>
      <w:tr w:rsidR="002D1788" w:rsidRPr="000F23E0" w14:paraId="5A708222" w14:textId="77777777" w:rsidTr="00935B36">
        <w:trPr>
          <w:cnfStyle w:val="100000000000" w:firstRow="1" w:lastRow="0" w:firstColumn="0" w:lastColumn="0" w:oddVBand="0" w:evenVBand="0" w:oddHBand="0" w:evenHBand="0" w:firstRowFirstColumn="0" w:firstRowLastColumn="0" w:lastRowFirstColumn="0" w:lastRowLastColumn="0"/>
          <w:trHeight w:val="477"/>
        </w:trPr>
        <w:tc>
          <w:tcPr>
            <w:cnfStyle w:val="001000000000" w:firstRow="0" w:lastRow="0" w:firstColumn="1" w:lastColumn="0" w:oddVBand="0" w:evenVBand="0" w:oddHBand="0" w:evenHBand="0" w:firstRowFirstColumn="0" w:firstRowLastColumn="0" w:lastRowFirstColumn="0" w:lastRowLastColumn="0"/>
            <w:tcW w:w="2972" w:type="dxa"/>
            <w:shd w:val="clear" w:color="auto" w:fill="F1D0C6"/>
          </w:tcPr>
          <w:p w14:paraId="45AB3F10" w14:textId="2CEF4332" w:rsidR="002D1788" w:rsidRPr="000F23E0" w:rsidRDefault="001A0E66" w:rsidP="00284B7E">
            <w:pPr>
              <w:pStyle w:val="TableColumnHeadingLeft"/>
              <w:rPr>
                <w:b/>
                <w:bCs w:val="0"/>
              </w:rPr>
            </w:pPr>
            <w:r w:rsidRPr="000F23E0">
              <w:rPr>
                <w:b/>
                <w:bCs w:val="0"/>
              </w:rPr>
              <w:t>Eligible Green</w:t>
            </w:r>
            <w:r w:rsidR="00284B7E" w:rsidRPr="000F23E0">
              <w:rPr>
                <w:b/>
                <w:bCs w:val="0"/>
              </w:rPr>
              <w:br/>
            </w:r>
            <w:r w:rsidRPr="000F23E0">
              <w:rPr>
                <w:b/>
                <w:bCs w:val="0"/>
              </w:rPr>
              <w:t>Expenditure</w:t>
            </w:r>
          </w:p>
        </w:tc>
        <w:tc>
          <w:tcPr>
            <w:tcW w:w="1134" w:type="dxa"/>
            <w:shd w:val="clear" w:color="auto" w:fill="F1D0C6"/>
          </w:tcPr>
          <w:p w14:paraId="4E690CB8" w14:textId="674F2B76" w:rsidR="002D1788" w:rsidRPr="000F23E0" w:rsidRDefault="002D1788" w:rsidP="00284B7E">
            <w:pPr>
              <w:pStyle w:val="TableColumnHeadingRight"/>
              <w:cnfStyle w:val="100000000000" w:firstRow="1" w:lastRow="0" w:firstColumn="0" w:lastColumn="0" w:oddVBand="0" w:evenVBand="0" w:oddHBand="0" w:evenHBand="0" w:firstRowFirstColumn="0" w:firstRowLastColumn="0" w:lastRowFirstColumn="0" w:lastRowLastColumn="0"/>
              <w:rPr>
                <w:b/>
              </w:rPr>
            </w:pPr>
            <w:r w:rsidRPr="000F23E0">
              <w:rPr>
                <w:b/>
              </w:rPr>
              <w:t>2024</w:t>
            </w:r>
            <w:r w:rsidR="00ED5506" w:rsidRPr="000F23E0">
              <w:rPr>
                <w:b/>
              </w:rPr>
              <w:t>–</w:t>
            </w:r>
            <w:r w:rsidRPr="000F23E0">
              <w:rPr>
                <w:b/>
              </w:rPr>
              <w:t xml:space="preserve">25 Expenditure </w:t>
            </w:r>
          </w:p>
        </w:tc>
        <w:tc>
          <w:tcPr>
            <w:tcW w:w="1418" w:type="dxa"/>
            <w:shd w:val="clear" w:color="auto" w:fill="F1D0C6"/>
          </w:tcPr>
          <w:p w14:paraId="63A431AC" w14:textId="71BD2D3D" w:rsidR="002D1788" w:rsidRPr="000F23E0" w:rsidRDefault="00EA0F10" w:rsidP="00284B7E">
            <w:pPr>
              <w:pStyle w:val="TableColumnHeadingRight"/>
              <w:cnfStyle w:val="100000000000" w:firstRow="1" w:lastRow="0" w:firstColumn="0" w:lastColumn="0" w:oddVBand="0" w:evenVBand="0" w:oddHBand="0" w:evenHBand="0" w:firstRowFirstColumn="0" w:firstRowLastColumn="0" w:lastRowFirstColumn="0" w:lastRowLastColumn="0"/>
              <w:rPr>
                <w:b/>
              </w:rPr>
            </w:pPr>
            <w:r w:rsidRPr="000F23E0">
              <w:rPr>
                <w:b/>
              </w:rPr>
              <w:t>Allocation 2026</w:t>
            </w:r>
            <w:r w:rsidR="00935B36" w:rsidRPr="000F23E0">
              <w:rPr>
                <w:b/>
              </w:rPr>
              <w:t> </w:t>
            </w:r>
            <w:r w:rsidRPr="000F23E0">
              <w:rPr>
                <w:b/>
              </w:rPr>
              <w:t>Report</w:t>
            </w:r>
            <w:r w:rsidR="002D1788" w:rsidRPr="000F23E0">
              <w:rPr>
                <w:b/>
              </w:rPr>
              <w:t xml:space="preserve"> </w:t>
            </w:r>
          </w:p>
        </w:tc>
        <w:tc>
          <w:tcPr>
            <w:tcW w:w="2268" w:type="dxa"/>
            <w:shd w:val="clear" w:color="auto" w:fill="F1D0C6"/>
          </w:tcPr>
          <w:p w14:paraId="57BBB2EA" w14:textId="4656C8DB" w:rsidR="002D1788" w:rsidRPr="000F23E0" w:rsidRDefault="002D1788" w:rsidP="00284B7E">
            <w:pPr>
              <w:pStyle w:val="TableColumnHeadingRight"/>
              <w:cnfStyle w:val="100000000000" w:firstRow="1" w:lastRow="0" w:firstColumn="0" w:lastColumn="0" w:oddVBand="0" w:evenVBand="0" w:oddHBand="0" w:evenHBand="0" w:firstRowFirstColumn="0" w:firstRowLastColumn="0" w:lastRowFirstColumn="0" w:lastRowLastColumn="0"/>
              <w:rPr>
                <w:b/>
              </w:rPr>
            </w:pPr>
            <w:r w:rsidRPr="000F23E0">
              <w:rPr>
                <w:b/>
              </w:rPr>
              <w:t>Total Australian Government</w:t>
            </w:r>
            <w:r w:rsidR="00935B36" w:rsidRPr="000F23E0">
              <w:rPr>
                <w:b/>
              </w:rPr>
              <w:t> </w:t>
            </w:r>
            <w:r w:rsidRPr="000F23E0">
              <w:rPr>
                <w:b/>
              </w:rPr>
              <w:t xml:space="preserve">Contribution </w:t>
            </w:r>
          </w:p>
        </w:tc>
        <w:tc>
          <w:tcPr>
            <w:tcW w:w="1278" w:type="dxa"/>
            <w:shd w:val="clear" w:color="auto" w:fill="F1D0C6"/>
          </w:tcPr>
          <w:p w14:paraId="56CB906D" w14:textId="18B3E20D" w:rsidR="002D1788" w:rsidRPr="000F23E0" w:rsidRDefault="002D1788" w:rsidP="00284B7E">
            <w:pPr>
              <w:pStyle w:val="TableColumnHeadingRight"/>
              <w:cnfStyle w:val="100000000000" w:firstRow="1" w:lastRow="0" w:firstColumn="0" w:lastColumn="0" w:oddVBand="0" w:evenVBand="0" w:oddHBand="0" w:evenHBand="0" w:firstRowFirstColumn="0" w:firstRowLastColumn="0" w:lastRowFirstColumn="0" w:lastRowLastColumn="0"/>
              <w:rPr>
                <w:b/>
              </w:rPr>
            </w:pPr>
            <w:r w:rsidRPr="000F23E0">
              <w:rPr>
                <w:b/>
              </w:rPr>
              <w:t xml:space="preserve">Total Cost of Project </w:t>
            </w:r>
          </w:p>
        </w:tc>
      </w:tr>
      <w:tr w:rsidR="00905316" w:rsidRPr="000F23E0" w14:paraId="5B60FE0B" w14:textId="77777777" w:rsidTr="00935B36">
        <w:trPr>
          <w:trHeight w:val="258"/>
        </w:trPr>
        <w:tc>
          <w:tcPr>
            <w:cnfStyle w:val="001000000000" w:firstRow="0" w:lastRow="0" w:firstColumn="1" w:lastColumn="0" w:oddVBand="0" w:evenVBand="0" w:oddHBand="0" w:evenHBand="0" w:firstRowFirstColumn="0" w:firstRowLastColumn="0" w:lastRowFirstColumn="0" w:lastRowLastColumn="0"/>
            <w:tcW w:w="2972" w:type="dxa"/>
            <w:shd w:val="clear" w:color="auto" w:fill="FDF0E7"/>
          </w:tcPr>
          <w:p w14:paraId="05549A75" w14:textId="22E0EDEE" w:rsidR="00905316" w:rsidRPr="000F23E0" w:rsidRDefault="00905316" w:rsidP="00284B7E">
            <w:pPr>
              <w:pStyle w:val="TableTextLeft"/>
            </w:pPr>
            <w:r w:rsidRPr="000F23E0">
              <w:t>Recycling Modernisation Fund</w:t>
            </w:r>
          </w:p>
        </w:tc>
        <w:tc>
          <w:tcPr>
            <w:tcW w:w="1134" w:type="dxa"/>
            <w:shd w:val="clear" w:color="auto" w:fill="FEFAF8"/>
            <w:vAlign w:val="center"/>
          </w:tcPr>
          <w:p w14:paraId="08AC4785" w14:textId="2405F714" w:rsidR="00905316" w:rsidRPr="000F23E0" w:rsidRDefault="00905316" w:rsidP="00284B7E">
            <w:pPr>
              <w:pStyle w:val="TableTextRight"/>
              <w:cnfStyle w:val="000000000000" w:firstRow="0" w:lastRow="0" w:firstColumn="0" w:lastColumn="0" w:oddVBand="0" w:evenVBand="0" w:oddHBand="0" w:evenHBand="0" w:firstRowFirstColumn="0" w:firstRowLastColumn="0" w:lastRowFirstColumn="0" w:lastRowLastColumn="0"/>
            </w:pPr>
            <w:r w:rsidRPr="000F23E0">
              <w:t>32.8</w:t>
            </w:r>
          </w:p>
        </w:tc>
        <w:tc>
          <w:tcPr>
            <w:tcW w:w="1418" w:type="dxa"/>
            <w:shd w:val="clear" w:color="auto" w:fill="FEFAF8"/>
            <w:vAlign w:val="center"/>
          </w:tcPr>
          <w:p w14:paraId="298C7709" w14:textId="550702D9" w:rsidR="00905316" w:rsidRPr="000F23E0" w:rsidRDefault="00592680" w:rsidP="00284B7E">
            <w:pPr>
              <w:pStyle w:val="TableTextRight"/>
              <w:cnfStyle w:val="000000000000" w:firstRow="0" w:lastRow="0" w:firstColumn="0" w:lastColumn="0" w:oddVBand="0" w:evenVBand="0" w:oddHBand="0" w:evenHBand="0" w:firstRowFirstColumn="0" w:firstRowLastColumn="0" w:lastRowFirstColumn="0" w:lastRowLastColumn="0"/>
            </w:pPr>
            <w:r w:rsidRPr="000F23E0">
              <w:t>17.8</w:t>
            </w:r>
          </w:p>
        </w:tc>
        <w:tc>
          <w:tcPr>
            <w:tcW w:w="2268" w:type="dxa"/>
            <w:shd w:val="clear" w:color="auto" w:fill="FEFAF8"/>
            <w:vAlign w:val="center"/>
          </w:tcPr>
          <w:p w14:paraId="49D8D866" w14:textId="7E58D59E" w:rsidR="00905316" w:rsidRPr="000F23E0" w:rsidRDefault="0012408B" w:rsidP="00284B7E">
            <w:pPr>
              <w:pStyle w:val="TableTextRight"/>
              <w:cnfStyle w:val="000000000000" w:firstRow="0" w:lastRow="0" w:firstColumn="0" w:lastColumn="0" w:oddVBand="0" w:evenVBand="0" w:oddHBand="0" w:evenHBand="0" w:firstRowFirstColumn="0" w:firstRowLastColumn="0" w:lastRowFirstColumn="0" w:lastRowLastColumn="0"/>
            </w:pPr>
            <w:r w:rsidRPr="000F23E0">
              <w:t>229.2</w:t>
            </w:r>
          </w:p>
        </w:tc>
        <w:tc>
          <w:tcPr>
            <w:tcW w:w="1278" w:type="dxa"/>
            <w:shd w:val="clear" w:color="auto" w:fill="FEFAF8"/>
            <w:vAlign w:val="center"/>
          </w:tcPr>
          <w:p w14:paraId="1EF29593" w14:textId="766112C8" w:rsidR="00905316" w:rsidRPr="000F23E0" w:rsidRDefault="00905316" w:rsidP="00284B7E">
            <w:pPr>
              <w:pStyle w:val="TableTextRight"/>
              <w:cnfStyle w:val="000000000000" w:firstRow="0" w:lastRow="0" w:firstColumn="0" w:lastColumn="0" w:oddVBand="0" w:evenVBand="0" w:oddHBand="0" w:evenHBand="0" w:firstRowFirstColumn="0" w:firstRowLastColumn="0" w:lastRowFirstColumn="0" w:lastRowLastColumn="0"/>
            </w:pPr>
            <w:r w:rsidRPr="000F23E0">
              <w:t>1,003.5</w:t>
            </w:r>
          </w:p>
        </w:tc>
      </w:tr>
    </w:tbl>
    <w:p w14:paraId="164ED431" w14:textId="77777777" w:rsidR="003A469B" w:rsidRPr="000F23E0" w:rsidRDefault="003A469B" w:rsidP="003A469B">
      <w:pPr>
        <w:pStyle w:val="Heading4"/>
      </w:pPr>
      <w:r w:rsidRPr="000F23E0">
        <w:t>Cofinancing arrangements</w:t>
      </w:r>
    </w:p>
    <w:p w14:paraId="0E11869A" w14:textId="4D742384" w:rsidR="00323AD6" w:rsidRPr="000F23E0" w:rsidRDefault="00323AD6" w:rsidP="00323AD6">
      <w:r w:rsidRPr="000F23E0">
        <w:t xml:space="preserve">Australian Government funding is provided to the states and territories through the Federal Financial Relations </w:t>
      </w:r>
      <w:r w:rsidR="000325A7" w:rsidRPr="000F23E0">
        <w:t>F</w:t>
      </w:r>
      <w:r w:rsidRPr="000F23E0">
        <w:t>ramework</w:t>
      </w:r>
      <w:r w:rsidR="000325A7" w:rsidRPr="000F23E0">
        <w:t>, with bilateral schedules in place between the Australian Government and all states and territories</w:t>
      </w:r>
      <w:r w:rsidR="00F77872" w:rsidRPr="000F23E0">
        <w:t>.</w:t>
      </w:r>
    </w:p>
    <w:p w14:paraId="64A274EA" w14:textId="616B1188" w:rsidR="003A469B" w:rsidRPr="000F23E0" w:rsidRDefault="00323AD6" w:rsidP="003A469B">
      <w:r w:rsidRPr="000F23E0">
        <w:t>Most RMF projects are co</w:t>
      </w:r>
      <w:r w:rsidR="002C4475" w:rsidRPr="000F23E0">
        <w:noBreakHyphen/>
      </w:r>
      <w:r w:rsidRPr="000F23E0">
        <w:t xml:space="preserve">financed by state and territory governments and </w:t>
      </w:r>
      <w:r w:rsidR="000B6F44" w:rsidRPr="000F23E0">
        <w:t>third</w:t>
      </w:r>
      <w:r w:rsidR="002C4475" w:rsidRPr="000F23E0">
        <w:noBreakHyphen/>
      </w:r>
      <w:r w:rsidRPr="000F23E0">
        <w:t>party project proponents</w:t>
      </w:r>
      <w:r w:rsidR="009B66AD" w:rsidRPr="000F23E0">
        <w:t>. S</w:t>
      </w:r>
      <w:r w:rsidRPr="000F23E0">
        <w:t xml:space="preserve">tates and territories </w:t>
      </w:r>
      <w:r w:rsidR="000B6F44" w:rsidRPr="000F23E0">
        <w:t xml:space="preserve">generally </w:t>
      </w:r>
      <w:r w:rsidRPr="000F23E0">
        <w:t xml:space="preserve">match </w:t>
      </w:r>
      <w:r w:rsidR="00206C4A" w:rsidRPr="000F23E0">
        <w:t>federal g</w:t>
      </w:r>
      <w:r w:rsidRPr="000F23E0">
        <w:t>overnment funding</w:t>
      </w:r>
      <w:r w:rsidR="009B66AD" w:rsidRPr="000F23E0">
        <w:t>, with some exceptio</w:t>
      </w:r>
      <w:r w:rsidR="00570A4E" w:rsidRPr="000F23E0">
        <w:t>ns</w:t>
      </w:r>
      <w:r w:rsidRPr="000F23E0">
        <w:t>.</w:t>
      </w:r>
    </w:p>
    <w:p w14:paraId="3EECD58E" w14:textId="77777777" w:rsidR="003A469B" w:rsidRPr="000F23E0" w:rsidRDefault="003A469B" w:rsidP="00935B36">
      <w:pPr>
        <w:pStyle w:val="Heading4"/>
        <w:keepNext/>
        <w:keepLines/>
      </w:pPr>
      <w:r w:rsidRPr="000F23E0">
        <w:lastRenderedPageBreak/>
        <w:t>Material risks</w:t>
      </w:r>
    </w:p>
    <w:p w14:paraId="3B787273" w14:textId="77777777" w:rsidR="0019534E" w:rsidRPr="000F23E0" w:rsidRDefault="002F5FF7" w:rsidP="00935B36">
      <w:pPr>
        <w:keepNext/>
        <w:keepLines/>
      </w:pPr>
      <w:r w:rsidRPr="000F23E0">
        <w:t>The RMF is administered through the Federal Financial Relations Framework, with bilateral schedules in place between the Australian Government and all states and territories.</w:t>
      </w:r>
      <w:r w:rsidR="0019534E" w:rsidRPr="000F23E0">
        <w:t xml:space="preserve"> </w:t>
      </w:r>
    </w:p>
    <w:p w14:paraId="0C19D23E" w14:textId="7D337E12" w:rsidR="00D4569E" w:rsidRPr="000F23E0" w:rsidRDefault="00D4569E" w:rsidP="00935B36">
      <w:pPr>
        <w:keepNext/>
        <w:keepLines/>
      </w:pPr>
      <w:r w:rsidRPr="000F23E0">
        <w:t>All RMF funding rounds are underpinned by funding guidelines. Where states administer the assessment process</w:t>
      </w:r>
      <w:r w:rsidR="00264FB6" w:rsidRPr="000F23E0">
        <w:t xml:space="preserve"> through Federal Funding Agreements</w:t>
      </w:r>
      <w:r w:rsidRPr="000F23E0">
        <w:t xml:space="preserve">, the Australian Government ensures the assessment criteria align with the eligibility criteria for the program. </w:t>
      </w:r>
    </w:p>
    <w:p w14:paraId="3B05985C" w14:textId="3D4F9944" w:rsidR="00D4569E" w:rsidRPr="000F23E0" w:rsidRDefault="00D4569E" w:rsidP="00D4569E">
      <w:r w:rsidRPr="000F23E0">
        <w:t>The RMF governance arrangements include a risk plan, a national delivery partners forum, bilateral meetings, and regular provision of data by states and territories which is reported publicly through the</w:t>
      </w:r>
      <w:r w:rsidR="0019534E" w:rsidRPr="000F23E0">
        <w:t> </w:t>
      </w:r>
      <w:r w:rsidRPr="000F23E0">
        <w:t xml:space="preserve">RMF Viewer on the </w:t>
      </w:r>
      <w:hyperlink r:id="rId114" w:history="1">
        <w:r w:rsidRPr="000F23E0">
          <w:rPr>
            <w:rStyle w:val="Hyperlink"/>
          </w:rPr>
          <w:t>DCCEEW website</w:t>
        </w:r>
      </w:hyperlink>
      <w:r w:rsidR="002C4475" w:rsidRPr="000F23E0">
        <w:t xml:space="preserve">. </w:t>
      </w:r>
    </w:p>
    <w:p w14:paraId="326CD2EF" w14:textId="3C5DD34E" w:rsidR="00D4569E" w:rsidRPr="000F23E0" w:rsidRDefault="00D4569E" w:rsidP="00D4569E">
      <w:r w:rsidRPr="000F23E0">
        <w:t>Some projects have been delayed because of COVID</w:t>
      </w:r>
      <w:r w:rsidR="002C4475" w:rsidRPr="000F23E0">
        <w:noBreakHyphen/>
      </w:r>
      <w:r w:rsidRPr="000F23E0">
        <w:t>19, natural disasters and supply chain disruptions. To ensure the funded projects can be delivered, the RMF has been extended to 30</w:t>
      </w:r>
      <w:r w:rsidR="0048145F" w:rsidRPr="000F23E0">
        <w:t> </w:t>
      </w:r>
      <w:r w:rsidRPr="000F23E0">
        <w:t>June</w:t>
      </w:r>
      <w:r w:rsidR="0048145F" w:rsidRPr="000F23E0">
        <w:t> </w:t>
      </w:r>
      <w:r w:rsidRPr="000F23E0">
        <w:t xml:space="preserve">2027. </w:t>
      </w:r>
    </w:p>
    <w:p w14:paraId="5BFF6A6C" w14:textId="7B400394" w:rsidR="003A469B" w:rsidRPr="000F23E0" w:rsidRDefault="00D4569E" w:rsidP="003A469B">
      <w:r w:rsidRPr="000F23E0">
        <w:t xml:space="preserve">Some projects have </w:t>
      </w:r>
      <w:r w:rsidR="008C3E2B" w:rsidRPr="000F23E0">
        <w:t xml:space="preserve">been </w:t>
      </w:r>
      <w:r w:rsidRPr="000F23E0">
        <w:t xml:space="preserve">withdrawn </w:t>
      </w:r>
      <w:r w:rsidR="008C3E2B" w:rsidRPr="000F23E0">
        <w:t xml:space="preserve">and are </w:t>
      </w:r>
      <w:r w:rsidRPr="000F23E0">
        <w:t xml:space="preserve">not included in the </w:t>
      </w:r>
      <w:r w:rsidR="006122D8" w:rsidRPr="000F23E0">
        <w:t>impact data</w:t>
      </w:r>
      <w:r w:rsidRPr="000F23E0">
        <w:t>.</w:t>
      </w:r>
      <w:r w:rsidR="006122D8" w:rsidRPr="000F23E0">
        <w:t xml:space="preserve"> R</w:t>
      </w:r>
      <w:r w:rsidRPr="000F23E0">
        <w:t>easons for withdrawal include</w:t>
      </w:r>
      <w:r w:rsidR="006122D8" w:rsidRPr="000F23E0">
        <w:t>d</w:t>
      </w:r>
      <w:r w:rsidRPr="000F23E0">
        <w:t xml:space="preserve"> supply chain disruptions due to COVID</w:t>
      </w:r>
      <w:r w:rsidR="002C4475" w:rsidRPr="000F23E0">
        <w:noBreakHyphen/>
      </w:r>
      <w:r w:rsidRPr="000F23E0">
        <w:t>19, non</w:t>
      </w:r>
      <w:r w:rsidR="002C4475" w:rsidRPr="000F23E0">
        <w:noBreakHyphen/>
      </w:r>
      <w:r w:rsidRPr="000F23E0">
        <w:t>completion of funding pre</w:t>
      </w:r>
      <w:r w:rsidR="002C4475" w:rsidRPr="000F23E0">
        <w:noBreakHyphen/>
      </w:r>
      <w:r w:rsidRPr="000F23E0">
        <w:t>requisites and feedstock supply</w:t>
      </w:r>
      <w:r w:rsidR="00C03D12" w:rsidRPr="000F23E0">
        <w:t xml:space="preserve"> uncertainty</w:t>
      </w:r>
      <w:r w:rsidRPr="000F23E0">
        <w:t>.</w:t>
      </w:r>
    </w:p>
    <w:p w14:paraId="5F72494A" w14:textId="2055A7B5" w:rsidR="003A469B" w:rsidRPr="000F23E0" w:rsidRDefault="003A469B" w:rsidP="003A469B">
      <w:pPr>
        <w:pStyle w:val="Heading3"/>
      </w:pPr>
      <w:r w:rsidRPr="000F23E0">
        <w:t>Project impacts</w:t>
      </w:r>
    </w:p>
    <w:p w14:paraId="03EADE38" w14:textId="11AE53E8" w:rsidR="0041263F" w:rsidRPr="000F23E0" w:rsidRDefault="00397B20" w:rsidP="003A469B">
      <w:r w:rsidRPr="000F23E0">
        <w:t xml:space="preserve">As of 30 June 2025, there were 130 RMF projects, with more to be announced. On completion, </w:t>
      </w:r>
      <w:r w:rsidR="00757EA9" w:rsidRPr="000F23E0">
        <w:t>the</w:t>
      </w:r>
      <w:r w:rsidRPr="000F23E0">
        <w:t xml:space="preserve"> projects are expected to sort, process, recycle and remanufacture 1.4 million additional tonnes of waste glass, plastic, tyres, paper and cardboard per year.</w:t>
      </w:r>
    </w:p>
    <w:p w14:paraId="6323E800" w14:textId="77777777" w:rsidR="0019534E" w:rsidRPr="000F23E0" w:rsidRDefault="0041263F" w:rsidP="003A469B">
      <w:r w:rsidRPr="000F23E0">
        <w:t>The Government has delivered</w:t>
      </w:r>
      <w:r w:rsidR="00397B20" w:rsidRPr="000F23E0">
        <w:t xml:space="preserve"> 63 projects </w:t>
      </w:r>
      <w:r w:rsidRPr="000F23E0">
        <w:t>since the start of the program</w:t>
      </w:r>
      <w:r w:rsidR="00397B20" w:rsidRPr="000F23E0">
        <w:t>, including: 30</w:t>
      </w:r>
      <w:r w:rsidR="00935B36" w:rsidRPr="000F23E0">
        <w:t> </w:t>
      </w:r>
      <w:r w:rsidR="00397B20" w:rsidRPr="000F23E0">
        <w:t>plastics recycling facilities, 12 glass recycling facilities, 9 materials recovery facilities, 4 multi</w:t>
      </w:r>
      <w:r w:rsidR="002C4475" w:rsidRPr="000F23E0">
        <w:noBreakHyphen/>
      </w:r>
      <w:r w:rsidR="00397B20" w:rsidRPr="000F23E0">
        <w:t>material facilities,</w:t>
      </w:r>
      <w:r w:rsidR="0019534E" w:rsidRPr="000F23E0">
        <w:t> </w:t>
      </w:r>
      <w:r w:rsidR="00397B20" w:rsidRPr="000F23E0">
        <w:t>2 paper and cardboard recycling facilities, 3 transfer stations and 3 tyre recycling facilities.</w:t>
      </w:r>
      <w:r w:rsidR="008B31CE" w:rsidRPr="000F23E0">
        <w:t xml:space="preserve"> </w:t>
      </w:r>
    </w:p>
    <w:p w14:paraId="756067F0" w14:textId="1125686D" w:rsidR="008B31CE" w:rsidRPr="000F23E0" w:rsidRDefault="008B31CE" w:rsidP="003A469B">
      <w:r w:rsidRPr="000F23E0">
        <w:t>Of</w:t>
      </w:r>
      <w:r w:rsidR="0019534E" w:rsidRPr="000F23E0">
        <w:t> </w:t>
      </w:r>
      <w:r w:rsidRPr="000F23E0">
        <w:t>these, 22</w:t>
      </w:r>
      <w:r w:rsidR="0019534E" w:rsidRPr="000F23E0">
        <w:t> </w:t>
      </w:r>
      <w:r w:rsidRPr="000F23E0">
        <w:t>projects were funded through the RMF in the 2024</w:t>
      </w:r>
      <w:r w:rsidR="00ED5506" w:rsidRPr="000F23E0">
        <w:t>–</w:t>
      </w:r>
      <w:r w:rsidRPr="000F23E0">
        <w:t>25 financial year.</w:t>
      </w:r>
    </w:p>
    <w:p w14:paraId="7ADBFFD7" w14:textId="0FF52663" w:rsidR="008467BD" w:rsidRPr="000F23E0" w:rsidRDefault="008467BD" w:rsidP="00551F72">
      <w:pPr>
        <w:pStyle w:val="TableMainHeading"/>
      </w:pPr>
      <w:bookmarkStart w:id="382" w:name="_Toc220662900"/>
      <w:bookmarkStart w:id="383" w:name="_Toc224637856"/>
      <w:bookmarkStart w:id="384" w:name="_Toc224642520"/>
      <w:bookmarkStart w:id="385" w:name="_Toc225153496"/>
      <w:bookmarkStart w:id="386" w:name="_Toc225154542"/>
      <w:bookmarkStart w:id="387" w:name="_Toc225155807"/>
      <w:r w:rsidRPr="000F23E0">
        <w:t xml:space="preserve">Table </w:t>
      </w:r>
      <w:r w:rsidR="00A04537" w:rsidRPr="000F23E0">
        <w:t>4</w:t>
      </w:r>
      <w:r w:rsidR="0068550D" w:rsidRPr="000F23E0">
        <w:t>2:</w:t>
      </w:r>
      <w:r w:rsidRPr="000F23E0">
        <w:t xml:space="preserve"> Impact Data for the Recycling Modernisation Fund</w:t>
      </w:r>
      <w:bookmarkEnd w:id="382"/>
      <w:bookmarkEnd w:id="383"/>
      <w:bookmarkEnd w:id="384"/>
      <w:bookmarkEnd w:id="385"/>
      <w:bookmarkEnd w:id="386"/>
      <w:bookmarkEnd w:id="387"/>
    </w:p>
    <w:tbl>
      <w:tblPr>
        <w:tblStyle w:val="GridTable4-Accent2"/>
        <w:tblW w:w="5000" w:type="pct"/>
        <w:tblInd w:w="-3" w:type="dxa"/>
        <w:tblBorders>
          <w:top w:val="single" w:sz="4" w:space="0" w:color="DFA795"/>
          <w:bottom w:val="single" w:sz="4" w:space="0" w:color="DFA795"/>
          <w:insideH w:val="single" w:sz="4" w:space="0" w:color="DFA795"/>
        </w:tblBorders>
        <w:tblLayout w:type="fixed"/>
        <w:tblLook w:val="04A0" w:firstRow="1" w:lastRow="0" w:firstColumn="1" w:lastColumn="0" w:noHBand="0" w:noVBand="1"/>
      </w:tblPr>
      <w:tblGrid>
        <w:gridCol w:w="4256"/>
        <w:gridCol w:w="1134"/>
        <w:gridCol w:w="1843"/>
        <w:gridCol w:w="1837"/>
      </w:tblGrid>
      <w:tr w:rsidR="00EB7950" w:rsidRPr="000F23E0" w14:paraId="0B87ED27" w14:textId="77777777" w:rsidTr="00EF476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56" w:type="dxa"/>
            <w:shd w:val="clear" w:color="auto" w:fill="DFA795"/>
          </w:tcPr>
          <w:p w14:paraId="7B3D4D3A" w14:textId="77777777" w:rsidR="00697934" w:rsidRPr="000F23E0" w:rsidRDefault="00697934" w:rsidP="0089680F">
            <w:pPr>
              <w:pStyle w:val="TableColumnHeadingLeft"/>
              <w:rPr>
                <w:b/>
                <w:bCs w:val="0"/>
              </w:rPr>
            </w:pPr>
            <w:r w:rsidRPr="000F23E0">
              <w:rPr>
                <w:b/>
                <w:bCs w:val="0"/>
              </w:rPr>
              <w:t>Metric</w:t>
            </w:r>
          </w:p>
        </w:tc>
        <w:tc>
          <w:tcPr>
            <w:tcW w:w="1134" w:type="dxa"/>
            <w:shd w:val="clear" w:color="auto" w:fill="DFA795"/>
          </w:tcPr>
          <w:p w14:paraId="233BC58A" w14:textId="24DAADEB" w:rsidR="00697934" w:rsidRPr="000F23E0" w:rsidRDefault="00697934" w:rsidP="0089680F">
            <w:pPr>
              <w:pStyle w:val="TableColumnHeadingRight"/>
              <w:cnfStyle w:val="100000000000" w:firstRow="1" w:lastRow="0" w:firstColumn="0" w:lastColumn="0" w:oddVBand="0" w:evenVBand="0" w:oddHBand="0" w:evenHBand="0" w:firstRowFirstColumn="0" w:firstRowLastColumn="0" w:lastRowFirstColumn="0" w:lastRowLastColumn="0"/>
              <w:rPr>
                <w:b/>
              </w:rPr>
            </w:pPr>
            <w:r w:rsidRPr="000F23E0">
              <w:rPr>
                <w:b/>
              </w:rPr>
              <w:t>Value</w:t>
            </w:r>
          </w:p>
        </w:tc>
        <w:tc>
          <w:tcPr>
            <w:tcW w:w="1843" w:type="dxa"/>
            <w:shd w:val="clear" w:color="auto" w:fill="DFA795"/>
          </w:tcPr>
          <w:p w14:paraId="471605F1" w14:textId="77777777" w:rsidR="00697934" w:rsidRPr="000F23E0" w:rsidRDefault="00697934" w:rsidP="0089680F">
            <w:pPr>
              <w:pStyle w:val="TableColumnHeadingRight"/>
              <w:cnfStyle w:val="100000000000" w:firstRow="1" w:lastRow="0" w:firstColumn="0" w:lastColumn="0" w:oddVBand="0" w:evenVBand="0" w:oddHBand="0" w:evenHBand="0" w:firstRowFirstColumn="0" w:firstRowLastColumn="0" w:lastRowFirstColumn="0" w:lastRowLastColumn="0"/>
              <w:rPr>
                <w:b/>
              </w:rPr>
            </w:pPr>
            <w:r w:rsidRPr="000F23E0">
              <w:rPr>
                <w:b/>
              </w:rPr>
              <w:t>Recorded / Projected</w:t>
            </w:r>
          </w:p>
        </w:tc>
        <w:tc>
          <w:tcPr>
            <w:tcW w:w="1837" w:type="dxa"/>
            <w:shd w:val="clear" w:color="auto" w:fill="DFA795"/>
          </w:tcPr>
          <w:p w14:paraId="32EEBAFB" w14:textId="77777777" w:rsidR="00697934" w:rsidRPr="000F23E0" w:rsidRDefault="00697934" w:rsidP="0089680F">
            <w:pPr>
              <w:pStyle w:val="TableColumnHeadingRight"/>
              <w:cnfStyle w:val="100000000000" w:firstRow="1" w:lastRow="0" w:firstColumn="0" w:lastColumn="0" w:oddVBand="0" w:evenVBand="0" w:oddHBand="0" w:evenHBand="0" w:firstRowFirstColumn="0" w:firstRowLastColumn="0" w:lastRowFirstColumn="0" w:lastRowLastColumn="0"/>
              <w:rPr>
                <w:b/>
              </w:rPr>
            </w:pPr>
            <w:r w:rsidRPr="000F23E0">
              <w:rPr>
                <w:b/>
              </w:rPr>
              <w:t>Time Period</w:t>
            </w:r>
          </w:p>
        </w:tc>
      </w:tr>
      <w:tr w:rsidR="00EB7950" w:rsidRPr="000F23E0" w14:paraId="62FA4A77" w14:textId="77777777" w:rsidTr="00EF4764">
        <w:trPr>
          <w:trHeight w:val="196"/>
        </w:trPr>
        <w:tc>
          <w:tcPr>
            <w:cnfStyle w:val="001000000000" w:firstRow="0" w:lastRow="0" w:firstColumn="1" w:lastColumn="0" w:oddVBand="0" w:evenVBand="0" w:oddHBand="0" w:evenHBand="0" w:firstRowFirstColumn="0" w:firstRowLastColumn="0" w:lastRowFirstColumn="0" w:lastRowLastColumn="0"/>
            <w:tcW w:w="4256" w:type="dxa"/>
            <w:shd w:val="clear" w:color="auto" w:fill="FDF0E7"/>
          </w:tcPr>
          <w:p w14:paraId="78A1ACF5" w14:textId="205D2382" w:rsidR="00697934" w:rsidRPr="000F23E0" w:rsidRDefault="003A2E99" w:rsidP="0089680F">
            <w:pPr>
              <w:pStyle w:val="TableTextLeft"/>
            </w:pPr>
            <w:r w:rsidRPr="000F23E0">
              <w:t xml:space="preserve">Number of </w:t>
            </w:r>
            <w:r w:rsidR="00202EA1" w:rsidRPr="000F23E0">
              <w:t xml:space="preserve">waste management </w:t>
            </w:r>
            <w:r w:rsidRPr="000F23E0">
              <w:t>projects completed</w:t>
            </w:r>
          </w:p>
        </w:tc>
        <w:tc>
          <w:tcPr>
            <w:tcW w:w="1134" w:type="dxa"/>
            <w:shd w:val="clear" w:color="auto" w:fill="FEFAF8"/>
          </w:tcPr>
          <w:p w14:paraId="43EF8D5D" w14:textId="115C60DE" w:rsidR="00697934" w:rsidRPr="000F23E0" w:rsidRDefault="00F5040C" w:rsidP="0089680F">
            <w:pPr>
              <w:pStyle w:val="TableTextRight"/>
              <w:cnfStyle w:val="000000000000" w:firstRow="0" w:lastRow="0" w:firstColumn="0" w:lastColumn="0" w:oddVBand="0" w:evenVBand="0" w:oddHBand="0" w:evenHBand="0" w:firstRowFirstColumn="0" w:firstRowLastColumn="0" w:lastRowFirstColumn="0" w:lastRowLastColumn="0"/>
            </w:pPr>
            <w:r w:rsidRPr="000F23E0">
              <w:t>22</w:t>
            </w:r>
          </w:p>
        </w:tc>
        <w:tc>
          <w:tcPr>
            <w:tcW w:w="1843" w:type="dxa"/>
            <w:shd w:val="clear" w:color="auto" w:fill="FEFAF8"/>
          </w:tcPr>
          <w:p w14:paraId="580F0146" w14:textId="616D27EA" w:rsidR="00697934" w:rsidRPr="000F23E0" w:rsidRDefault="00AD3D63" w:rsidP="0089680F">
            <w:pPr>
              <w:pStyle w:val="TableTextRight"/>
              <w:cnfStyle w:val="000000000000" w:firstRow="0" w:lastRow="0" w:firstColumn="0" w:lastColumn="0" w:oddVBand="0" w:evenVBand="0" w:oddHBand="0" w:evenHBand="0" w:firstRowFirstColumn="0" w:firstRowLastColumn="0" w:lastRowFirstColumn="0" w:lastRowLastColumn="0"/>
            </w:pPr>
            <w:r w:rsidRPr="000F23E0">
              <w:t>Recorded</w:t>
            </w:r>
          </w:p>
        </w:tc>
        <w:tc>
          <w:tcPr>
            <w:tcW w:w="1837" w:type="dxa"/>
            <w:shd w:val="clear" w:color="auto" w:fill="FEFAF8"/>
          </w:tcPr>
          <w:p w14:paraId="52B0C820" w14:textId="190EA2A0" w:rsidR="00697934" w:rsidRPr="000F23E0" w:rsidRDefault="00E226F1" w:rsidP="0089680F">
            <w:pPr>
              <w:pStyle w:val="TableTextRight"/>
              <w:cnfStyle w:val="000000000000" w:firstRow="0" w:lastRow="0" w:firstColumn="0" w:lastColumn="0" w:oddVBand="0" w:evenVBand="0" w:oddHBand="0" w:evenHBand="0" w:firstRowFirstColumn="0" w:firstRowLastColumn="0" w:lastRowFirstColumn="0" w:lastRowLastColumn="0"/>
            </w:pPr>
            <w:r w:rsidRPr="000F23E0">
              <w:t>FY</w:t>
            </w:r>
            <w:r w:rsidR="0081361D" w:rsidRPr="000F23E0">
              <w:t>2024</w:t>
            </w:r>
            <w:r w:rsidR="00ED5506" w:rsidRPr="000F23E0">
              <w:t>–</w:t>
            </w:r>
            <w:r w:rsidR="0081361D" w:rsidRPr="000F23E0">
              <w:t>25</w:t>
            </w:r>
          </w:p>
        </w:tc>
      </w:tr>
      <w:tr w:rsidR="00EB7950" w:rsidRPr="000F23E0" w14:paraId="1815513C" w14:textId="77777777" w:rsidTr="00EF4764">
        <w:trPr>
          <w:trHeight w:val="85"/>
        </w:trPr>
        <w:tc>
          <w:tcPr>
            <w:cnfStyle w:val="001000000000" w:firstRow="0" w:lastRow="0" w:firstColumn="1" w:lastColumn="0" w:oddVBand="0" w:evenVBand="0" w:oddHBand="0" w:evenHBand="0" w:firstRowFirstColumn="0" w:firstRowLastColumn="0" w:lastRowFirstColumn="0" w:lastRowLastColumn="0"/>
            <w:tcW w:w="4256" w:type="dxa"/>
            <w:shd w:val="clear" w:color="auto" w:fill="FDF0E7"/>
          </w:tcPr>
          <w:p w14:paraId="54F19C88" w14:textId="1C00DC6C" w:rsidR="00F279F0" w:rsidRPr="000F23E0" w:rsidRDefault="00F37DE3" w:rsidP="0089680F">
            <w:pPr>
              <w:pStyle w:val="TableTextLeft"/>
            </w:pPr>
            <w:r w:rsidRPr="000F23E0">
              <w:t>A</w:t>
            </w:r>
            <w:r w:rsidR="001A19B3" w:rsidRPr="000F23E0">
              <w:t xml:space="preserve">dditional </w:t>
            </w:r>
            <w:r w:rsidR="004A303B" w:rsidRPr="000F23E0">
              <w:t>waste</w:t>
            </w:r>
            <w:r w:rsidR="001A19B3" w:rsidRPr="000F23E0">
              <w:t xml:space="preserve"> processing capacity</w:t>
            </w:r>
            <w:r w:rsidR="00AC12C2" w:rsidRPr="000F23E0">
              <w:t xml:space="preserve"> </w:t>
            </w:r>
            <w:r w:rsidRPr="000F23E0">
              <w:t>(tonnes</w:t>
            </w:r>
            <w:r w:rsidR="00AC12C2" w:rsidRPr="000F23E0">
              <w:t xml:space="preserve"> p.a.</w:t>
            </w:r>
            <w:r w:rsidRPr="000F23E0">
              <w:t>)</w:t>
            </w:r>
          </w:p>
        </w:tc>
        <w:tc>
          <w:tcPr>
            <w:tcW w:w="1134" w:type="dxa"/>
            <w:shd w:val="clear" w:color="auto" w:fill="FEFAF8"/>
          </w:tcPr>
          <w:p w14:paraId="59AABA7D" w14:textId="6ECEA33D" w:rsidR="00F279F0" w:rsidRPr="000F23E0" w:rsidRDefault="00FF41FE" w:rsidP="0089680F">
            <w:pPr>
              <w:pStyle w:val="TableTextRight"/>
              <w:cnfStyle w:val="000000000000" w:firstRow="0" w:lastRow="0" w:firstColumn="0" w:lastColumn="0" w:oddVBand="0" w:evenVBand="0" w:oddHBand="0" w:evenHBand="0" w:firstRowFirstColumn="0" w:firstRowLastColumn="0" w:lastRowFirstColumn="0" w:lastRowLastColumn="0"/>
            </w:pPr>
            <w:r w:rsidRPr="000F23E0">
              <w:t>105,200</w:t>
            </w:r>
          </w:p>
        </w:tc>
        <w:tc>
          <w:tcPr>
            <w:tcW w:w="1843" w:type="dxa"/>
            <w:shd w:val="clear" w:color="auto" w:fill="FEFAF8"/>
          </w:tcPr>
          <w:p w14:paraId="05C14347" w14:textId="611357CF" w:rsidR="00F279F0" w:rsidRPr="000F23E0" w:rsidRDefault="00AD3D63" w:rsidP="0089680F">
            <w:pPr>
              <w:pStyle w:val="TableTextRight"/>
              <w:cnfStyle w:val="000000000000" w:firstRow="0" w:lastRow="0" w:firstColumn="0" w:lastColumn="0" w:oddVBand="0" w:evenVBand="0" w:oddHBand="0" w:evenHBand="0" w:firstRowFirstColumn="0" w:firstRowLastColumn="0" w:lastRowFirstColumn="0" w:lastRowLastColumn="0"/>
            </w:pPr>
            <w:r w:rsidRPr="000F23E0">
              <w:t>Projected</w:t>
            </w:r>
          </w:p>
        </w:tc>
        <w:tc>
          <w:tcPr>
            <w:tcW w:w="1837" w:type="dxa"/>
            <w:shd w:val="clear" w:color="auto" w:fill="FEFAF8"/>
          </w:tcPr>
          <w:p w14:paraId="623EA38D" w14:textId="33D7A53A" w:rsidR="00F279F0" w:rsidRPr="000F23E0" w:rsidRDefault="004A303B" w:rsidP="0089680F">
            <w:pPr>
              <w:pStyle w:val="TableTextRight"/>
              <w:cnfStyle w:val="000000000000" w:firstRow="0" w:lastRow="0" w:firstColumn="0" w:lastColumn="0" w:oddVBand="0" w:evenVBand="0" w:oddHBand="0" w:evenHBand="0" w:firstRowFirstColumn="0" w:firstRowLastColumn="0" w:lastRowFirstColumn="0" w:lastRowLastColumn="0"/>
            </w:pPr>
            <w:r w:rsidRPr="000F23E0">
              <w:t>Once full</w:t>
            </w:r>
            <w:r w:rsidR="006C024A" w:rsidRPr="000F23E0">
              <w:t>y</w:t>
            </w:r>
            <w:r w:rsidRPr="000F23E0">
              <w:t xml:space="preserve"> operational</w:t>
            </w:r>
          </w:p>
        </w:tc>
      </w:tr>
    </w:tbl>
    <w:p w14:paraId="54D80C17" w14:textId="1420AAC1" w:rsidR="003A469B" w:rsidRPr="000F23E0" w:rsidRDefault="003A469B" w:rsidP="003A469B">
      <w:pPr>
        <w:pStyle w:val="Heading4"/>
      </w:pPr>
      <w:r w:rsidRPr="000F23E0">
        <w:t>Social co</w:t>
      </w:r>
      <w:r w:rsidR="002C4475" w:rsidRPr="000F23E0">
        <w:noBreakHyphen/>
      </w:r>
      <w:r w:rsidRPr="000F23E0">
        <w:t>benefits</w:t>
      </w:r>
    </w:p>
    <w:p w14:paraId="7359E948" w14:textId="08FB1975" w:rsidR="003A469B" w:rsidRPr="000F23E0" w:rsidRDefault="000F520A" w:rsidP="003A469B">
      <w:r w:rsidRPr="000F23E0">
        <w:t>P</w:t>
      </w:r>
      <w:r w:rsidR="002D0FCA" w:rsidRPr="000F23E0">
        <w:t xml:space="preserve">roject proponents </w:t>
      </w:r>
      <w:r w:rsidRPr="000F23E0">
        <w:t>provide data on</w:t>
      </w:r>
      <w:r w:rsidR="002D0FCA" w:rsidRPr="000F23E0">
        <w:t xml:space="preserve"> </w:t>
      </w:r>
      <w:r w:rsidR="001B6AF5" w:rsidRPr="000F23E0">
        <w:t xml:space="preserve">the estimated number of jobs created </w:t>
      </w:r>
      <w:r w:rsidR="002D1D51" w:rsidRPr="000F23E0">
        <w:t>for</w:t>
      </w:r>
      <w:r w:rsidRPr="000F23E0">
        <w:t xml:space="preserve"> each </w:t>
      </w:r>
      <w:r w:rsidR="002D1D51" w:rsidRPr="000F23E0">
        <w:t>facility</w:t>
      </w:r>
      <w:r w:rsidRPr="000F23E0">
        <w:t xml:space="preserve"> funded</w:t>
      </w:r>
      <w:r w:rsidR="002D1D51" w:rsidRPr="000F23E0">
        <w:t xml:space="preserve"> through the program</w:t>
      </w:r>
      <w:r w:rsidR="00973336" w:rsidRPr="000F23E0">
        <w:t xml:space="preserve">, with </w:t>
      </w:r>
      <w:r w:rsidR="00B83B3F" w:rsidRPr="000F23E0">
        <w:t xml:space="preserve">192 new jobs </w:t>
      </w:r>
      <w:r w:rsidR="00973336" w:rsidRPr="000F23E0">
        <w:t>created</w:t>
      </w:r>
      <w:r w:rsidR="00B5490C" w:rsidRPr="000F23E0">
        <w:t>.</w:t>
      </w:r>
    </w:p>
    <w:p w14:paraId="40D45B3C" w14:textId="4ACE666D" w:rsidR="008467BD" w:rsidRPr="000F23E0" w:rsidRDefault="008467BD" w:rsidP="00551F72">
      <w:pPr>
        <w:pStyle w:val="TableMainHeading"/>
      </w:pPr>
      <w:bookmarkStart w:id="388" w:name="_Toc220662901"/>
      <w:bookmarkStart w:id="389" w:name="_Toc224637857"/>
      <w:bookmarkStart w:id="390" w:name="_Toc224642521"/>
      <w:bookmarkStart w:id="391" w:name="_Toc225153497"/>
      <w:bookmarkStart w:id="392" w:name="_Toc225154543"/>
      <w:bookmarkStart w:id="393" w:name="_Toc225155808"/>
      <w:r w:rsidRPr="000F23E0">
        <w:t xml:space="preserve">Table </w:t>
      </w:r>
      <w:r w:rsidR="00A04537" w:rsidRPr="000F23E0">
        <w:t>4</w:t>
      </w:r>
      <w:r w:rsidR="0068550D" w:rsidRPr="000F23E0">
        <w:t>3:</w:t>
      </w:r>
      <w:r w:rsidRPr="000F23E0">
        <w:t xml:space="preserve"> Social </w:t>
      </w:r>
      <w:r w:rsidR="00B83B3F" w:rsidRPr="000F23E0">
        <w:t>i</w:t>
      </w:r>
      <w:r w:rsidRPr="000F23E0">
        <w:t xml:space="preserve">mpact </w:t>
      </w:r>
      <w:r w:rsidR="00B83B3F" w:rsidRPr="000F23E0">
        <w:t>d</w:t>
      </w:r>
      <w:r w:rsidRPr="000F23E0">
        <w:t>ata for the Recycling Modernisation Fund</w:t>
      </w:r>
      <w:bookmarkEnd w:id="388"/>
      <w:bookmarkEnd w:id="389"/>
      <w:bookmarkEnd w:id="390"/>
      <w:bookmarkEnd w:id="391"/>
      <w:bookmarkEnd w:id="392"/>
      <w:bookmarkEnd w:id="393"/>
    </w:p>
    <w:tbl>
      <w:tblPr>
        <w:tblStyle w:val="GridTable4-Accent2"/>
        <w:tblW w:w="5000" w:type="pct"/>
        <w:tblInd w:w="-3" w:type="dxa"/>
        <w:tblBorders>
          <w:top w:val="single" w:sz="4" w:space="0" w:color="DFA795"/>
          <w:bottom w:val="single" w:sz="4" w:space="0" w:color="DFA795"/>
          <w:insideH w:val="single" w:sz="4" w:space="0" w:color="DFA795"/>
        </w:tblBorders>
        <w:tblLayout w:type="fixed"/>
        <w:tblLook w:val="04A0" w:firstRow="1" w:lastRow="0" w:firstColumn="1" w:lastColumn="0" w:noHBand="0" w:noVBand="1"/>
      </w:tblPr>
      <w:tblGrid>
        <w:gridCol w:w="3683"/>
        <w:gridCol w:w="1417"/>
        <w:gridCol w:w="2267"/>
        <w:gridCol w:w="1703"/>
      </w:tblGrid>
      <w:tr w:rsidR="00B9691A" w:rsidRPr="000F23E0" w14:paraId="593E154D" w14:textId="77777777" w:rsidTr="00EF476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4" w:type="dxa"/>
            <w:shd w:val="clear" w:color="auto" w:fill="DFA795"/>
          </w:tcPr>
          <w:p w14:paraId="2D7A053C" w14:textId="77777777" w:rsidR="00FF41FE" w:rsidRPr="000F23E0" w:rsidRDefault="00FF41FE" w:rsidP="0089680F">
            <w:pPr>
              <w:pStyle w:val="TableColumnHeadingLeft"/>
              <w:rPr>
                <w:b/>
                <w:bCs w:val="0"/>
              </w:rPr>
            </w:pPr>
            <w:r w:rsidRPr="000F23E0">
              <w:rPr>
                <w:b/>
                <w:bCs w:val="0"/>
              </w:rPr>
              <w:t>Metric</w:t>
            </w:r>
          </w:p>
        </w:tc>
        <w:tc>
          <w:tcPr>
            <w:tcW w:w="1417" w:type="dxa"/>
            <w:shd w:val="clear" w:color="auto" w:fill="DFA795"/>
          </w:tcPr>
          <w:p w14:paraId="30923F88" w14:textId="1CE28B26" w:rsidR="00FF41FE" w:rsidRPr="000F23E0" w:rsidRDefault="00FF41FE" w:rsidP="0089680F">
            <w:pPr>
              <w:pStyle w:val="TableColumnHeadingRight"/>
              <w:cnfStyle w:val="100000000000" w:firstRow="1" w:lastRow="0" w:firstColumn="0" w:lastColumn="0" w:oddVBand="0" w:evenVBand="0" w:oddHBand="0" w:evenHBand="0" w:firstRowFirstColumn="0" w:firstRowLastColumn="0" w:lastRowFirstColumn="0" w:lastRowLastColumn="0"/>
              <w:rPr>
                <w:b/>
              </w:rPr>
            </w:pPr>
            <w:r w:rsidRPr="000F23E0">
              <w:rPr>
                <w:b/>
              </w:rPr>
              <w:t>Value</w:t>
            </w:r>
          </w:p>
        </w:tc>
        <w:tc>
          <w:tcPr>
            <w:tcW w:w="2268" w:type="dxa"/>
            <w:shd w:val="clear" w:color="auto" w:fill="DFA795"/>
          </w:tcPr>
          <w:p w14:paraId="759C1FBE" w14:textId="77777777" w:rsidR="00FF41FE" w:rsidRPr="000F23E0" w:rsidRDefault="00FF41FE" w:rsidP="0089680F">
            <w:pPr>
              <w:pStyle w:val="TableColumnHeadingRight"/>
              <w:cnfStyle w:val="100000000000" w:firstRow="1" w:lastRow="0" w:firstColumn="0" w:lastColumn="0" w:oddVBand="0" w:evenVBand="0" w:oddHBand="0" w:evenHBand="0" w:firstRowFirstColumn="0" w:firstRowLastColumn="0" w:lastRowFirstColumn="0" w:lastRowLastColumn="0"/>
              <w:rPr>
                <w:b/>
              </w:rPr>
            </w:pPr>
            <w:r w:rsidRPr="000F23E0">
              <w:rPr>
                <w:b/>
              </w:rPr>
              <w:t>Recorded / Projected</w:t>
            </w:r>
          </w:p>
        </w:tc>
        <w:tc>
          <w:tcPr>
            <w:tcW w:w="1703" w:type="dxa"/>
            <w:shd w:val="clear" w:color="auto" w:fill="DFA795"/>
          </w:tcPr>
          <w:p w14:paraId="017AA5FA" w14:textId="77777777" w:rsidR="00FF41FE" w:rsidRPr="000F23E0" w:rsidRDefault="00FF41FE" w:rsidP="0089680F">
            <w:pPr>
              <w:pStyle w:val="TableColumnHeadingRight"/>
              <w:cnfStyle w:val="100000000000" w:firstRow="1" w:lastRow="0" w:firstColumn="0" w:lastColumn="0" w:oddVBand="0" w:evenVBand="0" w:oddHBand="0" w:evenHBand="0" w:firstRowFirstColumn="0" w:firstRowLastColumn="0" w:lastRowFirstColumn="0" w:lastRowLastColumn="0"/>
              <w:rPr>
                <w:b/>
              </w:rPr>
            </w:pPr>
            <w:r w:rsidRPr="000F23E0">
              <w:rPr>
                <w:b/>
              </w:rPr>
              <w:t>Time Period</w:t>
            </w:r>
          </w:p>
        </w:tc>
      </w:tr>
      <w:tr w:rsidR="00BC6E45" w:rsidRPr="000F23E0" w14:paraId="17321DD8" w14:textId="77777777" w:rsidTr="00EF4764">
        <w:trPr>
          <w:trHeight w:val="85"/>
        </w:trPr>
        <w:tc>
          <w:tcPr>
            <w:cnfStyle w:val="001000000000" w:firstRow="0" w:lastRow="0" w:firstColumn="1" w:lastColumn="0" w:oddVBand="0" w:evenVBand="0" w:oddHBand="0" w:evenHBand="0" w:firstRowFirstColumn="0" w:firstRowLastColumn="0" w:lastRowFirstColumn="0" w:lastRowLastColumn="0"/>
            <w:tcW w:w="3684" w:type="dxa"/>
            <w:shd w:val="clear" w:color="auto" w:fill="FDF0E7"/>
            <w:vAlign w:val="center"/>
          </w:tcPr>
          <w:p w14:paraId="3DC40EA1" w14:textId="3A5E90ED" w:rsidR="00FF41FE" w:rsidRPr="000F23E0" w:rsidRDefault="00E546E1" w:rsidP="0089680F">
            <w:pPr>
              <w:pStyle w:val="TableTextLeft"/>
            </w:pPr>
            <w:r w:rsidRPr="000F23E0">
              <w:t>Estimated number of o</w:t>
            </w:r>
            <w:r w:rsidR="00F76A11" w:rsidRPr="000F23E0">
              <w:t>ngoing jobs created</w:t>
            </w:r>
          </w:p>
        </w:tc>
        <w:tc>
          <w:tcPr>
            <w:tcW w:w="1417" w:type="dxa"/>
            <w:shd w:val="clear" w:color="auto" w:fill="FEFAF8"/>
          </w:tcPr>
          <w:p w14:paraId="2339E014" w14:textId="70E0EE10" w:rsidR="00FF41FE" w:rsidRPr="000F23E0" w:rsidRDefault="00E46D5E" w:rsidP="0089680F">
            <w:pPr>
              <w:pStyle w:val="TableTextRight"/>
              <w:cnfStyle w:val="000000000000" w:firstRow="0" w:lastRow="0" w:firstColumn="0" w:lastColumn="0" w:oddVBand="0" w:evenVBand="0" w:oddHBand="0" w:evenHBand="0" w:firstRowFirstColumn="0" w:firstRowLastColumn="0" w:lastRowFirstColumn="0" w:lastRowLastColumn="0"/>
            </w:pPr>
            <w:r w:rsidRPr="000F23E0">
              <w:t>90</w:t>
            </w:r>
          </w:p>
        </w:tc>
        <w:tc>
          <w:tcPr>
            <w:tcW w:w="2268" w:type="dxa"/>
            <w:shd w:val="clear" w:color="auto" w:fill="FEFAF8"/>
          </w:tcPr>
          <w:p w14:paraId="7E56277E" w14:textId="085B6A19" w:rsidR="00FF41FE" w:rsidRPr="000F23E0" w:rsidRDefault="006F435A" w:rsidP="0089680F">
            <w:pPr>
              <w:pStyle w:val="TableTextRight"/>
              <w:cnfStyle w:val="000000000000" w:firstRow="0" w:lastRow="0" w:firstColumn="0" w:lastColumn="0" w:oddVBand="0" w:evenVBand="0" w:oddHBand="0" w:evenHBand="0" w:firstRowFirstColumn="0" w:firstRowLastColumn="0" w:lastRowFirstColumn="0" w:lastRowLastColumn="0"/>
            </w:pPr>
            <w:r w:rsidRPr="000F23E0">
              <w:t>Recorded</w:t>
            </w:r>
          </w:p>
        </w:tc>
        <w:tc>
          <w:tcPr>
            <w:tcW w:w="1703" w:type="dxa"/>
            <w:shd w:val="clear" w:color="auto" w:fill="FEFAF8"/>
          </w:tcPr>
          <w:p w14:paraId="4A3610DF" w14:textId="66E5205A" w:rsidR="00FF41FE" w:rsidRPr="000F23E0" w:rsidRDefault="00E226F1" w:rsidP="0089680F">
            <w:pPr>
              <w:pStyle w:val="TableTextRight"/>
              <w:cnfStyle w:val="000000000000" w:firstRow="0" w:lastRow="0" w:firstColumn="0" w:lastColumn="0" w:oddVBand="0" w:evenVBand="0" w:oddHBand="0" w:evenHBand="0" w:firstRowFirstColumn="0" w:firstRowLastColumn="0" w:lastRowFirstColumn="0" w:lastRowLastColumn="0"/>
            </w:pPr>
            <w:r w:rsidRPr="000F23E0">
              <w:t>FY</w:t>
            </w:r>
            <w:r w:rsidR="00725084" w:rsidRPr="000F23E0">
              <w:t>2024</w:t>
            </w:r>
            <w:r w:rsidR="00ED5506" w:rsidRPr="000F23E0">
              <w:t>–</w:t>
            </w:r>
            <w:r w:rsidR="004C5FC9" w:rsidRPr="000F23E0">
              <w:t>25</w:t>
            </w:r>
          </w:p>
        </w:tc>
      </w:tr>
      <w:tr w:rsidR="00492A5A" w:rsidRPr="000F23E0" w14:paraId="62F09445" w14:textId="77777777" w:rsidTr="00EF4764">
        <w:trPr>
          <w:trHeight w:val="85"/>
        </w:trPr>
        <w:tc>
          <w:tcPr>
            <w:cnfStyle w:val="001000000000" w:firstRow="0" w:lastRow="0" w:firstColumn="1" w:lastColumn="0" w:oddVBand="0" w:evenVBand="0" w:oddHBand="0" w:evenHBand="0" w:firstRowFirstColumn="0" w:firstRowLastColumn="0" w:lastRowFirstColumn="0" w:lastRowLastColumn="0"/>
            <w:tcW w:w="3684" w:type="dxa"/>
            <w:shd w:val="clear" w:color="auto" w:fill="FDF0E7"/>
            <w:vAlign w:val="center"/>
          </w:tcPr>
          <w:p w14:paraId="78AFB158" w14:textId="55ECC2EE" w:rsidR="00FF41FE" w:rsidRPr="000F23E0" w:rsidRDefault="00E546E1" w:rsidP="0089680F">
            <w:pPr>
              <w:pStyle w:val="TableTextLeft"/>
            </w:pPr>
            <w:r w:rsidRPr="000F23E0">
              <w:t>Estimated number of construction jobs created</w:t>
            </w:r>
          </w:p>
        </w:tc>
        <w:tc>
          <w:tcPr>
            <w:tcW w:w="1417" w:type="dxa"/>
            <w:shd w:val="clear" w:color="auto" w:fill="FEFAF8"/>
          </w:tcPr>
          <w:p w14:paraId="5DE58C43" w14:textId="0019DB32" w:rsidR="00FF41FE" w:rsidRPr="000F23E0" w:rsidRDefault="00E46D5E" w:rsidP="0089680F">
            <w:pPr>
              <w:pStyle w:val="TableTextRight"/>
              <w:cnfStyle w:val="000000000000" w:firstRow="0" w:lastRow="0" w:firstColumn="0" w:lastColumn="0" w:oddVBand="0" w:evenVBand="0" w:oddHBand="0" w:evenHBand="0" w:firstRowFirstColumn="0" w:firstRowLastColumn="0" w:lastRowFirstColumn="0" w:lastRowLastColumn="0"/>
            </w:pPr>
            <w:r w:rsidRPr="000F23E0">
              <w:t>102</w:t>
            </w:r>
          </w:p>
        </w:tc>
        <w:tc>
          <w:tcPr>
            <w:tcW w:w="2268" w:type="dxa"/>
            <w:shd w:val="clear" w:color="auto" w:fill="FEFAF8"/>
          </w:tcPr>
          <w:p w14:paraId="4A42DED3" w14:textId="2680C749" w:rsidR="00FF41FE" w:rsidRPr="000F23E0" w:rsidRDefault="004C5FC9" w:rsidP="0089680F">
            <w:pPr>
              <w:pStyle w:val="TableTextRight"/>
              <w:cnfStyle w:val="000000000000" w:firstRow="0" w:lastRow="0" w:firstColumn="0" w:lastColumn="0" w:oddVBand="0" w:evenVBand="0" w:oddHBand="0" w:evenHBand="0" w:firstRowFirstColumn="0" w:firstRowLastColumn="0" w:lastRowFirstColumn="0" w:lastRowLastColumn="0"/>
            </w:pPr>
            <w:r w:rsidRPr="000F23E0">
              <w:t>Recorded</w:t>
            </w:r>
          </w:p>
        </w:tc>
        <w:tc>
          <w:tcPr>
            <w:tcW w:w="1703" w:type="dxa"/>
            <w:shd w:val="clear" w:color="auto" w:fill="FEFAF8"/>
          </w:tcPr>
          <w:p w14:paraId="026B217E" w14:textId="7F1706CA" w:rsidR="00FF41FE" w:rsidRPr="000F23E0" w:rsidRDefault="00E226F1" w:rsidP="0089680F">
            <w:pPr>
              <w:pStyle w:val="TableTextRight"/>
              <w:cnfStyle w:val="000000000000" w:firstRow="0" w:lastRow="0" w:firstColumn="0" w:lastColumn="0" w:oddVBand="0" w:evenVBand="0" w:oddHBand="0" w:evenHBand="0" w:firstRowFirstColumn="0" w:firstRowLastColumn="0" w:lastRowFirstColumn="0" w:lastRowLastColumn="0"/>
            </w:pPr>
            <w:r w:rsidRPr="000F23E0">
              <w:t>FY</w:t>
            </w:r>
            <w:r w:rsidR="00725084" w:rsidRPr="000F23E0">
              <w:t>2024</w:t>
            </w:r>
            <w:r w:rsidR="00ED5506" w:rsidRPr="000F23E0">
              <w:t>–</w:t>
            </w:r>
            <w:r w:rsidR="004C5FC9" w:rsidRPr="000F23E0">
              <w:t>25</w:t>
            </w:r>
          </w:p>
        </w:tc>
      </w:tr>
      <w:tr w:rsidR="002974A4" w:rsidRPr="000F23E0" w14:paraId="44ADBDDE" w14:textId="77777777" w:rsidTr="00EF4764">
        <w:trPr>
          <w:trHeight w:val="80"/>
        </w:trPr>
        <w:tc>
          <w:tcPr>
            <w:cnfStyle w:val="001000000000" w:firstRow="0" w:lastRow="0" w:firstColumn="1" w:lastColumn="0" w:oddVBand="0" w:evenVBand="0" w:oddHBand="0" w:evenHBand="0" w:firstRowFirstColumn="0" w:firstRowLastColumn="0" w:lastRowFirstColumn="0" w:lastRowLastColumn="0"/>
            <w:tcW w:w="3684" w:type="dxa"/>
            <w:shd w:val="clear" w:color="auto" w:fill="FDF0E7"/>
            <w:vAlign w:val="center"/>
          </w:tcPr>
          <w:p w14:paraId="59AAF1DF" w14:textId="1B33F8E5" w:rsidR="00BB68A5" w:rsidRPr="000F23E0" w:rsidRDefault="00A04537" w:rsidP="0089680F">
            <w:pPr>
              <w:pStyle w:val="TableTextLeft"/>
              <w:rPr>
                <w:b/>
                <w:bCs w:val="0"/>
              </w:rPr>
            </w:pPr>
            <w:r w:rsidRPr="000F23E0">
              <w:rPr>
                <w:b/>
                <w:bCs w:val="0"/>
              </w:rPr>
              <w:t>Total</w:t>
            </w:r>
          </w:p>
        </w:tc>
        <w:tc>
          <w:tcPr>
            <w:tcW w:w="1417" w:type="dxa"/>
            <w:shd w:val="clear" w:color="auto" w:fill="FEFAF8"/>
          </w:tcPr>
          <w:p w14:paraId="44F5F5D2" w14:textId="5CCBF6B7" w:rsidR="00BB68A5" w:rsidRPr="000F23E0" w:rsidRDefault="006F435A" w:rsidP="0089680F">
            <w:pPr>
              <w:pStyle w:val="TableTextRight"/>
              <w:cnfStyle w:val="000000000000" w:firstRow="0" w:lastRow="0" w:firstColumn="0" w:lastColumn="0" w:oddVBand="0" w:evenVBand="0" w:oddHBand="0" w:evenHBand="0" w:firstRowFirstColumn="0" w:firstRowLastColumn="0" w:lastRowFirstColumn="0" w:lastRowLastColumn="0"/>
              <w:rPr>
                <w:b/>
              </w:rPr>
            </w:pPr>
            <w:r w:rsidRPr="000F23E0">
              <w:rPr>
                <w:b/>
              </w:rPr>
              <w:t>192</w:t>
            </w:r>
          </w:p>
        </w:tc>
        <w:tc>
          <w:tcPr>
            <w:tcW w:w="2268" w:type="dxa"/>
            <w:shd w:val="clear" w:color="auto" w:fill="FEFAF8"/>
          </w:tcPr>
          <w:p w14:paraId="2AE46018" w14:textId="06849C4E" w:rsidR="00BB68A5" w:rsidRPr="000F23E0" w:rsidRDefault="004C5FC9" w:rsidP="0089680F">
            <w:pPr>
              <w:pStyle w:val="TableTextRight"/>
              <w:cnfStyle w:val="000000000000" w:firstRow="0" w:lastRow="0" w:firstColumn="0" w:lastColumn="0" w:oddVBand="0" w:evenVBand="0" w:oddHBand="0" w:evenHBand="0" w:firstRowFirstColumn="0" w:firstRowLastColumn="0" w:lastRowFirstColumn="0" w:lastRowLastColumn="0"/>
              <w:rPr>
                <w:b/>
              </w:rPr>
            </w:pPr>
            <w:r w:rsidRPr="000F23E0">
              <w:rPr>
                <w:b/>
              </w:rPr>
              <w:t>Recorded</w:t>
            </w:r>
          </w:p>
        </w:tc>
        <w:tc>
          <w:tcPr>
            <w:tcW w:w="1703" w:type="dxa"/>
            <w:shd w:val="clear" w:color="auto" w:fill="FEFAF8"/>
          </w:tcPr>
          <w:p w14:paraId="1647344A" w14:textId="316C7B61" w:rsidR="00BB68A5" w:rsidRPr="000F23E0" w:rsidRDefault="00E226F1" w:rsidP="0089680F">
            <w:pPr>
              <w:pStyle w:val="TableTextRight"/>
              <w:cnfStyle w:val="000000000000" w:firstRow="0" w:lastRow="0" w:firstColumn="0" w:lastColumn="0" w:oddVBand="0" w:evenVBand="0" w:oddHBand="0" w:evenHBand="0" w:firstRowFirstColumn="0" w:firstRowLastColumn="0" w:lastRowFirstColumn="0" w:lastRowLastColumn="0"/>
              <w:rPr>
                <w:b/>
              </w:rPr>
            </w:pPr>
            <w:r w:rsidRPr="000F23E0">
              <w:rPr>
                <w:b/>
              </w:rPr>
              <w:t>FY</w:t>
            </w:r>
            <w:r w:rsidR="004C5FC9" w:rsidRPr="000F23E0">
              <w:rPr>
                <w:b/>
              </w:rPr>
              <w:t>2024</w:t>
            </w:r>
            <w:r w:rsidR="00ED5506" w:rsidRPr="000F23E0">
              <w:rPr>
                <w:b/>
              </w:rPr>
              <w:t>–</w:t>
            </w:r>
            <w:r w:rsidR="004C5FC9" w:rsidRPr="000F23E0">
              <w:rPr>
                <w:b/>
              </w:rPr>
              <w:t>25</w:t>
            </w:r>
          </w:p>
        </w:tc>
      </w:tr>
    </w:tbl>
    <w:tbl>
      <w:tblPr>
        <w:tblW w:w="5000" w:type="pct"/>
        <w:shd w:val="clear" w:color="auto" w:fill="FDF0E7"/>
        <w:tblCellMar>
          <w:top w:w="113" w:type="dxa"/>
          <w:left w:w="284" w:type="dxa"/>
          <w:bottom w:w="227" w:type="dxa"/>
          <w:right w:w="284" w:type="dxa"/>
        </w:tblCellMar>
        <w:tblLook w:val="04A0" w:firstRow="1" w:lastRow="0" w:firstColumn="1" w:lastColumn="0" w:noHBand="0" w:noVBand="1"/>
      </w:tblPr>
      <w:tblGrid>
        <w:gridCol w:w="9070"/>
      </w:tblGrid>
      <w:tr w:rsidR="00235E92" w:rsidRPr="000F23E0" w14:paraId="0651D0AD" w14:textId="77777777" w:rsidTr="007F550F">
        <w:tc>
          <w:tcPr>
            <w:tcW w:w="5000" w:type="pct"/>
            <w:shd w:val="clear" w:color="auto" w:fill="FDF0E7"/>
            <w:hideMark/>
          </w:tcPr>
          <w:p w14:paraId="5029E755" w14:textId="4957A381" w:rsidR="00235E92" w:rsidRPr="000F23E0" w:rsidRDefault="00235E92">
            <w:pPr>
              <w:pStyle w:val="Caseheading"/>
            </w:pPr>
            <w:bookmarkStart w:id="394" w:name="_Hlk222319849"/>
            <w:r w:rsidRPr="000F23E0">
              <w:lastRenderedPageBreak/>
              <w:t xml:space="preserve">Case Study 12: RMF in action </w:t>
            </w:r>
            <w:r w:rsidR="0097395B" w:rsidRPr="000F23E0">
              <w:t>–</w:t>
            </w:r>
            <w:r w:rsidRPr="000F23E0">
              <w:t xml:space="preserve"> Australia’s first drum pulper</w:t>
            </w:r>
          </w:p>
          <w:p w14:paraId="0B3DA95F" w14:textId="65ADF196" w:rsidR="00235E92" w:rsidRPr="000F23E0" w:rsidRDefault="00235E92" w:rsidP="00D05E2B">
            <w:pPr>
              <w:pStyle w:val="BoxText"/>
            </w:pPr>
            <w:r w:rsidRPr="000F23E0">
              <w:rPr>
                <w:bCs/>
              </w:rPr>
              <w:t xml:space="preserve">In 2022–23, Victoria generated </w:t>
            </w:r>
            <w:hyperlink r:id="rId115">
              <w:r w:rsidRPr="000F23E0">
                <w:rPr>
                  <w:bCs/>
                </w:rPr>
                <w:t>1.2 million tonnes of paper and cardboard waste</w:t>
              </w:r>
            </w:hyperlink>
            <w:r w:rsidRPr="000F23E0">
              <w:rPr>
                <w:bCs/>
              </w:rPr>
              <w:t>. Although paper and cardboard are easily recyclable materials, 560,000 tonnes of this waste was sent to</w:t>
            </w:r>
            <w:r w:rsidR="0097395B" w:rsidRPr="000F23E0">
              <w:rPr>
                <w:bCs/>
              </w:rPr>
              <w:t> </w:t>
            </w:r>
            <w:r w:rsidRPr="000F23E0">
              <w:rPr>
                <w:bCs/>
              </w:rPr>
              <w:t>landfills in the same year. This represents a significant amount of resources that could otherwise be recovered and reused. Decomposing paper and cardboard in landfill also releases</w:t>
            </w:r>
            <w:r w:rsidR="0097395B" w:rsidRPr="000F23E0">
              <w:rPr>
                <w:bCs/>
              </w:rPr>
              <w:t> </w:t>
            </w:r>
            <w:r w:rsidRPr="000F23E0">
              <w:rPr>
                <w:bCs/>
              </w:rPr>
              <w:t xml:space="preserve">methane. This is a potent greenhouse gas that contributes to climate change. </w:t>
            </w:r>
          </w:p>
          <w:p w14:paraId="57975A02" w14:textId="6BB23F97" w:rsidR="00235E92" w:rsidRPr="000F23E0" w:rsidRDefault="00235E92" w:rsidP="00D05E2B">
            <w:pPr>
              <w:pStyle w:val="BoxText"/>
            </w:pPr>
            <w:r w:rsidRPr="000F23E0">
              <w:t>With</w:t>
            </w:r>
            <w:r w:rsidRPr="000F23E0">
              <w:rPr>
                <w:bCs/>
              </w:rPr>
              <w:t xml:space="preserve"> the support of the Australian and Victorian governments through the </w:t>
            </w:r>
            <w:hyperlink r:id="rId116" w:history="1">
              <w:r w:rsidRPr="000F23E0">
                <w:rPr>
                  <w:bCs/>
                </w:rPr>
                <w:t>Recycling Modernisation Fund (RMF</w:t>
              </w:r>
              <w:r w:rsidRPr="000F23E0">
                <w:t xml:space="preserve">), </w:t>
              </w:r>
            </w:hyperlink>
            <w:r w:rsidRPr="000F23E0">
              <w:t>VISY is innovating to help boost the amount of paper and cardboard</w:t>
            </w:r>
            <w:r w:rsidR="0097395B" w:rsidRPr="000F23E0">
              <w:t> </w:t>
            </w:r>
            <w:r w:rsidRPr="000F23E0">
              <w:t xml:space="preserve">waste recycled in Australia. </w:t>
            </w:r>
            <w:r w:rsidRPr="000F23E0">
              <w:rPr>
                <w:bCs/>
              </w:rPr>
              <w:t>VISY commissioned Australia's first drum-pulper at its Coolaroo facility in Victoria. The drum pulper is unlike traditional upright pulpers that cut the paper. It</w:t>
            </w:r>
            <w:r w:rsidR="0097395B" w:rsidRPr="000F23E0">
              <w:rPr>
                <w:bCs/>
              </w:rPr>
              <w:t> </w:t>
            </w:r>
            <w:r w:rsidRPr="000F23E0">
              <w:rPr>
                <w:bCs/>
              </w:rPr>
              <w:t>uses a gentler, rotating action, that helps preserve more paper fibres for higher quality</w:t>
            </w:r>
            <w:r w:rsidR="0097395B" w:rsidRPr="000F23E0">
              <w:rPr>
                <w:bCs/>
              </w:rPr>
              <w:t> </w:t>
            </w:r>
            <w:r w:rsidRPr="000F23E0">
              <w:rPr>
                <w:bCs/>
              </w:rPr>
              <w:t xml:space="preserve">recycling. </w:t>
            </w:r>
          </w:p>
          <w:p w14:paraId="6464D6EA" w14:textId="149A85F2" w:rsidR="00235E92" w:rsidRPr="000F23E0" w:rsidRDefault="00235E92" w:rsidP="00235E92">
            <w:r w:rsidRPr="000F23E0">
              <w:rPr>
                <w:bCs/>
              </w:rPr>
              <w:t>The pulper came online in August 2023. It processed 180,000 tonnes of paper and cardboard in</w:t>
            </w:r>
            <w:r w:rsidR="0097395B" w:rsidRPr="000F23E0">
              <w:rPr>
                <w:bCs/>
              </w:rPr>
              <w:t> </w:t>
            </w:r>
            <w:r w:rsidRPr="000F23E0">
              <w:rPr>
                <w:bCs/>
              </w:rPr>
              <w:t>its first year. Visy’s co-located paper mill turns this 100</w:t>
            </w:r>
            <w:r w:rsidR="00C5335F" w:rsidRPr="000F23E0">
              <w:rPr>
                <w:bCs/>
              </w:rPr>
              <w:t xml:space="preserve"> p</w:t>
            </w:r>
            <w:r w:rsidR="00C5335F" w:rsidRPr="000F23E0">
              <w:t>er cent</w:t>
            </w:r>
            <w:r w:rsidRPr="000F23E0">
              <w:rPr>
                <w:bCs/>
              </w:rPr>
              <w:t xml:space="preserve"> recycled paper back into a</w:t>
            </w:r>
            <w:r w:rsidR="00C5335F" w:rsidRPr="000F23E0">
              <w:rPr>
                <w:bCs/>
              </w:rPr>
              <w:t> </w:t>
            </w:r>
            <w:r w:rsidRPr="000F23E0">
              <w:rPr>
                <w:bCs/>
              </w:rPr>
              <w:t>variety of</w:t>
            </w:r>
            <w:r w:rsidR="00C5335F" w:rsidRPr="000F23E0">
              <w:rPr>
                <w:bCs/>
              </w:rPr>
              <w:t xml:space="preserve"> </w:t>
            </w:r>
            <w:r w:rsidRPr="000F23E0">
              <w:rPr>
                <w:bCs/>
              </w:rPr>
              <w:t>paper products including food and beverage packaging.</w:t>
            </w:r>
          </w:p>
          <w:p w14:paraId="560F354A" w14:textId="603019D5" w:rsidR="00235E92" w:rsidRPr="000F23E0" w:rsidRDefault="00235E92" w:rsidP="00D05E2B">
            <w:pPr>
              <w:pStyle w:val="BoxText"/>
            </w:pPr>
            <w:r w:rsidRPr="000F23E0">
              <w:t xml:space="preserve"> </w:t>
            </w:r>
            <w:r w:rsidRPr="000F23E0">
              <w:drawing>
                <wp:inline distT="0" distB="0" distL="0" distR="0" wp14:anchorId="1E022142" wp14:editId="17CCC278">
                  <wp:extent cx="3960000" cy="2232000"/>
                  <wp:effectExtent l="0" t="0" r="2540" b="0"/>
                  <wp:docPr id="1185434597" name="Picture 1" descr="Australia’s first drum pulper in Coolaroo, Victoria. Photo courtesy of VISY Industries. A large concrete pipe in a warehouse. ">
                    <a:hlinkClick xmlns:a="http://schemas.openxmlformats.org/drawingml/2006/main" r:id="rId1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434597" name="Picture 1" descr="Australia’s first drum pulper in Coolaroo, Victoria. Photo courtesy of VISY Industries. A large concrete pipe in a warehouse. ">
                            <a:hlinkClick r:id="rId117"/>
                          </pic:cNvPr>
                          <pic:cNvPicPr>
                            <a:picLocks noChangeAspect="1" noChangeArrowheads="1"/>
                          </pic:cNvPicPr>
                        </pic:nvPicPr>
                        <pic:blipFill>
                          <a:blip r:embed="rId118">
                            <a:extLst>
                              <a:ext uri="{28A0092B-C50C-407E-A947-70E740481C1C}">
                                <a14:useLocalDpi xmlns:a14="http://schemas.microsoft.com/office/drawing/2010/main" val="0"/>
                              </a:ext>
                            </a:extLst>
                          </a:blip>
                          <a:stretch>
                            <a:fillRect/>
                          </a:stretch>
                        </pic:blipFill>
                        <pic:spPr bwMode="auto">
                          <a:xfrm>
                            <a:off x="0" y="0"/>
                            <a:ext cx="3960000" cy="2232000"/>
                          </a:xfrm>
                          <a:prstGeom prst="rect">
                            <a:avLst/>
                          </a:prstGeom>
                          <a:noFill/>
                          <a:ln>
                            <a:noFill/>
                          </a:ln>
                        </pic:spPr>
                      </pic:pic>
                    </a:graphicData>
                  </a:graphic>
                </wp:inline>
              </w:drawing>
            </w:r>
          </w:p>
          <w:p w14:paraId="282C5502" w14:textId="7CFC6287" w:rsidR="0097395B" w:rsidRPr="000F23E0" w:rsidRDefault="0097395B" w:rsidP="0097395B">
            <w:pPr>
              <w:pStyle w:val="ChartorTableNote"/>
              <w:spacing w:after="240"/>
            </w:pPr>
            <w:r w:rsidRPr="000F23E0">
              <w:t>Australia’s first drum pulper in Coolaroo, Victoria. Photo courtesy of VISY Industries.</w:t>
            </w:r>
          </w:p>
          <w:p w14:paraId="34BDCFEF" w14:textId="77777777" w:rsidR="00235E92" w:rsidRPr="000F23E0" w:rsidRDefault="00235E92" w:rsidP="00D05E2B">
            <w:pPr>
              <w:pStyle w:val="BoxText"/>
            </w:pPr>
            <w:r w:rsidRPr="000F23E0">
              <w:drawing>
                <wp:inline distT="0" distB="0" distL="0" distR="0" wp14:anchorId="33EDD455" wp14:editId="14940A37">
                  <wp:extent cx="3987209" cy="2243711"/>
                  <wp:effectExtent l="0" t="0" r="0" b="4445"/>
                  <wp:docPr id="1051541580" name="drawing" descr="A large warehouse from the outside with large metal cylinders on one side, and recycled material on the other in a courty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541580" name="drawing" descr="A large warehouse from the outside with large metal cylinders on one side, and recycled material on the other in a courtyard."/>
                          <pic:cNvPicPr/>
                        </pic:nvPicPr>
                        <pic:blipFill>
                          <a:blip r:embed="rId119">
                            <a:extLst>
                              <a:ext uri="{28A0092B-C50C-407E-A947-70E740481C1C}">
                                <a14:useLocalDpi xmlns:a14="http://schemas.microsoft.com/office/drawing/2010/main" val="0"/>
                              </a:ext>
                            </a:extLst>
                          </a:blip>
                          <a:stretch>
                            <a:fillRect/>
                          </a:stretch>
                        </pic:blipFill>
                        <pic:spPr>
                          <a:xfrm>
                            <a:off x="0" y="0"/>
                            <a:ext cx="3991937" cy="2246371"/>
                          </a:xfrm>
                          <a:prstGeom prst="rect">
                            <a:avLst/>
                          </a:prstGeom>
                        </pic:spPr>
                      </pic:pic>
                    </a:graphicData>
                  </a:graphic>
                </wp:inline>
              </w:drawing>
            </w:r>
          </w:p>
          <w:p w14:paraId="3C0E2943" w14:textId="522FA335" w:rsidR="00235E92" w:rsidRPr="000F23E0" w:rsidRDefault="0097395B" w:rsidP="0097395B">
            <w:pPr>
              <w:pStyle w:val="ChartorTableNote"/>
            </w:pPr>
            <w:r w:rsidRPr="000F23E0">
              <w:t>A recycling facility in Coolaroo, Victoria. Photo courtesy of VISY Industries</w:t>
            </w:r>
          </w:p>
        </w:tc>
      </w:tr>
      <w:bookmarkEnd w:id="394"/>
      <w:tr w:rsidR="00A63430" w:rsidRPr="000F23E0" w14:paraId="6F1E96E4" w14:textId="77777777" w:rsidTr="007F550F">
        <w:tc>
          <w:tcPr>
            <w:tcW w:w="5000" w:type="pct"/>
            <w:shd w:val="clear" w:color="auto" w:fill="FDF0E7"/>
            <w:hideMark/>
          </w:tcPr>
          <w:p w14:paraId="1E8CF361" w14:textId="77777777" w:rsidR="00A63430" w:rsidRPr="000F23E0" w:rsidRDefault="00A63430" w:rsidP="00A63430">
            <w:pPr>
              <w:pStyle w:val="Caseheading"/>
            </w:pPr>
            <w:r w:rsidRPr="000F23E0">
              <w:lastRenderedPageBreak/>
              <w:t xml:space="preserve">Case Study 13: RMF in action - More recycling capacity for the NT </w:t>
            </w:r>
          </w:p>
          <w:p w14:paraId="00D1F898" w14:textId="31DACFFE" w:rsidR="00A63430" w:rsidRPr="000F23E0" w:rsidRDefault="00A63430" w:rsidP="00D05E2B">
            <w:pPr>
              <w:pStyle w:val="BoxText"/>
            </w:pPr>
            <w:r w:rsidRPr="000F23E0">
              <w:t>In 2022–23, the Northern Territory generated 421,000 tonnes of core waste</w:t>
            </w:r>
            <w:r w:rsidRPr="000F23E0">
              <w:rPr>
                <w:vertAlign w:val="superscript"/>
              </w:rPr>
              <w:endnoteReference w:id="72"/>
            </w:r>
            <w:r w:rsidRPr="000F23E0">
              <w:t xml:space="preserve">. </w:t>
            </w:r>
            <w:r w:rsidR="00935B36" w:rsidRPr="000F23E0">
              <w:t>28 </w:t>
            </w:r>
            <w:r w:rsidRPr="000F23E0">
              <w:t>per</w:t>
            </w:r>
            <w:r w:rsidR="007F550F" w:rsidRPr="000F23E0">
              <w:t> </w:t>
            </w:r>
            <w:r w:rsidRPr="000F23E0">
              <w:t>cent of this waste was recycled.</w:t>
            </w:r>
          </w:p>
          <w:p w14:paraId="123A9B64" w14:textId="415680D2" w:rsidR="00A63430" w:rsidRPr="000F23E0" w:rsidRDefault="00A63430" w:rsidP="00D05E2B">
            <w:pPr>
              <w:pStyle w:val="BoxText"/>
            </w:pPr>
            <w:r w:rsidRPr="000F23E0">
              <w:t>Collecting household waste is the first step in recycling materials so they can be used again. But</w:t>
            </w:r>
            <w:r w:rsidR="007F550F" w:rsidRPr="000F23E0">
              <w:t> </w:t>
            </w:r>
            <w:r w:rsidRPr="000F23E0">
              <w:t xml:space="preserve">many regional and remote communities don’t have kerbside waste collection or nearby recycling centres. </w:t>
            </w:r>
            <w:r w:rsidR="00E922FB" w:rsidRPr="000F23E0">
              <w:t>T</w:t>
            </w:r>
            <w:r w:rsidRPr="000F23E0">
              <w:t>his makes it harder for people to recycle, and valuable materials often end up in landfill instead. The Central Desert Regional Council (CDRC) solved these challenges with</w:t>
            </w:r>
            <w:r w:rsidR="007F550F" w:rsidRPr="000F23E0">
              <w:t> </w:t>
            </w:r>
            <w:r w:rsidRPr="000F23E0">
              <w:t xml:space="preserve">the support of the Australian and Northern Territory governments through the </w:t>
            </w:r>
            <w:hyperlink r:id="rId120" w:tgtFrame="_blank" w:history="1">
              <w:r w:rsidRPr="000F23E0">
                <w:rPr>
                  <w:rStyle w:val="Hyperlink"/>
                  <w:bCs/>
                </w:rPr>
                <w:t>Recycling</w:t>
              </w:r>
              <w:r w:rsidR="007F550F" w:rsidRPr="000F23E0">
                <w:rPr>
                  <w:rStyle w:val="Hyperlink"/>
                  <w:bCs/>
                </w:rPr>
                <w:t xml:space="preserve"> </w:t>
              </w:r>
              <w:r w:rsidRPr="000F23E0">
                <w:rPr>
                  <w:rStyle w:val="Hyperlink"/>
                  <w:bCs/>
                </w:rPr>
                <w:t>Modernisation Fund (RMF).</w:t>
              </w:r>
            </w:hyperlink>
            <w:r w:rsidRPr="000F23E0">
              <w:t xml:space="preserve"> The CDRC spans over 282,000 square kilometres. It covers remote communities to the north and east of Alice Springs in the Northern Territory. These are some of</w:t>
            </w:r>
            <w:r w:rsidR="007F550F" w:rsidRPr="000F23E0">
              <w:t> </w:t>
            </w:r>
            <w:r w:rsidRPr="000F23E0">
              <w:t>Australia’s most remote communities.</w:t>
            </w:r>
          </w:p>
          <w:p w14:paraId="6F8C2E84" w14:textId="29FB23CB" w:rsidR="00A63430" w:rsidRPr="000F23E0" w:rsidRDefault="00A63430" w:rsidP="007F550F">
            <w:pPr>
              <w:pStyle w:val="BoxText"/>
              <w:spacing w:after="240"/>
            </w:pPr>
            <w:r w:rsidRPr="000F23E0">
              <w:t>The council built multi-material recycling bays in Yuelamu, Nyirripi, Willowra, Atitjere, Lajamanu,</w:t>
            </w:r>
            <w:r w:rsidR="00935B36" w:rsidRPr="000F23E0">
              <w:t> </w:t>
            </w:r>
            <w:r w:rsidRPr="000F23E0">
              <w:t xml:space="preserve">Laramba and Engawala. The bays give residents a space to drop off and sort their waste for recycling. The sorted waste enables CDRC staff to easily manage materials for recycling or recovery, with up to 802 tonnes of waste diverted from landfill per year. </w:t>
            </w:r>
          </w:p>
          <w:p w14:paraId="492997DF" w14:textId="77777777" w:rsidR="00802F68" w:rsidRPr="000F23E0" w:rsidRDefault="00802F68" w:rsidP="00D05E2B">
            <w:pPr>
              <w:pStyle w:val="BoxText"/>
            </w:pPr>
            <w:r w:rsidRPr="000F23E0">
              <w:drawing>
                <wp:inline distT="0" distB="0" distL="0" distR="0" wp14:anchorId="33856B48" wp14:editId="74DD1FCC">
                  <wp:extent cx="5411972" cy="4002491"/>
                  <wp:effectExtent l="0" t="0" r="0" b="0"/>
                  <wp:docPr id="244226344" name="Picture 2" descr="A open air tin shed with multiple bays on red soi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226344" name="Picture 2" descr="A open air tin shed with multiple bays on red soil.  "/>
                          <pic:cNvPicPr>
                            <a:picLocks noChangeAspect="1" noChangeArrowheads="1"/>
                          </pic:cNvPicPr>
                        </pic:nvPicPr>
                        <pic:blipFill rotWithShape="1">
                          <a:blip r:embed="rId121" cstate="print">
                            <a:extLst>
                              <a:ext uri="{28A0092B-C50C-407E-A947-70E740481C1C}">
                                <a14:useLocalDpi xmlns:a14="http://schemas.microsoft.com/office/drawing/2010/main" val="0"/>
                              </a:ext>
                            </a:extLst>
                          </a:blip>
                          <a:srcRect/>
                          <a:stretch>
                            <a:fillRect/>
                          </a:stretch>
                        </pic:blipFill>
                        <pic:spPr bwMode="auto">
                          <a:xfrm>
                            <a:off x="0" y="0"/>
                            <a:ext cx="5446233" cy="4027829"/>
                          </a:xfrm>
                          <a:prstGeom prst="rect">
                            <a:avLst/>
                          </a:prstGeom>
                          <a:noFill/>
                          <a:ln>
                            <a:noFill/>
                          </a:ln>
                          <a:extLst>
                            <a:ext uri="{53640926-AAD7-44D8-BBD7-CCE9431645EC}">
                              <a14:shadowObscured xmlns:a14="http://schemas.microsoft.com/office/drawing/2010/main"/>
                            </a:ext>
                          </a:extLst>
                        </pic:spPr>
                      </pic:pic>
                    </a:graphicData>
                  </a:graphic>
                </wp:inline>
              </w:drawing>
            </w:r>
          </w:p>
          <w:p w14:paraId="336CC717" w14:textId="4999E907" w:rsidR="00802F68" w:rsidRPr="000F23E0" w:rsidRDefault="007F550F" w:rsidP="0097395B">
            <w:pPr>
              <w:pStyle w:val="ChartorTableNote"/>
            </w:pPr>
            <w:r w:rsidRPr="000F23E0">
              <w:t>Remote sorting bay in the Northern Territory supported by RMF funding from the Australian and Northern Territory governments</w:t>
            </w:r>
            <w:r w:rsidR="00DD7159" w:rsidRPr="000F23E0">
              <w:t>.</w:t>
            </w:r>
            <w:r w:rsidR="005F45A1" w:rsidRPr="000F23E0">
              <w:t xml:space="preserve"> </w:t>
            </w:r>
            <w:r w:rsidR="0097395B" w:rsidRPr="000F23E0">
              <w:t>Photo courtesy of the Central Desert Regional Council.</w:t>
            </w:r>
          </w:p>
        </w:tc>
      </w:tr>
    </w:tbl>
    <w:p w14:paraId="06D49914" w14:textId="77777777" w:rsidR="00EF4764" w:rsidRPr="000F23E0" w:rsidRDefault="00EF4764" w:rsidP="00B424DA">
      <w:pPr>
        <w:sectPr w:rsidR="00EF4764" w:rsidRPr="000F23E0" w:rsidSect="00D461D1">
          <w:footnotePr>
            <w:numFmt w:val="lowerLetter"/>
          </w:footnotePr>
          <w:endnotePr>
            <w:numFmt w:val="decimal"/>
          </w:endnotePr>
          <w:pgSz w:w="11906" w:h="16838" w:code="9"/>
          <w:pgMar w:top="1843" w:right="1418" w:bottom="1418" w:left="1418" w:header="709" w:footer="709" w:gutter="0"/>
          <w:cols w:space="708"/>
          <w:docGrid w:linePitch="360"/>
        </w:sectPr>
      </w:pPr>
    </w:p>
    <w:p w14:paraId="0D391926" w14:textId="3036F796" w:rsidR="00407B58" w:rsidRPr="000F23E0" w:rsidRDefault="00D3586C" w:rsidP="00557D2D">
      <w:pPr>
        <w:pStyle w:val="Heading1"/>
      </w:pPr>
      <w:bookmarkStart w:id="395" w:name="_Toc225155809"/>
      <w:bookmarkEnd w:id="373"/>
      <w:r w:rsidRPr="000F23E0">
        <w:lastRenderedPageBreak/>
        <w:t xml:space="preserve">Chapter 10: </w:t>
      </w:r>
      <w:r w:rsidR="00F97642" w:rsidRPr="000F23E0">
        <w:t>Eligibility process and</w:t>
      </w:r>
      <w:r w:rsidR="002C4475" w:rsidRPr="000F23E0">
        <w:t> </w:t>
      </w:r>
      <w:r w:rsidR="00F97642" w:rsidRPr="000F23E0">
        <w:t>reporting</w:t>
      </w:r>
      <w:bookmarkEnd w:id="395"/>
    </w:p>
    <w:p w14:paraId="4672246D" w14:textId="7C32FA92" w:rsidR="005920C5" w:rsidRPr="000F23E0" w:rsidRDefault="0087517E" w:rsidP="002C4475">
      <w:pPr>
        <w:pStyle w:val="Heading2"/>
      </w:pPr>
      <w:bookmarkStart w:id="396" w:name="_Toc225155810"/>
      <w:r w:rsidRPr="000F23E0">
        <w:t xml:space="preserve">Selection of </w:t>
      </w:r>
      <w:r w:rsidR="005920C5" w:rsidRPr="000F23E0">
        <w:t>Eligible Green Ex</w:t>
      </w:r>
      <w:r w:rsidR="00D65B31" w:rsidRPr="000F23E0">
        <w:t>penditures</w:t>
      </w:r>
      <w:bookmarkEnd w:id="396"/>
    </w:p>
    <w:p w14:paraId="34EC218A" w14:textId="7F652BA7" w:rsidR="00CA27E9" w:rsidRPr="000F23E0" w:rsidRDefault="00CA27E9" w:rsidP="00CA27E9">
      <w:pPr>
        <w:shd w:val="clear" w:color="auto" w:fill="FFFFFF" w:themeFill="background1"/>
      </w:pPr>
      <w:r w:rsidRPr="000F23E0">
        <w:t>Projects in some sectors are excluded from consideration as an Eligible Green Expenditure in the</w:t>
      </w:r>
      <w:r w:rsidR="007F550F" w:rsidRPr="000F23E0">
        <w:t> </w:t>
      </w:r>
      <w:hyperlink r:id="rId122" w:history="1">
        <w:r w:rsidRPr="000F23E0">
          <w:rPr>
            <w:rStyle w:val="Hyperlink"/>
          </w:rPr>
          <w:t>Australian Green Bond Framework</w:t>
        </w:r>
      </w:hyperlink>
      <w:r w:rsidRPr="000F23E0">
        <w:t xml:space="preserve">. </w:t>
      </w:r>
      <w:r w:rsidR="00AB567C" w:rsidRPr="000F23E0">
        <w:t>P</w:t>
      </w:r>
      <w:r w:rsidRPr="000F23E0">
        <w:t>rojects that relate to the development, refining and transportation of fossil fuels, as well as programs that predominately assist Australia</w:t>
      </w:r>
      <w:r w:rsidR="002C4475" w:rsidRPr="000F23E0">
        <w:t>’</w:t>
      </w:r>
      <w:r w:rsidRPr="000F23E0">
        <w:t>s highest greenhouse gas emitting facilities are excluded. This is why some major emissions reductions policies,</w:t>
      </w:r>
      <w:r w:rsidR="007F550F" w:rsidRPr="000F23E0">
        <w:t> </w:t>
      </w:r>
      <w:r w:rsidRPr="000F23E0">
        <w:t xml:space="preserve">such as the Safeguard Mechanism, are ineligible for the </w:t>
      </w:r>
      <w:r w:rsidR="00E760DE" w:rsidRPr="000F23E0">
        <w:t>Green Bond Program</w:t>
      </w:r>
      <w:r w:rsidR="002C4475" w:rsidRPr="000F23E0">
        <w:t xml:space="preserve">. </w:t>
      </w:r>
    </w:p>
    <w:p w14:paraId="2E0987E0" w14:textId="72FF509E" w:rsidR="00B0200B" w:rsidRPr="000F23E0" w:rsidRDefault="00B0200B" w:rsidP="00B0200B">
      <w:pPr>
        <w:shd w:val="clear" w:color="auto" w:fill="FFFFFF" w:themeFill="background1"/>
      </w:pPr>
      <w:r w:rsidRPr="000F23E0">
        <w:t xml:space="preserve">Treasury reviews Australian Government spending decisions made through the Budget process and identifies projects that are likely to align with the Green Bond Framework (the Framework) and the </w:t>
      </w:r>
      <w:hyperlink r:id="rId123" w:history="1">
        <w:r w:rsidRPr="000F23E0">
          <w:rPr>
            <w:rStyle w:val="Hyperlink"/>
          </w:rPr>
          <w:t>Second</w:t>
        </w:r>
        <w:r w:rsidR="002C4475" w:rsidRPr="000F23E0">
          <w:rPr>
            <w:rStyle w:val="Hyperlink"/>
          </w:rPr>
          <w:noBreakHyphen/>
        </w:r>
        <w:r w:rsidRPr="000F23E0">
          <w:rPr>
            <w:rStyle w:val="Hyperlink"/>
          </w:rPr>
          <w:t>Party Opinion on the Framework</w:t>
        </w:r>
      </w:hyperlink>
      <w:r w:rsidRPr="000F23E0">
        <w:t xml:space="preserve">. </w:t>
      </w:r>
      <w:r w:rsidR="00EB05A5" w:rsidRPr="000F23E0">
        <w:t>The interdepartmental Green Bond Committee endorses the</w:t>
      </w:r>
      <w:r w:rsidR="007F550F" w:rsidRPr="000F23E0">
        <w:t> </w:t>
      </w:r>
      <w:r w:rsidR="00EB05A5" w:rsidRPr="000F23E0">
        <w:t>Eligible Green Bond Expenditures to be allocated GTB proceeds</w:t>
      </w:r>
      <w:r w:rsidR="002C4475" w:rsidRPr="000F23E0">
        <w:t xml:space="preserve">. </w:t>
      </w:r>
    </w:p>
    <w:p w14:paraId="3EAE667B" w14:textId="58E7DDB3" w:rsidR="007B726D" w:rsidRPr="000F23E0" w:rsidRDefault="00B0200B" w:rsidP="00CA27E9">
      <w:pPr>
        <w:shd w:val="clear" w:color="auto" w:fill="FFFFFF" w:themeFill="background1"/>
        <w:rPr>
          <w:shd w:val="clear" w:color="auto" w:fill="FFFFFF" w:themeFill="background1"/>
        </w:rPr>
      </w:pPr>
      <w:r w:rsidRPr="000F23E0">
        <w:rPr>
          <w:shd w:val="clear" w:color="auto" w:fill="FFFFFF" w:themeFill="background1"/>
        </w:rPr>
        <w:t>Treasury, informed by the interdepartmental Green Bond Committee, has an ongoing responsibility to</w:t>
      </w:r>
      <w:r w:rsidR="007F550F" w:rsidRPr="000F23E0">
        <w:rPr>
          <w:shd w:val="clear" w:color="auto" w:fill="FFFFFF" w:themeFill="background1"/>
        </w:rPr>
        <w:t> </w:t>
      </w:r>
      <w:r w:rsidRPr="000F23E0">
        <w:rPr>
          <w:shd w:val="clear" w:color="auto" w:fill="FFFFFF" w:themeFill="background1"/>
        </w:rPr>
        <w:t>update the list of Eligible Green Expenditures and review existing Eligible Green Expenditures. This</w:t>
      </w:r>
      <w:r w:rsidR="007F550F" w:rsidRPr="000F23E0">
        <w:rPr>
          <w:shd w:val="clear" w:color="auto" w:fill="FFFFFF" w:themeFill="background1"/>
        </w:rPr>
        <w:t> </w:t>
      </w:r>
      <w:r w:rsidRPr="000F23E0">
        <w:rPr>
          <w:shd w:val="clear" w:color="auto" w:fill="FFFFFF" w:themeFill="background1"/>
        </w:rPr>
        <w:t>list of Eligible Green Expenditures is available on the AOFM website.</w:t>
      </w:r>
      <w:r w:rsidRPr="000F23E0">
        <w:rPr>
          <w:rStyle w:val="EndnoteReference"/>
          <w:shd w:val="clear" w:color="auto" w:fill="FFFFFF" w:themeFill="background1"/>
        </w:rPr>
        <w:endnoteReference w:id="73"/>
      </w:r>
    </w:p>
    <w:p w14:paraId="61CF76F5" w14:textId="11AC0A19" w:rsidR="00CA27E9" w:rsidRPr="000F23E0" w:rsidRDefault="00CA27E9" w:rsidP="00CA27E9">
      <w:pPr>
        <w:shd w:val="clear" w:color="auto" w:fill="FFFFFF" w:themeFill="background1"/>
      </w:pPr>
      <w:r w:rsidRPr="000F23E0">
        <w:t xml:space="preserve">International best practice is considered when selecting projects to be </w:t>
      </w:r>
      <w:r w:rsidR="00BA2852" w:rsidRPr="000F23E0">
        <w:t xml:space="preserve">allocated </w:t>
      </w:r>
      <w:r w:rsidR="00611CEF" w:rsidRPr="000F23E0">
        <w:t>GTB</w:t>
      </w:r>
      <w:r w:rsidR="00BA2852" w:rsidRPr="000F23E0">
        <w:t xml:space="preserve"> proceed</w:t>
      </w:r>
      <w:r w:rsidRPr="000F23E0">
        <w:t>s. For</w:t>
      </w:r>
      <w:r w:rsidR="007F550F" w:rsidRPr="000F23E0">
        <w:t> </w:t>
      </w:r>
      <w:r w:rsidRPr="000F23E0">
        <w:t>the</w:t>
      </w:r>
      <w:r w:rsidR="007F550F" w:rsidRPr="000F23E0">
        <w:t> </w:t>
      </w:r>
      <w:r w:rsidRPr="000F23E0">
        <w:t xml:space="preserve">Australian Green Bond Framework, taxonomy screening thresholds of the Climate Bond Initiative and the European Union were applied at the time of writing in 2023. </w:t>
      </w:r>
    </w:p>
    <w:p w14:paraId="6F138E4F" w14:textId="31D4A40C" w:rsidR="00CA27E9" w:rsidRPr="000F23E0" w:rsidRDefault="00CA27E9" w:rsidP="00CA27E9">
      <w:pPr>
        <w:shd w:val="clear" w:color="auto" w:fill="FFFFFF" w:themeFill="background1"/>
      </w:pPr>
      <w:r w:rsidRPr="000F23E0">
        <w:t xml:space="preserve">The sustainable finance market has advanced considerably since then. To keep the Framework current, Treasury will update the current framework </w:t>
      </w:r>
      <w:r w:rsidR="00A25812" w:rsidRPr="000F23E0">
        <w:t xml:space="preserve">periodically </w:t>
      </w:r>
      <w:r w:rsidRPr="000F23E0">
        <w:t>to align with best practi</w:t>
      </w:r>
      <w:r w:rsidR="00707B2F" w:rsidRPr="000F23E0">
        <w:t>c</w:t>
      </w:r>
      <w:r w:rsidRPr="000F23E0">
        <w:t xml:space="preserve">e. This includes considering </w:t>
      </w:r>
      <w:r w:rsidR="00E82FD3" w:rsidRPr="000F23E0">
        <w:t xml:space="preserve">opportunities for alignment with </w:t>
      </w:r>
      <w:r w:rsidRPr="000F23E0">
        <w:t xml:space="preserve">the Australian Sustainable Finance Taxonomy. </w:t>
      </w:r>
    </w:p>
    <w:p w14:paraId="134540E7" w14:textId="7ECF92C9" w:rsidR="00935B36" w:rsidRPr="000F23E0" w:rsidRDefault="00935B36" w:rsidP="00FD3F58">
      <w:pPr>
        <w:pStyle w:val="ChartGraphic"/>
        <w:keepNext w:val="0"/>
      </w:pPr>
      <w:r w:rsidRPr="000F23E0">
        <w:drawing>
          <wp:inline distT="0" distB="0" distL="0" distR="0" wp14:anchorId="7C3F2420" wp14:editId="125F80CE">
            <wp:extent cx="5752409" cy="3288913"/>
            <wp:effectExtent l="0" t="0" r="1270" b="6985"/>
            <wp:docPr id="42410020" name="Picture 11" descr="Two kangaroos standing upright on their hind legs in a dry, grassy landscape with rocks and shrubs, appearing to interact with each other – likely fighting –  in the foreground during warm, low sunl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10020" name="Picture 11" descr="Two kangaroos standing upright on their hind legs in a dry, grassy landscape with rocks and shrubs, appearing to interact with each other – likely fighting –  in the foreground during warm, low sunlight."/>
                    <pic:cNvPicPr/>
                  </pic:nvPicPr>
                  <pic:blipFill rotWithShape="1">
                    <a:blip r:embed="rId124" cstate="print">
                      <a:extLst>
                        <a:ext uri="{28A0092B-C50C-407E-A947-70E740481C1C}">
                          <a14:useLocalDpi xmlns:a14="http://schemas.microsoft.com/office/drawing/2010/main" val="0"/>
                        </a:ext>
                      </a:extLst>
                    </a:blip>
                    <a:srcRect/>
                    <a:stretch>
                      <a:fillRect/>
                    </a:stretch>
                  </pic:blipFill>
                  <pic:spPr bwMode="auto">
                    <a:xfrm>
                      <a:off x="0" y="0"/>
                      <a:ext cx="5752409" cy="3288913"/>
                    </a:xfrm>
                    <a:prstGeom prst="rect">
                      <a:avLst/>
                    </a:prstGeom>
                    <a:ln>
                      <a:noFill/>
                    </a:ln>
                    <a:extLst>
                      <a:ext uri="{53640926-AAD7-44D8-BBD7-CCE9431645EC}">
                        <a14:shadowObscured xmlns:a14="http://schemas.microsoft.com/office/drawing/2010/main"/>
                      </a:ext>
                    </a:extLst>
                  </pic:spPr>
                </pic:pic>
              </a:graphicData>
            </a:graphic>
          </wp:inline>
        </w:drawing>
      </w:r>
    </w:p>
    <w:p w14:paraId="03CA4205" w14:textId="4F350007" w:rsidR="00290DF0" w:rsidRPr="000F23E0" w:rsidRDefault="00290DF0" w:rsidP="00290DF0">
      <w:pPr>
        <w:pStyle w:val="Heading2"/>
      </w:pPr>
      <w:bookmarkStart w:id="397" w:name="_Toc225155811"/>
      <w:r w:rsidRPr="000F23E0">
        <w:lastRenderedPageBreak/>
        <w:t xml:space="preserve">Green </w:t>
      </w:r>
      <w:r w:rsidR="005444BA" w:rsidRPr="000F23E0">
        <w:t xml:space="preserve">Treasury </w:t>
      </w:r>
      <w:r w:rsidRPr="000F23E0">
        <w:t xml:space="preserve">Bonds </w:t>
      </w:r>
      <w:r w:rsidR="005444BA" w:rsidRPr="000F23E0">
        <w:t>e</w:t>
      </w:r>
      <w:r w:rsidRPr="000F23E0">
        <w:t xml:space="preserve">ligibility </w:t>
      </w:r>
      <w:r w:rsidR="00E31D7C" w:rsidRPr="000F23E0">
        <w:t>w</w:t>
      </w:r>
      <w:r w:rsidRPr="000F23E0">
        <w:t>indow</w:t>
      </w:r>
      <w:bookmarkEnd w:id="397"/>
    </w:p>
    <w:p w14:paraId="01536701" w14:textId="146A89B1" w:rsidR="00290DF0" w:rsidRPr="000F23E0" w:rsidRDefault="00290DF0" w:rsidP="00290DF0">
      <w:pPr>
        <w:shd w:val="clear" w:color="auto" w:fill="FFFFFF" w:themeFill="background1"/>
      </w:pPr>
      <w:r w:rsidRPr="000F23E0">
        <w:t xml:space="preserve">Eligible Green Expenditures can </w:t>
      </w:r>
      <w:r w:rsidR="00D700CF" w:rsidRPr="000F23E0">
        <w:t>have expenditure that</w:t>
      </w:r>
      <w:r w:rsidRPr="000F23E0">
        <w:t xml:space="preserve"> occur</w:t>
      </w:r>
      <w:r w:rsidR="00E15DEB" w:rsidRPr="000F23E0">
        <w:t>s</w:t>
      </w:r>
      <w:r w:rsidRPr="000F23E0">
        <w:t xml:space="preserve"> in the financial year prior to issuance, the financial year of issuance, or in the following </w:t>
      </w:r>
      <w:r w:rsidR="00D43D1C" w:rsidRPr="000F23E0">
        <w:t xml:space="preserve">2 </w:t>
      </w:r>
      <w:r w:rsidRPr="000F23E0">
        <w:t>financial years</w:t>
      </w:r>
      <w:r w:rsidR="00080037" w:rsidRPr="000F23E0">
        <w:t xml:space="preserve"> (</w:t>
      </w:r>
      <w:r w:rsidR="00AB41A7" w:rsidRPr="000F23E0">
        <w:t>Figure 1</w:t>
      </w:r>
      <w:r w:rsidR="007C2510" w:rsidRPr="000F23E0">
        <w:t>0</w:t>
      </w:r>
      <w:r w:rsidR="00080037" w:rsidRPr="000F23E0">
        <w:t>)</w:t>
      </w:r>
      <w:r w:rsidR="005602FD" w:rsidRPr="000F23E0">
        <w:t>.</w:t>
      </w:r>
      <w:r w:rsidRPr="000F23E0">
        <w:t xml:space="preserve"> However, at least 50</w:t>
      </w:r>
      <w:r w:rsidR="007F550F" w:rsidRPr="000F23E0">
        <w:t> </w:t>
      </w:r>
      <w:r w:rsidRPr="000F23E0">
        <w:t>per</w:t>
      </w:r>
      <w:r w:rsidR="007F550F" w:rsidRPr="000F23E0">
        <w:t> </w:t>
      </w:r>
      <w:r w:rsidRPr="000F23E0">
        <w:t xml:space="preserve">cent of proceeds must be allocated to expenditure in the financial year of issuance and future years. This </w:t>
      </w:r>
      <w:r w:rsidR="00487444" w:rsidRPr="000F23E0">
        <w:t>ensures</w:t>
      </w:r>
      <w:r w:rsidRPr="000F23E0">
        <w:t xml:space="preserve"> there is sufficient known</w:t>
      </w:r>
      <w:r w:rsidR="006772AC" w:rsidRPr="000F23E0">
        <w:t xml:space="preserve"> </w:t>
      </w:r>
      <w:r w:rsidRPr="000F23E0">
        <w:t xml:space="preserve">expenditure to sustain the </w:t>
      </w:r>
      <w:r w:rsidR="00E760DE" w:rsidRPr="000F23E0">
        <w:t>Green Bond Program</w:t>
      </w:r>
      <w:r w:rsidRPr="000F23E0">
        <w:t xml:space="preserve"> and forward</w:t>
      </w:r>
      <w:r w:rsidR="002C4475" w:rsidRPr="000F23E0">
        <w:noBreakHyphen/>
      </w:r>
      <w:r w:rsidRPr="000F23E0">
        <w:t>looking expenditures that support new initiatives.</w:t>
      </w:r>
    </w:p>
    <w:p w14:paraId="77A332C7" w14:textId="1451A019" w:rsidR="004D2B41" w:rsidRPr="000F23E0" w:rsidRDefault="004D2B41" w:rsidP="00551F72">
      <w:pPr>
        <w:pStyle w:val="ChartMainHeading"/>
      </w:pPr>
      <w:bookmarkStart w:id="398" w:name="_Toc220610590"/>
      <w:bookmarkStart w:id="399" w:name="_Toc220597360"/>
      <w:bookmarkStart w:id="400" w:name="_Ref220661147"/>
      <w:bookmarkStart w:id="401" w:name="_Toc224637861"/>
      <w:bookmarkStart w:id="402" w:name="_Toc224642525"/>
      <w:bookmarkStart w:id="403" w:name="_Toc225153501"/>
      <w:bookmarkStart w:id="404" w:name="_Toc225154547"/>
      <w:bookmarkStart w:id="405" w:name="_Toc225155812"/>
      <w:r w:rsidRPr="000F23E0">
        <w:t xml:space="preserve">Figure </w:t>
      </w:r>
      <w:bookmarkEnd w:id="398"/>
      <w:bookmarkEnd w:id="399"/>
      <w:r w:rsidR="00AB41A7" w:rsidRPr="000F23E0">
        <w:t>1</w:t>
      </w:r>
      <w:r w:rsidR="007C2510" w:rsidRPr="000F23E0">
        <w:t>0:</w:t>
      </w:r>
      <w:r w:rsidRPr="000F23E0">
        <w:t xml:space="preserve"> Eligibility window</w:t>
      </w:r>
      <w:bookmarkEnd w:id="400"/>
      <w:bookmarkEnd w:id="401"/>
      <w:bookmarkEnd w:id="402"/>
      <w:bookmarkEnd w:id="403"/>
      <w:bookmarkEnd w:id="404"/>
      <w:bookmarkEnd w:id="405"/>
    </w:p>
    <w:p w14:paraId="4ADFFCF2" w14:textId="77777777" w:rsidR="00290DF0" w:rsidRPr="000F23E0" w:rsidRDefault="00290DF0" w:rsidP="00CB3822">
      <w:pPr>
        <w:pStyle w:val="ChartGraphic"/>
      </w:pPr>
      <w:r w:rsidRPr="000F23E0">
        <w:drawing>
          <wp:inline distT="0" distB="0" distL="0" distR="0" wp14:anchorId="251B12C2" wp14:editId="66742848">
            <wp:extent cx="5712460" cy="2835656"/>
            <wp:effectExtent l="0" t="0" r="2540" b="0"/>
            <wp:docPr id="1633519100" name="Picture 3" descr="Figure 10 shows the eligibility window for expenditures. It presents four time periods relative to the issuance year: one year prior, the issuance year, one year forward, and two years forward. Less than 50 per cent of proceeds may be allocated to expenditures from one year prior. At least 50 per cent of proceeds must be allocated to expenditures in the issuance year and the one‑ and two‑year forward periods. A note indicates that the years are based on financial y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519100" name="Picture 3" descr="Figure 10 shows the eligibility window for expenditures. It presents four time periods relative to the issuance year: one year prior, the issuance year, one year forward, and two years forward. Less than 50 per cent of proceeds may be allocated to expenditures from one year prior. At least 50 per cent of proceeds must be allocated to expenditures in the issuance year and the one‑ and two‑year forward periods. A note indicates that the years are based on financial years."/>
                    <pic:cNvPicPr>
                      <a:picLocks noChangeAspect="1" noChangeArrowheads="1"/>
                    </pic:cNvPicPr>
                  </pic:nvPicPr>
                  <pic:blipFill>
                    <a:blip r:embed="rId125" cstate="print">
                      <a:extLst>
                        <a:ext uri="{28A0092B-C50C-407E-A947-70E740481C1C}">
                          <a14:useLocalDpi xmlns:a14="http://schemas.microsoft.com/office/drawing/2010/main" val="0"/>
                        </a:ext>
                      </a:extLst>
                    </a:blip>
                    <a:stretch>
                      <a:fillRect/>
                    </a:stretch>
                  </pic:blipFill>
                  <pic:spPr bwMode="auto">
                    <a:xfrm>
                      <a:off x="0" y="0"/>
                      <a:ext cx="5718009" cy="2838410"/>
                    </a:xfrm>
                    <a:prstGeom prst="rect">
                      <a:avLst/>
                    </a:prstGeom>
                    <a:noFill/>
                  </pic:spPr>
                </pic:pic>
              </a:graphicData>
            </a:graphic>
          </wp:inline>
        </w:drawing>
      </w:r>
    </w:p>
    <w:p w14:paraId="0DF7B0A6" w14:textId="77777777" w:rsidR="00290DF0" w:rsidRPr="000F23E0" w:rsidRDefault="00290DF0" w:rsidP="009F1F0B">
      <w:pPr>
        <w:pStyle w:val="ChartorTableNote"/>
      </w:pPr>
      <w:r w:rsidRPr="000F23E0">
        <w:t>Note: Years relate to financial years.</w:t>
      </w:r>
    </w:p>
    <w:p w14:paraId="3F42D215" w14:textId="77777777" w:rsidR="00290DF0" w:rsidRPr="000F23E0" w:rsidRDefault="00290DF0" w:rsidP="00290DF0">
      <w:pPr>
        <w:pStyle w:val="Heading2"/>
      </w:pPr>
      <w:bookmarkStart w:id="406" w:name="_Toc225155813"/>
      <w:r w:rsidRPr="000F23E0">
        <w:t>Approach to impact and allocation reporting</w:t>
      </w:r>
      <w:bookmarkEnd w:id="406"/>
    </w:p>
    <w:p w14:paraId="01824DF8" w14:textId="6796A480" w:rsidR="00290DF0" w:rsidRPr="000F23E0" w:rsidRDefault="00290DF0" w:rsidP="00290DF0">
      <w:r w:rsidRPr="000F23E0">
        <w:t>Australian Government agencies that manage and deliver Eligible Green Expenditures have sourced and provided relevant data for impact and allocation reporting. Each Eligible Green Expenditure has its</w:t>
      </w:r>
      <w:r w:rsidR="002C4475" w:rsidRPr="000F23E0">
        <w:t> </w:t>
      </w:r>
      <w:r w:rsidRPr="000F23E0">
        <w:t xml:space="preserve">own impact and allocation data indicator(s). Subject to data availability, the impact indicators align with the ICMA </w:t>
      </w:r>
      <w:r w:rsidRPr="000F23E0">
        <w:rPr>
          <w:i/>
        </w:rPr>
        <w:t>Handbook</w:t>
      </w:r>
      <w:r w:rsidR="002C4475" w:rsidRPr="000F23E0">
        <w:rPr>
          <w:i/>
        </w:rPr>
        <w:noBreakHyphen/>
      </w:r>
      <w:r w:rsidRPr="000F23E0">
        <w:rPr>
          <w:i/>
        </w:rPr>
        <w:t>Harmonised Framework for Impact Reporting</w:t>
      </w:r>
      <w:r w:rsidRPr="000F23E0">
        <w:t xml:space="preserve">. </w:t>
      </w:r>
    </w:p>
    <w:p w14:paraId="7EF5CA81" w14:textId="1D31B734" w:rsidR="00290DF0" w:rsidRPr="000F23E0" w:rsidRDefault="00290DF0" w:rsidP="00290DF0">
      <w:r w:rsidRPr="000F23E0">
        <w:t xml:space="preserve">Many projects </w:t>
      </w:r>
      <w:r w:rsidR="004C2906" w:rsidRPr="000F23E0">
        <w:t xml:space="preserve">allocated GTB proceeds </w:t>
      </w:r>
      <w:r w:rsidRPr="000F23E0">
        <w:t>are in the construction stage and are yet to have realised impacts. Where possible, expected project impacts have been reported. Social co</w:t>
      </w:r>
      <w:r w:rsidR="002C4475" w:rsidRPr="000F23E0">
        <w:noBreakHyphen/>
      </w:r>
      <w:r w:rsidRPr="000F23E0">
        <w:t xml:space="preserve">benefits of projects </w:t>
      </w:r>
      <w:r w:rsidR="0084120E" w:rsidRPr="000F23E0">
        <w:t>allocated GTB proceeds</w:t>
      </w:r>
      <w:r w:rsidRPr="000F23E0">
        <w:t xml:space="preserve"> have been included in this report to capture benefits beyond the primary green objectives.</w:t>
      </w:r>
    </w:p>
    <w:p w14:paraId="3666A589" w14:textId="27630CAB" w:rsidR="00290DF0" w:rsidRPr="000F23E0" w:rsidRDefault="00290DF0" w:rsidP="00290DF0">
      <w:pPr>
        <w:shd w:val="clear" w:color="auto" w:fill="FFFFFF" w:themeFill="background1"/>
      </w:pPr>
      <w:r w:rsidRPr="000F23E0">
        <w:t xml:space="preserve">The </w:t>
      </w:r>
      <w:r w:rsidR="0013394A" w:rsidRPr="000F23E0">
        <w:t>ICMA</w:t>
      </w:r>
      <w:r w:rsidRPr="000F23E0">
        <w:t xml:space="preserve"> </w:t>
      </w:r>
      <w:r w:rsidR="002C4475" w:rsidRPr="000F23E0">
        <w:t>‘</w:t>
      </w:r>
      <w:r w:rsidRPr="000F23E0">
        <w:t>Green Bond Principles</w:t>
      </w:r>
      <w:r w:rsidR="002C4475" w:rsidRPr="000F23E0">
        <w:t>’</w:t>
      </w:r>
      <w:r w:rsidRPr="000F23E0">
        <w:t xml:space="preserve"> outline that </w:t>
      </w:r>
      <w:r w:rsidR="003527A2" w:rsidRPr="000F23E0">
        <w:t xml:space="preserve">GTB </w:t>
      </w:r>
      <w:r w:rsidRPr="000F23E0">
        <w:t xml:space="preserve">proceeds should </w:t>
      </w:r>
      <w:r w:rsidR="00BD14B5" w:rsidRPr="000F23E0">
        <w:t xml:space="preserve">be allocated to </w:t>
      </w:r>
      <w:r w:rsidRPr="000F23E0">
        <w:t xml:space="preserve">projects that have clear environmental benefits. The proceeds of </w:t>
      </w:r>
      <w:r w:rsidR="00611CEF" w:rsidRPr="000F23E0">
        <w:t>GTB</w:t>
      </w:r>
      <w:r w:rsidRPr="000F23E0">
        <w:t xml:space="preserve"> issuance are allocated to expenditures on eligible projects, which include operating, capital and balance sheet expenditures. This aligns with other sovereign green bond issuers</w:t>
      </w:r>
      <w:r w:rsidRPr="000F23E0" w:rsidDel="00CE53EF">
        <w:t>,</w:t>
      </w:r>
      <w:r w:rsidRPr="000F23E0">
        <w:t xml:space="preserve"> including New Zealand and the United Kingdom. State government and</w:t>
      </w:r>
      <w:r w:rsidR="00C71B7B" w:rsidRPr="000F23E0">
        <w:t> </w:t>
      </w:r>
      <w:r w:rsidRPr="000F23E0">
        <w:t xml:space="preserve">bank issuers usually take a slightly different approach – allocating proceeds to a pool of assets. </w:t>
      </w:r>
    </w:p>
    <w:p w14:paraId="1AE942BA" w14:textId="47AAA0D8" w:rsidR="00290DF0" w:rsidRPr="000F23E0" w:rsidRDefault="00290DF0" w:rsidP="00935B36">
      <w:pPr>
        <w:keepNext/>
        <w:keepLines/>
        <w:shd w:val="clear" w:color="auto" w:fill="FFFFFF" w:themeFill="background1"/>
      </w:pPr>
      <w:r w:rsidRPr="000F23E0">
        <w:lastRenderedPageBreak/>
        <w:t xml:space="preserve">The allocation of </w:t>
      </w:r>
      <w:r w:rsidR="00611CEF" w:rsidRPr="000F23E0">
        <w:t>GTB</w:t>
      </w:r>
      <w:r w:rsidRPr="000F23E0">
        <w:t xml:space="preserve"> proceeds </w:t>
      </w:r>
      <w:r w:rsidR="003E0005" w:rsidRPr="000F23E0">
        <w:t xml:space="preserve">can </w:t>
      </w:r>
      <w:r w:rsidRPr="000F23E0">
        <w:t>occur</w:t>
      </w:r>
      <w:r w:rsidR="003E0005" w:rsidRPr="000F23E0">
        <w:t xml:space="preserve"> from the point</w:t>
      </w:r>
      <w:r w:rsidRPr="000F23E0">
        <w:t xml:space="preserve"> </w:t>
      </w:r>
      <w:r w:rsidR="00C30FEA" w:rsidRPr="000F23E0">
        <w:t>when</w:t>
      </w:r>
      <w:r w:rsidRPr="000F23E0">
        <w:t xml:space="preserve"> the Australian Government </w:t>
      </w:r>
      <w:r w:rsidR="00BD636C" w:rsidRPr="000F23E0">
        <w:t>accounts for spending on</w:t>
      </w:r>
      <w:r w:rsidRPr="000F23E0">
        <w:t xml:space="preserve"> a program or project classified as an Eligible Green Expenditure. For example, when money has been provided </w:t>
      </w:r>
      <w:r w:rsidR="00600D3F" w:rsidRPr="000F23E0">
        <w:t xml:space="preserve">or </w:t>
      </w:r>
      <w:r w:rsidR="00BB07F7" w:rsidRPr="000F23E0">
        <w:t xml:space="preserve">expenses </w:t>
      </w:r>
      <w:r w:rsidR="00600D3F" w:rsidRPr="000F23E0">
        <w:t xml:space="preserve">accrued </w:t>
      </w:r>
      <w:r w:rsidRPr="000F23E0">
        <w:t xml:space="preserve">to project proponents which may include state or territory governments, private companies, and community organisations. This occurs </w:t>
      </w:r>
      <w:r w:rsidR="00E33F28" w:rsidRPr="000F23E0">
        <w:t>after</w:t>
      </w:r>
      <w:r w:rsidRPr="000F23E0">
        <w:t xml:space="preserve"> funding is committed by Government </w:t>
      </w:r>
      <w:r w:rsidR="0069450B" w:rsidRPr="000F23E0">
        <w:t xml:space="preserve">so </w:t>
      </w:r>
      <w:r w:rsidR="00AC1D45" w:rsidRPr="000F23E0">
        <w:t xml:space="preserve">it </w:t>
      </w:r>
      <w:r w:rsidRPr="000F23E0">
        <w:t xml:space="preserve">can take a longer time to deploy funding. </w:t>
      </w:r>
    </w:p>
    <w:p w14:paraId="633CB6A8" w14:textId="60BBF62D" w:rsidR="007C0874" w:rsidRPr="000F23E0" w:rsidRDefault="00290DF0" w:rsidP="00290DF0">
      <w:r w:rsidRPr="000F23E0">
        <w:t>Due to timing differences in financing by the Australian Government and co</w:t>
      </w:r>
      <w:r w:rsidR="002C4475" w:rsidRPr="000F23E0">
        <w:noBreakHyphen/>
      </w:r>
      <w:r w:rsidRPr="000F23E0">
        <w:t xml:space="preserve">financiers, it is not possible to accurately represent in this report the impacts solely attributable to </w:t>
      </w:r>
      <w:r w:rsidR="00611CEF" w:rsidRPr="000F23E0">
        <w:t>GTB</w:t>
      </w:r>
      <w:r w:rsidR="008E00E9" w:rsidRPr="000F23E0">
        <w:t>s</w:t>
      </w:r>
      <w:r w:rsidRPr="000F23E0">
        <w:t>. Impacts can be pro</w:t>
      </w:r>
      <w:r w:rsidR="002C4475" w:rsidRPr="000F23E0">
        <w:noBreakHyphen/>
      </w:r>
      <w:r w:rsidRPr="000F23E0">
        <w:t xml:space="preserve">rated based on </w:t>
      </w:r>
      <w:r w:rsidR="00611CEF" w:rsidRPr="000F23E0">
        <w:t>GTB</w:t>
      </w:r>
      <w:r w:rsidRPr="000F23E0">
        <w:t xml:space="preserve"> contributions or Australian Government contributions as a proportion of total lifetime cost of the project.</w:t>
      </w:r>
    </w:p>
    <w:p w14:paraId="01B197C4" w14:textId="42645C8A" w:rsidR="00290DF0" w:rsidRPr="000F23E0" w:rsidRDefault="007C0874" w:rsidP="00290DF0">
      <w:r w:rsidRPr="000F23E0">
        <w:t xml:space="preserve">Under the Green Bond Framework, </w:t>
      </w:r>
      <w:r w:rsidR="00A7039F" w:rsidRPr="000F23E0">
        <w:t>it is intended that GTB proceeds be fully allocated within two financial years following the financial year of issuance. Ongoing reporting will be undertaken on an</w:t>
      </w:r>
      <w:r w:rsidR="00C71B7B" w:rsidRPr="000F23E0">
        <w:t> </w:t>
      </w:r>
      <w:r w:rsidR="00A7039F" w:rsidRPr="000F23E0">
        <w:t xml:space="preserve">aggregate portfolio basis, </w:t>
      </w:r>
      <w:r w:rsidR="001A24F1" w:rsidRPr="000F23E0">
        <w:t>that is</w:t>
      </w:r>
      <w:r w:rsidR="00A7039F" w:rsidRPr="000F23E0">
        <w:t xml:space="preserve"> aggregate GTB proceeds, rather than against an individual green bond</w:t>
      </w:r>
      <w:r w:rsidR="002C4475" w:rsidRPr="000F23E0">
        <w:t> </w:t>
      </w:r>
      <w:r w:rsidR="00A7039F" w:rsidRPr="000F23E0">
        <w:t>line.</w:t>
      </w:r>
      <w:r w:rsidR="00290DF0" w:rsidRPr="000F23E0">
        <w:t xml:space="preserve"> </w:t>
      </w:r>
    </w:p>
    <w:p w14:paraId="4933AC3F" w14:textId="768037C0" w:rsidR="00D8538B" w:rsidRPr="000F23E0" w:rsidRDefault="00060229" w:rsidP="00060229">
      <w:pPr>
        <w:pStyle w:val="Heading3"/>
      </w:pPr>
      <w:r w:rsidRPr="000F23E0">
        <w:t>Reporting change from the Green Bond Framework</w:t>
      </w:r>
    </w:p>
    <w:p w14:paraId="0F3053C2" w14:textId="79C38A30" w:rsidR="00060229" w:rsidRPr="000F23E0" w:rsidRDefault="009C31B3" w:rsidP="00060229">
      <w:r w:rsidRPr="000F23E0">
        <w:t xml:space="preserve">This report does not provide the value of proceeds yet to be expended for each Eligible Green Expenditure, as referenced in the Green Bond Framework. Future expenditures are subject to government decisions and contracting arrangements. Projecting future allocation of </w:t>
      </w:r>
      <w:r w:rsidR="00C74733" w:rsidRPr="000F23E0">
        <w:t>GTB</w:t>
      </w:r>
      <w:r w:rsidRPr="000F23E0">
        <w:t xml:space="preserve"> proceeds to Eligible Green Expenditures is not feasible, as allocations are made at the time of expenditure.</w:t>
      </w:r>
      <w:r w:rsidR="0098052D" w:rsidRPr="000F23E0">
        <w:t xml:space="preserve"> Where possible, total </w:t>
      </w:r>
      <w:r w:rsidR="00EC66D1" w:rsidRPr="000F23E0">
        <w:t>G</w:t>
      </w:r>
      <w:r w:rsidR="0098052D" w:rsidRPr="000F23E0">
        <w:t>overnment contribution and total cost of project is reported.</w:t>
      </w:r>
    </w:p>
    <w:p w14:paraId="1517E48A" w14:textId="288D268A" w:rsidR="00290DF0" w:rsidRPr="000F23E0" w:rsidRDefault="00290DF0" w:rsidP="00290DF0">
      <w:pPr>
        <w:pStyle w:val="Heading3"/>
      </w:pPr>
      <w:r w:rsidRPr="000F23E0">
        <w:t xml:space="preserve">Assurance </w:t>
      </w:r>
      <w:r w:rsidR="00617DC0" w:rsidRPr="000F23E0">
        <w:t xml:space="preserve">and verification </w:t>
      </w:r>
      <w:r w:rsidRPr="000F23E0">
        <w:t>processes</w:t>
      </w:r>
    </w:p>
    <w:p w14:paraId="50A74DAA" w14:textId="680074BB" w:rsidR="00290DF0" w:rsidRPr="000F23E0" w:rsidRDefault="00290DF0" w:rsidP="00290DF0">
      <w:pPr>
        <w:shd w:val="clear" w:color="auto" w:fill="FFFFFF" w:themeFill="background1"/>
        <w:rPr>
          <w:shd w:val="clear" w:color="auto" w:fill="FFFFFF" w:themeFill="background1"/>
        </w:rPr>
      </w:pPr>
      <w:r w:rsidRPr="000F23E0">
        <w:rPr>
          <w:shd w:val="clear" w:color="auto" w:fill="FFFFFF" w:themeFill="background1"/>
        </w:rPr>
        <w:t xml:space="preserve">Projects </w:t>
      </w:r>
      <w:r w:rsidR="00C54D7C" w:rsidRPr="000F23E0">
        <w:rPr>
          <w:shd w:val="clear" w:color="auto" w:fill="FFFFFF" w:themeFill="background1"/>
        </w:rPr>
        <w:t xml:space="preserve">allocated GTB proceeds under </w:t>
      </w:r>
      <w:r w:rsidRPr="000F23E0">
        <w:rPr>
          <w:shd w:val="clear" w:color="auto" w:fill="FFFFFF" w:themeFill="background1"/>
        </w:rPr>
        <w:t xml:space="preserve">the Australian Green Bond Program must be aligned with the </w:t>
      </w:r>
      <w:hyperlink r:id="rId126" w:history="1">
        <w:r w:rsidRPr="000F23E0">
          <w:rPr>
            <w:rStyle w:val="Hyperlink"/>
            <w:shd w:val="clear" w:color="auto" w:fill="FFFFFF" w:themeFill="background1"/>
          </w:rPr>
          <w:t>Australian Green Bond Framework</w:t>
        </w:r>
      </w:hyperlink>
      <w:r w:rsidRPr="000F23E0">
        <w:rPr>
          <w:shd w:val="clear" w:color="auto" w:fill="FFFFFF" w:themeFill="background1"/>
        </w:rPr>
        <w:t xml:space="preserve"> and </w:t>
      </w:r>
      <w:r w:rsidR="0069450B" w:rsidRPr="000F23E0">
        <w:rPr>
          <w:shd w:val="clear" w:color="auto" w:fill="FFFFFF" w:themeFill="background1"/>
        </w:rPr>
        <w:t>be</w:t>
      </w:r>
      <w:r w:rsidRPr="000F23E0">
        <w:rPr>
          <w:shd w:val="clear" w:color="auto" w:fill="FFFFFF" w:themeFill="background1"/>
        </w:rPr>
        <w:t xml:space="preserve"> found to align by an independent third party, in the </w:t>
      </w:r>
      <w:hyperlink r:id="rId127" w:history="1">
        <w:r w:rsidRPr="000F23E0">
          <w:rPr>
            <w:rStyle w:val="Hyperlink"/>
            <w:shd w:val="clear" w:color="auto" w:fill="FFFFFF" w:themeFill="background1"/>
          </w:rPr>
          <w:t>Second Party Opinion</w:t>
        </w:r>
      </w:hyperlink>
      <w:r w:rsidR="00AC0B61" w:rsidRPr="000F23E0">
        <w:t xml:space="preserve"> or </w:t>
      </w:r>
      <w:r w:rsidR="00C119A2" w:rsidRPr="000F23E0">
        <w:t xml:space="preserve">through </w:t>
      </w:r>
      <w:r w:rsidR="00AC0B61" w:rsidRPr="000F23E0">
        <w:t>pre</w:t>
      </w:r>
      <w:r w:rsidR="002C4475" w:rsidRPr="000F23E0">
        <w:noBreakHyphen/>
      </w:r>
      <w:r w:rsidR="00302B7C" w:rsidRPr="000F23E0">
        <w:t xml:space="preserve"> and post</w:t>
      </w:r>
      <w:r w:rsidR="002C4475" w:rsidRPr="000F23E0">
        <w:noBreakHyphen/>
      </w:r>
      <w:r w:rsidR="00AC0B61" w:rsidRPr="000F23E0">
        <w:t xml:space="preserve">issuance </w:t>
      </w:r>
      <w:r w:rsidR="00302B7C" w:rsidRPr="000F23E0">
        <w:t>reviews</w:t>
      </w:r>
      <w:r w:rsidRPr="000F23E0">
        <w:rPr>
          <w:shd w:val="clear" w:color="auto" w:fill="FFFFFF" w:themeFill="background1"/>
        </w:rPr>
        <w:t xml:space="preserve">. These projects are classified as Eligible Green Expenditures. </w:t>
      </w:r>
    </w:p>
    <w:p w14:paraId="3D5B40D5" w14:textId="5349E206" w:rsidR="00290DF0" w:rsidRPr="000F23E0" w:rsidRDefault="00290DF0" w:rsidP="00290DF0">
      <w:r w:rsidRPr="000F23E0">
        <w:t xml:space="preserve">The impact and allocation data in this report have been sourced from Australian Government agencies that manage and deliver Eligible Green Expenditures. The impact data is signed off by relevant departments and agencies and reviewed by an independent third party, this year by </w:t>
      </w:r>
      <w:r w:rsidR="009F3C96" w:rsidRPr="000F23E0">
        <w:t>Sustainalytics</w:t>
      </w:r>
      <w:r w:rsidRPr="000F23E0">
        <w:t xml:space="preserve">. The Chief Financial Officers of these agencies have signed off on the relevant financial information, and the Australian National Audit Office has performed a limited assurance of the allocation reporting. </w:t>
      </w:r>
    </w:p>
    <w:p w14:paraId="70D30F8E" w14:textId="2F2EA853" w:rsidR="00290DF0" w:rsidRPr="000F23E0" w:rsidRDefault="00290DF0" w:rsidP="00290DF0">
      <w:pPr>
        <w:shd w:val="clear" w:color="auto" w:fill="FFFFFF" w:themeFill="background1"/>
      </w:pPr>
      <w:r w:rsidRPr="000F23E0">
        <w:t>Eligible Green Expenditures may not align with measures in the Australian Government Budget or</w:t>
      </w:r>
      <w:r w:rsidR="00C71B7B" w:rsidRPr="000F23E0">
        <w:t> </w:t>
      </w:r>
      <w:r w:rsidRPr="000F23E0">
        <w:t xml:space="preserve">other public sources due to </w:t>
      </w:r>
      <w:r w:rsidR="00151C33" w:rsidRPr="000F23E0">
        <w:t xml:space="preserve">funding </w:t>
      </w:r>
      <w:r w:rsidRPr="000F23E0">
        <w:t xml:space="preserve">exclusions </w:t>
      </w:r>
      <w:r w:rsidR="00151C33" w:rsidRPr="000F23E0">
        <w:t>that</w:t>
      </w:r>
      <w:r w:rsidRPr="000F23E0">
        <w:t xml:space="preserve"> do not meet the Green Bond Criteria or commercial sensitivities. Total costs of projects may be estimates from project proponents and not the Australian Government. Where available, source</w:t>
      </w:r>
      <w:r w:rsidR="00C76558" w:rsidRPr="000F23E0">
        <w:t>s</w:t>
      </w:r>
      <w:r w:rsidRPr="000F23E0">
        <w:t xml:space="preserve"> </w:t>
      </w:r>
      <w:r w:rsidR="00C76558" w:rsidRPr="000F23E0">
        <w:t>used</w:t>
      </w:r>
      <w:r w:rsidRPr="000F23E0">
        <w:t xml:space="preserve"> for project costs </w:t>
      </w:r>
      <w:r w:rsidR="00C76558" w:rsidRPr="000F23E0">
        <w:t>have</w:t>
      </w:r>
      <w:r w:rsidRPr="000F23E0">
        <w:t xml:space="preserve"> </w:t>
      </w:r>
      <w:r w:rsidR="005648F6" w:rsidRPr="000F23E0">
        <w:t xml:space="preserve">been </w:t>
      </w:r>
      <w:r w:rsidRPr="000F23E0">
        <w:t>provided.</w:t>
      </w:r>
    </w:p>
    <w:p w14:paraId="03812BE4" w14:textId="3ED8AFB3" w:rsidR="00F33A8A" w:rsidRPr="000F23E0" w:rsidRDefault="00290DF0" w:rsidP="00290DF0">
      <w:pPr>
        <w:shd w:val="clear" w:color="auto" w:fill="FFFFFF" w:themeFill="background1"/>
      </w:pPr>
      <w:r w:rsidRPr="000F23E0">
        <w:t>Where Eligible Green Expenditures are co</w:t>
      </w:r>
      <w:r w:rsidR="002C4475" w:rsidRPr="000F23E0">
        <w:noBreakHyphen/>
      </w:r>
      <w:r w:rsidRPr="000F23E0">
        <w:t>financed with state and territory governments, private companies or community organisations, only the Australian Government</w:t>
      </w:r>
      <w:r w:rsidR="002C4475" w:rsidRPr="000F23E0">
        <w:t>’</w:t>
      </w:r>
      <w:r w:rsidRPr="000F23E0">
        <w:t>s portion of the expenditures are allocated.</w:t>
      </w:r>
    </w:p>
    <w:p w14:paraId="04E6665E" w14:textId="77777777" w:rsidR="00EF4764" w:rsidRPr="000F23E0" w:rsidRDefault="00EF4764" w:rsidP="00290DF0">
      <w:pPr>
        <w:shd w:val="clear" w:color="auto" w:fill="FFFFFF" w:themeFill="background1"/>
      </w:pPr>
    </w:p>
    <w:p w14:paraId="7E2DDE14" w14:textId="77777777" w:rsidR="00EF4764" w:rsidRPr="000F23E0" w:rsidRDefault="00EF4764" w:rsidP="00290DF0">
      <w:pPr>
        <w:shd w:val="clear" w:color="auto" w:fill="FFFFFF" w:themeFill="background1"/>
        <w:sectPr w:rsidR="00EF4764" w:rsidRPr="000F23E0" w:rsidSect="00D461D1">
          <w:footnotePr>
            <w:numFmt w:val="lowerLetter"/>
          </w:footnotePr>
          <w:endnotePr>
            <w:numFmt w:val="decimal"/>
          </w:endnotePr>
          <w:pgSz w:w="11906" w:h="16838" w:code="9"/>
          <w:pgMar w:top="1843" w:right="1418" w:bottom="1418" w:left="1418" w:header="709" w:footer="709" w:gutter="0"/>
          <w:cols w:space="708"/>
          <w:docGrid w:linePitch="360"/>
        </w:sectPr>
      </w:pPr>
    </w:p>
    <w:p w14:paraId="69DAA9AD" w14:textId="2FD9A4C0" w:rsidR="00695B05" w:rsidRPr="000F23E0" w:rsidRDefault="00695B05" w:rsidP="00557D2D">
      <w:pPr>
        <w:pStyle w:val="Heading1"/>
      </w:pPr>
      <w:bookmarkStart w:id="407" w:name="_Toc225155814"/>
      <w:r w:rsidRPr="000F23E0">
        <w:lastRenderedPageBreak/>
        <w:t>Statement by the Co</w:t>
      </w:r>
      <w:r w:rsidR="002C4475" w:rsidRPr="000F23E0">
        <w:noBreakHyphen/>
      </w:r>
      <w:r w:rsidRPr="000F23E0">
        <w:t>Chairs of the</w:t>
      </w:r>
      <w:r w:rsidR="002C4475" w:rsidRPr="000F23E0">
        <w:t> </w:t>
      </w:r>
      <w:r w:rsidRPr="000F23E0">
        <w:t>Green Bond Committee</w:t>
      </w:r>
      <w:bookmarkEnd w:id="407"/>
    </w:p>
    <w:p w14:paraId="7863C473" w14:textId="4DC475D8" w:rsidR="00F37AE4" w:rsidRPr="000F23E0" w:rsidRDefault="00A5137D">
      <w:pPr>
        <w:spacing w:before="0" w:after="160" w:line="259" w:lineRule="auto"/>
      </w:pPr>
      <w:r w:rsidRPr="000F23E0">
        <w:t xml:space="preserve">In our opinion, the Australian Government </w:t>
      </w:r>
      <w:r w:rsidR="00611CEF" w:rsidRPr="000F23E0">
        <w:t>GTB</w:t>
      </w:r>
      <w:r w:rsidRPr="000F23E0">
        <w:t xml:space="preserve"> Allocation and Impact Report, for </w:t>
      </w:r>
      <w:r w:rsidR="00611CEF" w:rsidRPr="000F23E0">
        <w:t>GTB</w:t>
      </w:r>
      <w:r w:rsidRPr="000F23E0">
        <w:t>s issued in the year ended 30 June 2025, is prepared in accordance with section 6.1 of the Australian Government Green Bond Framework.</w:t>
      </w:r>
    </w:p>
    <w:p w14:paraId="306CC28D" w14:textId="77777777" w:rsidR="00D65382" w:rsidRPr="000F23E0" w:rsidRDefault="00D65382" w:rsidP="002D33EA"/>
    <w:tbl>
      <w:tblPr>
        <w:tblW w:w="5000" w:type="pct"/>
        <w:tblCellMar>
          <w:left w:w="0" w:type="dxa"/>
          <w:right w:w="567" w:type="dxa"/>
        </w:tblCellMar>
        <w:tblLook w:val="04A0" w:firstRow="1" w:lastRow="0" w:firstColumn="1" w:lastColumn="0" w:noHBand="0" w:noVBand="1"/>
      </w:tblPr>
      <w:tblGrid>
        <w:gridCol w:w="5245"/>
        <w:gridCol w:w="3825"/>
      </w:tblGrid>
      <w:tr w:rsidR="00D65382" w:rsidRPr="000F23E0" w14:paraId="627DDBBE" w14:textId="77777777" w:rsidTr="002D33EA">
        <w:trPr>
          <w:trHeight w:val="509"/>
        </w:trPr>
        <w:tc>
          <w:tcPr>
            <w:tcW w:w="5245" w:type="dxa"/>
            <w:vAlign w:val="bottom"/>
          </w:tcPr>
          <w:p w14:paraId="73C62E00" w14:textId="041671BE" w:rsidR="00D65382" w:rsidRPr="000F23E0" w:rsidRDefault="002C4475" w:rsidP="002D33EA">
            <w:pPr>
              <w:spacing w:before="0" w:after="120" w:line="259" w:lineRule="auto"/>
            </w:pPr>
            <w:r w:rsidRPr="000F23E0">
              <w:drawing>
                <wp:inline distT="0" distB="0" distL="0" distR="0" wp14:anchorId="6C163E38" wp14:editId="73A82F76">
                  <wp:extent cx="1463043" cy="390145"/>
                  <wp:effectExtent l="0" t="0" r="3810" b="0"/>
                  <wp:docPr id="777122118" name="Picture 10" descr="Signature of Penny Sirau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122118" name="Picture 10" descr="Signature of Penny Sirault"/>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1463043" cy="390145"/>
                          </a:xfrm>
                          <a:prstGeom prst="rect">
                            <a:avLst/>
                          </a:prstGeom>
                        </pic:spPr>
                      </pic:pic>
                    </a:graphicData>
                  </a:graphic>
                </wp:inline>
              </w:drawing>
            </w:r>
          </w:p>
        </w:tc>
        <w:tc>
          <w:tcPr>
            <w:tcW w:w="3825" w:type="dxa"/>
            <w:vAlign w:val="bottom"/>
          </w:tcPr>
          <w:p w14:paraId="14DFA306" w14:textId="120758F9" w:rsidR="00D65382" w:rsidRPr="000F23E0" w:rsidRDefault="002C4475" w:rsidP="002D33EA">
            <w:pPr>
              <w:spacing w:before="0" w:after="120" w:line="259" w:lineRule="auto"/>
            </w:pPr>
            <w:r w:rsidRPr="000F23E0">
              <w:drawing>
                <wp:inline distT="0" distB="0" distL="0" distR="0" wp14:anchorId="3EED0A65" wp14:editId="5020708D">
                  <wp:extent cx="1314518" cy="260363"/>
                  <wp:effectExtent l="0" t="0" r="0" b="6350"/>
                  <wp:docPr id="427752424" name="Picture 11" descr="Signature of Miranda Lel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752424" name="Picture 11" descr="Signature of Miranda Lello"/>
                          <pic:cNvPicPr/>
                        </pic:nvPicPr>
                        <pic:blipFill>
                          <a:blip r:embed="rId129">
                            <a:extLst>
                              <a:ext uri="{28A0092B-C50C-407E-A947-70E740481C1C}">
                                <a14:useLocalDpi xmlns:a14="http://schemas.microsoft.com/office/drawing/2010/main" val="0"/>
                              </a:ext>
                            </a:extLst>
                          </a:blip>
                          <a:stretch>
                            <a:fillRect/>
                          </a:stretch>
                        </pic:blipFill>
                        <pic:spPr>
                          <a:xfrm>
                            <a:off x="0" y="0"/>
                            <a:ext cx="1314518" cy="260363"/>
                          </a:xfrm>
                          <a:prstGeom prst="rect">
                            <a:avLst/>
                          </a:prstGeom>
                        </pic:spPr>
                      </pic:pic>
                    </a:graphicData>
                  </a:graphic>
                </wp:inline>
              </w:drawing>
            </w:r>
          </w:p>
        </w:tc>
      </w:tr>
      <w:tr w:rsidR="002D33EA" w:rsidRPr="000F23E0" w14:paraId="72EBFF82" w14:textId="77777777" w:rsidTr="00D211BA">
        <w:trPr>
          <w:trHeight w:val="2331"/>
        </w:trPr>
        <w:tc>
          <w:tcPr>
            <w:tcW w:w="5245" w:type="dxa"/>
          </w:tcPr>
          <w:p w14:paraId="5D0076DC" w14:textId="77777777" w:rsidR="002D33EA" w:rsidRPr="000F23E0" w:rsidRDefault="002D33EA" w:rsidP="002D33EA">
            <w:r w:rsidRPr="000F23E0">
              <w:rPr>
                <w:rStyle w:val="Strong"/>
                <w:color w:val="B54A26"/>
              </w:rPr>
              <w:t>Penny Sirault</w:t>
            </w:r>
            <w:r w:rsidRPr="000F23E0">
              <w:rPr>
                <w:rStyle w:val="Strong"/>
              </w:rPr>
              <w:br/>
            </w:r>
            <w:r w:rsidRPr="000F23E0">
              <w:t>Green Bond Committee Co-Chair</w:t>
            </w:r>
          </w:p>
          <w:p w14:paraId="75DCBFB8" w14:textId="77777777" w:rsidR="002D33EA" w:rsidRPr="000F23E0" w:rsidRDefault="002D33EA" w:rsidP="002D33EA">
            <w:r w:rsidRPr="000F23E0">
              <w:t>Assistant Secretary</w:t>
            </w:r>
            <w:r w:rsidRPr="000F23E0">
              <w:br/>
              <w:t>The Treasury</w:t>
            </w:r>
          </w:p>
          <w:p w14:paraId="25FBC278" w14:textId="30B3E1F7" w:rsidR="002D33EA" w:rsidRPr="000F23E0" w:rsidRDefault="002D33EA" w:rsidP="002D33EA">
            <w:r w:rsidRPr="000F23E0">
              <w:t>6 March 2026</w:t>
            </w:r>
          </w:p>
        </w:tc>
        <w:tc>
          <w:tcPr>
            <w:tcW w:w="3825" w:type="dxa"/>
          </w:tcPr>
          <w:p w14:paraId="611AB8D0" w14:textId="77777777" w:rsidR="002D33EA" w:rsidRPr="000F23E0" w:rsidRDefault="002D33EA" w:rsidP="002D33EA">
            <w:r w:rsidRPr="000F23E0">
              <w:rPr>
                <w:rStyle w:val="Strong"/>
                <w:color w:val="B54A26"/>
              </w:rPr>
              <w:t>Miranda Lello</w:t>
            </w:r>
            <w:r w:rsidRPr="000F23E0">
              <w:rPr>
                <w:rStyle w:val="Strong"/>
              </w:rPr>
              <w:br/>
            </w:r>
            <w:r w:rsidRPr="000F23E0">
              <w:t>Green Bond Committee Co-Chair</w:t>
            </w:r>
          </w:p>
          <w:p w14:paraId="5930F0BB" w14:textId="70F48DCD" w:rsidR="002D33EA" w:rsidRPr="000F23E0" w:rsidRDefault="002D33EA" w:rsidP="002D33EA">
            <w:r w:rsidRPr="000F23E0">
              <w:t>Assistant Secretary</w:t>
            </w:r>
            <w:r w:rsidRPr="000F23E0">
              <w:br/>
              <w:t>Department of Climate Change, Energy, the Environment and Water</w:t>
            </w:r>
          </w:p>
          <w:p w14:paraId="46602EB0" w14:textId="459028B9" w:rsidR="002D33EA" w:rsidRPr="000F23E0" w:rsidRDefault="002D33EA" w:rsidP="002D33EA">
            <w:r w:rsidRPr="000F23E0">
              <w:t>6 March 2026</w:t>
            </w:r>
          </w:p>
        </w:tc>
      </w:tr>
    </w:tbl>
    <w:p w14:paraId="21D20EEF" w14:textId="77777777" w:rsidR="00EF4764" w:rsidRPr="000F23E0" w:rsidRDefault="00EF4764" w:rsidP="00EF4764">
      <w:pPr>
        <w:sectPr w:rsidR="00EF4764" w:rsidRPr="000F23E0" w:rsidSect="00D461D1">
          <w:footnotePr>
            <w:numFmt w:val="lowerLetter"/>
          </w:footnotePr>
          <w:endnotePr>
            <w:numFmt w:val="decimal"/>
          </w:endnotePr>
          <w:pgSz w:w="11906" w:h="16838" w:code="9"/>
          <w:pgMar w:top="1843" w:right="1418" w:bottom="1418" w:left="1418" w:header="709" w:footer="709" w:gutter="0"/>
          <w:cols w:space="708"/>
          <w:docGrid w:linePitch="360"/>
        </w:sectPr>
      </w:pPr>
    </w:p>
    <w:p w14:paraId="29816B68" w14:textId="6A53393A" w:rsidR="00D552C9" w:rsidRPr="000F23E0" w:rsidRDefault="00D552C9" w:rsidP="00557D2D">
      <w:pPr>
        <w:pStyle w:val="Heading1"/>
      </w:pPr>
      <w:bookmarkStart w:id="408" w:name="_Toc225155815"/>
      <w:r w:rsidRPr="000F23E0">
        <w:lastRenderedPageBreak/>
        <w:t>Assurance Reports</w:t>
      </w:r>
      <w:bookmarkEnd w:id="408"/>
    </w:p>
    <w:p w14:paraId="65024C12" w14:textId="21D6C76E" w:rsidR="00D552C9" w:rsidRPr="000F23E0" w:rsidRDefault="00D552C9" w:rsidP="00301BF6">
      <w:pPr>
        <w:pStyle w:val="Heading2"/>
      </w:pPr>
      <w:bookmarkStart w:id="409" w:name="_Toc225155816"/>
      <w:r w:rsidRPr="000F23E0">
        <w:t>Third party verification</w:t>
      </w:r>
      <w:bookmarkEnd w:id="409"/>
    </w:p>
    <w:p w14:paraId="31FCD76B" w14:textId="00A3BF36" w:rsidR="00F37AE4" w:rsidRPr="000F23E0" w:rsidRDefault="001C2730" w:rsidP="00EF4764">
      <w:pPr>
        <w:rPr>
          <w:highlight w:val="yellow"/>
        </w:rPr>
      </w:pPr>
      <w:r w:rsidRPr="000F23E0">
        <w:t xml:space="preserve">The Australian Government is committed to complying with its Green Bond Framework and ensuring the use of proceeds are appropriately allocated. The allocation reporting has been reviewed by the Australian National Audit Office and the impact reporting has been reviewed by </w:t>
      </w:r>
      <w:r w:rsidR="002A3639" w:rsidRPr="000F23E0">
        <w:t>Sustainalytics</w:t>
      </w:r>
      <w:r w:rsidRPr="000F23E0">
        <w:t>. The Australian National Audit Office</w:t>
      </w:r>
      <w:r w:rsidR="002C4475" w:rsidRPr="000F23E0">
        <w:t>’</w:t>
      </w:r>
      <w:r w:rsidRPr="000F23E0">
        <w:t xml:space="preserve">s report is available below and the </w:t>
      </w:r>
      <w:r w:rsidR="002A3639" w:rsidRPr="000F23E0">
        <w:t>Sustainalytics</w:t>
      </w:r>
      <w:r w:rsidRPr="000F23E0">
        <w:t xml:space="preserve"> report is available on the </w:t>
      </w:r>
      <w:hyperlink r:id="rId130" w:history="1">
        <w:r w:rsidRPr="000F23E0">
          <w:rPr>
            <w:rStyle w:val="Hyperlink"/>
          </w:rPr>
          <w:t>AOFM website</w:t>
        </w:r>
      </w:hyperlink>
      <w:r w:rsidRPr="000F23E0">
        <w:t>.</w:t>
      </w:r>
    </w:p>
    <w:p w14:paraId="4DC34404" w14:textId="77777777" w:rsidR="00006474" w:rsidRPr="000F23E0" w:rsidRDefault="00006474" w:rsidP="005000D1">
      <w:pPr>
        <w:rPr>
          <w:b/>
          <w:bCs/>
        </w:rPr>
      </w:pPr>
      <w:r w:rsidRPr="000F23E0">
        <w:lastRenderedPageBreak/>
        <w:drawing>
          <wp:inline distT="0" distB="0" distL="0" distR="0" wp14:anchorId="1576F79C" wp14:editId="5A22EDBC">
            <wp:extent cx="5760000" cy="8146558"/>
            <wp:effectExtent l="19050" t="19050" r="12700" b="26035"/>
            <wp:docPr id="2110181637" name="Picture 1" descr="Australian National Audit Office, Independent Limited Assurance Report. P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181637" name="Picture 1" descr="Australian National Audit Office, Independent Limited Assurance Report. Page 1"/>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760000" cy="8146558"/>
                    </a:xfrm>
                    <a:prstGeom prst="rect">
                      <a:avLst/>
                    </a:prstGeom>
                    <a:noFill/>
                    <a:ln>
                      <a:solidFill>
                        <a:srgbClr val="DFA795"/>
                      </a:solidFill>
                    </a:ln>
                  </pic:spPr>
                </pic:pic>
              </a:graphicData>
            </a:graphic>
          </wp:inline>
        </w:drawing>
      </w:r>
      <w:r w:rsidRPr="000F23E0" w:rsidDel="00B3399C">
        <w:rPr>
          <w:b/>
          <w:bCs/>
        </w:rPr>
        <w:t xml:space="preserve"> </w:t>
      </w:r>
    </w:p>
    <w:p w14:paraId="2C8179D1" w14:textId="77777777" w:rsidR="002C4475" w:rsidRPr="000F23E0" w:rsidRDefault="00E36854" w:rsidP="00AB03C9">
      <w:pPr>
        <w:rPr>
          <w:b/>
          <w:bCs/>
        </w:rPr>
      </w:pPr>
      <w:r w:rsidRPr="000F23E0">
        <w:lastRenderedPageBreak/>
        <w:drawing>
          <wp:inline distT="0" distB="0" distL="0" distR="0" wp14:anchorId="41412CB0" wp14:editId="0795441C">
            <wp:extent cx="5760000" cy="8144282"/>
            <wp:effectExtent l="19050" t="19050" r="12700" b="9525"/>
            <wp:docPr id="264732414" name="Picture 2" descr="Australian National Audit Office, Independent Limited Assurance Report. P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732414" name="Picture 2" descr="Australian National Audit Office, Independent Limited Assurance Report. Page 2"/>
                    <pic:cNvPicPr>
                      <a:picLocks noChangeAspect="1" noChangeArrowheads="1"/>
                    </pic:cNvPicPr>
                  </pic:nvPicPr>
                  <pic:blipFill>
                    <a:blip r:embed="rId132" cstate="print">
                      <a:extLst>
                        <a:ext uri="{28A0092B-C50C-407E-A947-70E740481C1C}">
                          <a14:useLocalDpi xmlns:a14="http://schemas.microsoft.com/office/drawing/2010/main" val="0"/>
                        </a:ext>
                      </a:extLst>
                    </a:blip>
                    <a:stretch>
                      <a:fillRect/>
                    </a:stretch>
                  </pic:blipFill>
                  <pic:spPr bwMode="auto">
                    <a:xfrm>
                      <a:off x="0" y="0"/>
                      <a:ext cx="5760000" cy="8144282"/>
                    </a:xfrm>
                    <a:prstGeom prst="rect">
                      <a:avLst/>
                    </a:prstGeom>
                    <a:noFill/>
                    <a:ln>
                      <a:solidFill>
                        <a:srgbClr val="DFA795"/>
                      </a:solidFill>
                    </a:ln>
                  </pic:spPr>
                </pic:pic>
              </a:graphicData>
            </a:graphic>
          </wp:inline>
        </w:drawing>
      </w:r>
      <w:r w:rsidRPr="000F23E0" w:rsidDel="00B3399C">
        <w:rPr>
          <w:b/>
          <w:bCs/>
        </w:rPr>
        <w:t xml:space="preserve"> </w:t>
      </w:r>
    </w:p>
    <w:p w14:paraId="1E2F702D" w14:textId="1D72F3C7" w:rsidR="00C66D76" w:rsidRPr="000F23E0" w:rsidRDefault="00C66D76" w:rsidP="00557D2D">
      <w:pPr>
        <w:pStyle w:val="Heading1"/>
      </w:pPr>
      <w:bookmarkStart w:id="410" w:name="_Toc188028337"/>
      <w:bookmarkStart w:id="411" w:name="_Toc225155817"/>
      <w:r w:rsidRPr="000F23E0">
        <w:lastRenderedPageBreak/>
        <w:t>Disclaimer</w:t>
      </w:r>
      <w:bookmarkEnd w:id="410"/>
      <w:bookmarkEnd w:id="411"/>
    </w:p>
    <w:p w14:paraId="2FCE5BFF" w14:textId="77777777" w:rsidR="006C0899" w:rsidRPr="000F23E0" w:rsidRDefault="006C0899" w:rsidP="006C0899">
      <w:pPr>
        <w:rPr>
          <w:b/>
          <w:bCs/>
        </w:rPr>
      </w:pPr>
      <w:r w:rsidRPr="000F23E0">
        <w:rPr>
          <w:b/>
          <w:bCs/>
        </w:rPr>
        <w:t>Legal considerations</w:t>
      </w:r>
    </w:p>
    <w:p w14:paraId="37A77307" w14:textId="0977F51A" w:rsidR="00F24397" w:rsidRPr="000F23E0" w:rsidRDefault="00F24397">
      <w:pPr>
        <w:spacing w:before="0" w:after="160" w:line="259" w:lineRule="auto"/>
      </w:pPr>
      <w:r w:rsidRPr="000F23E0">
        <w:t>This 202</w:t>
      </w:r>
      <w:r w:rsidR="002D76DE" w:rsidRPr="000F23E0">
        <w:t>6</w:t>
      </w:r>
      <w:r w:rsidRPr="000F23E0">
        <w:t xml:space="preserve"> Australian Government Green Treasury Bond Allocation and Impact Report (Report) has been prepared by the Treasury on behalf of the Australian Government. The allocation reporting has been reviewed by the Australian National Audit Office and the impact reporting has been reviewed by</w:t>
      </w:r>
      <w:r w:rsidR="007F550F" w:rsidRPr="000F23E0">
        <w:t> </w:t>
      </w:r>
      <w:r w:rsidR="00FE43C7" w:rsidRPr="000F23E0">
        <w:t>Morningstar Sustainalytics</w:t>
      </w:r>
      <w:r w:rsidRPr="000F23E0">
        <w:t>. This Report is a requirement under the Australian Government Green Bond Framework (the Framework) and should be read in conjunction with the Framework, including the Disclaimer.</w:t>
      </w:r>
    </w:p>
    <w:p w14:paraId="1F761EEC" w14:textId="49C0EDDD" w:rsidR="00F24397" w:rsidRPr="000F23E0" w:rsidRDefault="00F24397">
      <w:pPr>
        <w:spacing w:before="0" w:after="160" w:line="259" w:lineRule="auto"/>
      </w:pPr>
      <w:r w:rsidRPr="000F23E0">
        <w:t>The Treasury and Australian Office of Financial Management (AOFM) are not licensed in Australia to provide financial product advice in relation to green bonds. This Report is not a product disclosure statement, disclosure document or other offer document under Australian law or any other law. The</w:t>
      </w:r>
      <w:r w:rsidR="007F550F" w:rsidRPr="000F23E0">
        <w:t> </w:t>
      </w:r>
      <w:r w:rsidRPr="000F23E0">
        <w:t>Report is not suitable for financial, environmental, and social due diligence and the obligation to conduct any due diligence.</w:t>
      </w:r>
    </w:p>
    <w:p w14:paraId="0D6567E5" w14:textId="77777777" w:rsidR="00F24397" w:rsidRPr="000F23E0" w:rsidRDefault="00F24397">
      <w:pPr>
        <w:spacing w:before="0" w:after="160" w:line="259" w:lineRule="auto"/>
      </w:pPr>
      <w:r w:rsidRPr="000F23E0">
        <w:t>This Report does not form part of the contractual terms of any green bonds. An investor in the green bonds will not have cooling off rights.</w:t>
      </w:r>
    </w:p>
    <w:p w14:paraId="31D456BC" w14:textId="5B5ACB94" w:rsidR="005F527A" w:rsidRPr="000F23E0" w:rsidRDefault="00F24397">
      <w:pPr>
        <w:spacing w:before="0" w:after="160" w:line="259" w:lineRule="auto"/>
      </w:pPr>
      <w:r w:rsidRPr="000F23E0">
        <w:t xml:space="preserve">There is no legal obligation to allocate the proceeds of Green Treasury Bonds in the manner described in this Report or to comply with this Report or the ICMA Green Bond Principles on an ongoing basis. Bonds may cease to be labelled as green, in which case investors may consider that the bonds or loans no longer align with their intentions or requirements and may (as applicable) have increased difficulty finding interested buyers or obtaining an acceptable price. If Green Treasury Bonds cease to be labelled as </w:t>
      </w:r>
      <w:r w:rsidR="002C4475" w:rsidRPr="000F23E0">
        <w:t>‘</w:t>
      </w:r>
      <w:r w:rsidRPr="000F23E0">
        <w:t>green</w:t>
      </w:r>
      <w:r w:rsidR="002C4475" w:rsidRPr="000F23E0">
        <w:t>’</w:t>
      </w:r>
      <w:r w:rsidRPr="000F23E0">
        <w:t>, the Treasury intends to notify investors by publication on the AOFM</w:t>
      </w:r>
      <w:r w:rsidR="002C4475" w:rsidRPr="000F23E0">
        <w:t>’</w:t>
      </w:r>
      <w:r w:rsidRPr="000F23E0">
        <w:t xml:space="preserve">s website and via an Australian Securities Exchange notice system. Any failure to give any such notice will not constitute an event of default or any other breach under the terms of any relevant bonds. </w:t>
      </w:r>
    </w:p>
    <w:p w14:paraId="54333695" w14:textId="77777777" w:rsidR="005F527A" w:rsidRPr="000F23E0" w:rsidRDefault="00F24397">
      <w:pPr>
        <w:spacing w:before="0" w:after="160" w:line="259" w:lineRule="auto"/>
      </w:pPr>
      <w:r w:rsidRPr="000F23E0">
        <w:t xml:space="preserve">No representation or warranty is given, and Treasury, the AOFM and the Australian Government do not provide any guarantee or assurance as to the actual impact on climate change mitigation, climate change adaptation, improved environmental outcomes, or otherwise, of any green bonds issued in the manner described in this Report or the proceeds allocated to Eligible Green Expenditures. </w:t>
      </w:r>
    </w:p>
    <w:p w14:paraId="2B0DA372" w14:textId="77777777" w:rsidR="005F527A" w:rsidRPr="000F23E0" w:rsidRDefault="00F24397">
      <w:pPr>
        <w:spacing w:before="0" w:after="160" w:line="259" w:lineRule="auto"/>
      </w:pPr>
      <w:r w:rsidRPr="000F23E0">
        <w:t xml:space="preserve">Neither the information contained in this Report, nor any other information supplied in connection with any Green Treasury Bonds should be considered or relied on as a recommendation or a statement of opinion (or a report of either of those things) by Treasury, the AOFM or the Australian Government that any recipient of this Report or any other information supplied in connection with any Green Treasury Bonds should acquire, subscribe for, purchase or otherwise deal in any bonds described in the Report. </w:t>
      </w:r>
    </w:p>
    <w:p w14:paraId="1A47DD78" w14:textId="77777777" w:rsidR="005F527A" w:rsidRPr="000F23E0" w:rsidRDefault="00F24397">
      <w:pPr>
        <w:spacing w:before="0" w:after="160" w:line="259" w:lineRule="auto"/>
      </w:pPr>
      <w:r w:rsidRPr="000F23E0">
        <w:t xml:space="preserve">Each investor contemplating acquiring, subscribing for, purchasing, or otherwise dealing in any such Green Treasury Bonds should rely upon their own independent investigation of the Australian Government and an investment in Green Treasury Bonds (including any associated risks) and must base their investment decision solely upon their independent assessment and such investigations as they consider necessary. </w:t>
      </w:r>
    </w:p>
    <w:p w14:paraId="40103F58" w14:textId="45902F22" w:rsidR="00BA13AA" w:rsidRPr="000F23E0" w:rsidRDefault="00F24397" w:rsidP="00935B36">
      <w:pPr>
        <w:keepNext/>
        <w:keepLines/>
        <w:spacing w:before="0" w:after="160" w:line="259" w:lineRule="auto"/>
      </w:pPr>
      <w:r w:rsidRPr="000F23E0">
        <w:lastRenderedPageBreak/>
        <w:t>The distribution and use of this Report, any supplement or other related material, and the offer or sale of Green Treasury Bonds may be restricted by law or directive in certain jurisdictions and intending purchasers and other investors should inform themselves about them and observe any such restrictions. A person may not (directly or indirectly) offer for subscription or purchase or issue an invitation to subscribe for or buy green bonds, nor distribute or publish this Report or any other offering material or advertisement relating to any Green Treasury Bonds except if the offer or invitation, or distribution or publication, complies with all applicable laws and directives.</w:t>
      </w:r>
    </w:p>
    <w:p w14:paraId="653033B9" w14:textId="77777777" w:rsidR="00EF4764" w:rsidRPr="000F23E0" w:rsidRDefault="00EF4764">
      <w:pPr>
        <w:spacing w:before="0" w:after="160" w:line="259" w:lineRule="auto"/>
      </w:pPr>
    </w:p>
    <w:p w14:paraId="02B7631F" w14:textId="77777777" w:rsidR="00EF4764" w:rsidRPr="000F23E0" w:rsidRDefault="00EF4764">
      <w:pPr>
        <w:spacing w:before="0" w:after="160" w:line="259" w:lineRule="auto"/>
        <w:sectPr w:rsidR="00EF4764" w:rsidRPr="000F23E0" w:rsidSect="00D461D1">
          <w:footnotePr>
            <w:numFmt w:val="lowerLetter"/>
          </w:footnotePr>
          <w:endnotePr>
            <w:numFmt w:val="decimal"/>
          </w:endnotePr>
          <w:pgSz w:w="11906" w:h="16838" w:code="9"/>
          <w:pgMar w:top="1843" w:right="1418" w:bottom="1418" w:left="1418" w:header="709" w:footer="709" w:gutter="0"/>
          <w:cols w:space="708"/>
          <w:docGrid w:linePitch="360"/>
        </w:sectPr>
      </w:pPr>
    </w:p>
    <w:p w14:paraId="40BF8297" w14:textId="006B2FA3" w:rsidR="00312271" w:rsidRPr="001B40DF" w:rsidRDefault="00286333" w:rsidP="00557D2D">
      <w:pPr>
        <w:pStyle w:val="Heading1"/>
      </w:pPr>
      <w:bookmarkStart w:id="412" w:name="_Toc188028338"/>
      <w:bookmarkStart w:id="413" w:name="_Toc225155818"/>
      <w:r w:rsidRPr="000F23E0">
        <w:lastRenderedPageBreak/>
        <w:t>End</w:t>
      </w:r>
      <w:r w:rsidR="00BA13AA" w:rsidRPr="000F23E0">
        <w:t>notes</w:t>
      </w:r>
      <w:bookmarkEnd w:id="412"/>
      <w:bookmarkEnd w:id="413"/>
    </w:p>
    <w:sectPr w:rsidR="00312271" w:rsidRPr="001B40DF" w:rsidSect="00D461D1">
      <w:footnotePr>
        <w:numFmt w:val="lowerLetter"/>
      </w:footnotePr>
      <w:endnotePr>
        <w:numFmt w:val="decimal"/>
      </w:endnotePr>
      <w:pgSz w:w="11906" w:h="16838" w:code="9"/>
      <w:pgMar w:top="1843"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982BD82" w14:textId="77777777" w:rsidR="00830ACC" w:rsidRPr="000F23E0" w:rsidRDefault="00830ACC" w:rsidP="00A531FB">
      <w:pPr>
        <w:pStyle w:val="Footer"/>
      </w:pPr>
    </w:p>
  </w:endnote>
  <w:endnote w:type="continuationSeparator" w:id="0">
    <w:p w14:paraId="3EB630B9" w14:textId="77777777" w:rsidR="00830ACC" w:rsidRPr="000F23E0" w:rsidRDefault="00830ACC" w:rsidP="00A531FB">
      <w:pPr>
        <w:pStyle w:val="Footer"/>
      </w:pPr>
    </w:p>
  </w:endnote>
  <w:endnote w:type="continuationNotice" w:id="1">
    <w:p w14:paraId="0EA0A372" w14:textId="77777777" w:rsidR="00830ACC" w:rsidRPr="000F23E0" w:rsidRDefault="00830ACC">
      <w:pPr>
        <w:spacing w:before="0" w:after="0"/>
      </w:pPr>
    </w:p>
  </w:endnote>
  <w:endnote w:id="2">
    <w:p w14:paraId="6262810F" w14:textId="07D44EB0" w:rsidR="001770B2" w:rsidRPr="000F23E0" w:rsidRDefault="001770B2" w:rsidP="00EF4764">
      <w:pPr>
        <w:pStyle w:val="FootnoteText"/>
      </w:pPr>
      <w:r w:rsidRPr="000F23E0">
        <w:endnoteRef/>
      </w:r>
      <w:r w:rsidRPr="000F23E0">
        <w:t xml:space="preserve"> </w:t>
      </w:r>
      <w:r w:rsidR="00EF4764" w:rsidRPr="000F23E0">
        <w:tab/>
      </w:r>
      <w:r w:rsidR="00776BAE" w:rsidRPr="000F23E0">
        <w:t xml:space="preserve">The Australian Government the Treasury </w:t>
      </w:r>
      <w:r w:rsidR="0077042C" w:rsidRPr="000F23E0">
        <w:t>(June 2024),</w:t>
      </w:r>
      <w:r w:rsidR="00EE4248" w:rsidRPr="000F23E0">
        <w:t xml:space="preserve"> Sustainable Finance Roadmap</w:t>
      </w:r>
      <w:r w:rsidR="00BE125B" w:rsidRPr="000F23E0">
        <w:t xml:space="preserve">, </w:t>
      </w:r>
      <w:hyperlink r:id="rId1" w:history="1">
        <w:r w:rsidR="004A56BA" w:rsidRPr="000F23E0">
          <w:rPr>
            <w:rStyle w:val="Hyperlink"/>
          </w:rPr>
          <w:t>https://treasury.gov.au/publication/p2024-536290</w:t>
        </w:r>
      </w:hyperlink>
      <w:r w:rsidR="004A56BA" w:rsidRPr="000F23E0">
        <w:t xml:space="preserve">, accessed </w:t>
      </w:r>
      <w:r w:rsidR="00122BBF" w:rsidRPr="000F23E0">
        <w:t>13 October 2025</w:t>
      </w:r>
      <w:r w:rsidR="0029457D" w:rsidRPr="000F23E0">
        <w:t>.</w:t>
      </w:r>
    </w:p>
  </w:endnote>
  <w:endnote w:id="3">
    <w:p w14:paraId="67FFEC26" w14:textId="13BD6455" w:rsidR="00EA05E5" w:rsidRPr="000F23E0" w:rsidRDefault="00EA05E5" w:rsidP="00EF4764">
      <w:pPr>
        <w:pStyle w:val="FootnoteText"/>
      </w:pPr>
      <w:r w:rsidRPr="000F23E0">
        <w:rPr>
          <w:rStyle w:val="EndnoteReference"/>
          <w:vertAlign w:val="baseline"/>
        </w:rPr>
        <w:endnoteRef/>
      </w:r>
      <w:r w:rsidR="00EF4764" w:rsidRPr="000F23E0">
        <w:t xml:space="preserve"> </w:t>
      </w:r>
      <w:r w:rsidR="00EF4764" w:rsidRPr="000F23E0">
        <w:tab/>
      </w:r>
      <w:r w:rsidR="00677020" w:rsidRPr="000F23E0">
        <w:t xml:space="preserve">Australian Office of Financial Management </w:t>
      </w:r>
      <w:r w:rsidR="006E77A5" w:rsidRPr="000F23E0">
        <w:t>(</w:t>
      </w:r>
      <w:r w:rsidR="00DF2129" w:rsidRPr="000F23E0">
        <w:t>December 2023</w:t>
      </w:r>
      <w:r w:rsidR="006E77A5" w:rsidRPr="000F23E0">
        <w:t>),</w:t>
      </w:r>
      <w:r w:rsidR="00DF2129" w:rsidRPr="000F23E0">
        <w:t xml:space="preserve"> Green Bond </w:t>
      </w:r>
      <w:r w:rsidR="00CD4206" w:rsidRPr="000F23E0">
        <w:t>Program</w:t>
      </w:r>
      <w:r w:rsidR="00A71278" w:rsidRPr="000F23E0">
        <w:t>,</w:t>
      </w:r>
      <w:r w:rsidR="006E77A5" w:rsidRPr="000F23E0">
        <w:t xml:space="preserve"> </w:t>
      </w:r>
      <w:hyperlink r:id="rId2" w:history="1">
        <w:r w:rsidR="003A3C16" w:rsidRPr="000F23E0">
          <w:rPr>
            <w:rStyle w:val="Hyperlink"/>
          </w:rPr>
          <w:t>https://www.aofm.gov.au/securities/green-bond-program</w:t>
        </w:r>
      </w:hyperlink>
      <w:r w:rsidR="00A71278" w:rsidRPr="000F23E0">
        <w:t xml:space="preserve">, accessed </w:t>
      </w:r>
      <w:r w:rsidR="00122BBF" w:rsidRPr="000F23E0">
        <w:t>13 October 2025</w:t>
      </w:r>
      <w:r w:rsidR="00AE4735" w:rsidRPr="000F23E0">
        <w:t>.</w:t>
      </w:r>
    </w:p>
  </w:endnote>
  <w:endnote w:id="4">
    <w:p w14:paraId="771C6E59" w14:textId="66A5D3C9" w:rsidR="00AD6685" w:rsidRPr="000F23E0" w:rsidRDefault="00AD6685" w:rsidP="00EF4764">
      <w:pPr>
        <w:pStyle w:val="FootnoteText"/>
      </w:pPr>
      <w:r w:rsidRPr="000F23E0">
        <w:endnoteRef/>
      </w:r>
      <w:r w:rsidRPr="000F23E0">
        <w:t xml:space="preserve"> </w:t>
      </w:r>
      <w:r w:rsidR="00EF4764" w:rsidRPr="000F23E0">
        <w:tab/>
      </w:r>
      <w:r w:rsidRPr="000F23E0">
        <w:t>International Capital Market Association</w:t>
      </w:r>
      <w:r w:rsidR="00ED4FED" w:rsidRPr="000F23E0">
        <w:t xml:space="preserve"> (June</w:t>
      </w:r>
      <w:r w:rsidRPr="000F23E0">
        <w:t xml:space="preserve"> 2025</w:t>
      </w:r>
      <w:r w:rsidR="00ED4FED" w:rsidRPr="000F23E0">
        <w:t>)</w:t>
      </w:r>
      <w:r w:rsidRPr="000F23E0">
        <w:t>, Green Bond Principles</w:t>
      </w:r>
      <w:r w:rsidR="00ED4FED" w:rsidRPr="000F23E0">
        <w:t xml:space="preserve"> (GBP)</w:t>
      </w:r>
      <w:r w:rsidRPr="000F23E0">
        <w:t xml:space="preserve">, </w:t>
      </w:r>
      <w:hyperlink r:id="rId3" w:history="1">
        <w:r w:rsidR="00ED4FED" w:rsidRPr="000F23E0">
          <w:rPr>
            <w:rStyle w:val="Hyperlink"/>
          </w:rPr>
          <w:t>https://www.icmagroup.org/sustainable-finance/the-principles-guidelines-and-handbooks/green-bond-principles-gbp/</w:t>
        </w:r>
      </w:hyperlink>
      <w:r w:rsidR="00ED4FED" w:rsidRPr="000F23E0">
        <w:t xml:space="preserve">, accessed </w:t>
      </w:r>
      <w:r w:rsidR="00122BBF" w:rsidRPr="000F23E0">
        <w:t>13 October 2025</w:t>
      </w:r>
      <w:r w:rsidR="00ED4FED" w:rsidRPr="000F23E0">
        <w:t>.</w:t>
      </w:r>
    </w:p>
  </w:endnote>
  <w:endnote w:id="5">
    <w:p w14:paraId="18D63984" w14:textId="436F9FA8" w:rsidR="00AC745A" w:rsidRPr="000F23E0" w:rsidRDefault="00AC745A" w:rsidP="00EF4764">
      <w:pPr>
        <w:pStyle w:val="FootnoteText"/>
      </w:pPr>
      <w:r w:rsidRPr="000F23E0">
        <w:rPr>
          <w:rStyle w:val="EndnoteReference"/>
          <w:vertAlign w:val="baseline"/>
        </w:rPr>
        <w:endnoteRef/>
      </w:r>
      <w:r w:rsidRPr="000F23E0">
        <w:t xml:space="preserve"> </w:t>
      </w:r>
      <w:r w:rsidR="00EF4764" w:rsidRPr="000F23E0">
        <w:tab/>
      </w:r>
      <w:r w:rsidR="002D4B0B" w:rsidRPr="000F23E0">
        <w:t>The Australian Government Department of Climate Change, E</w:t>
      </w:r>
      <w:r w:rsidR="00CF2F55" w:rsidRPr="000F23E0">
        <w:t>nergy, the Environment and Water</w:t>
      </w:r>
      <w:r w:rsidR="00127EDC" w:rsidRPr="000F23E0">
        <w:t xml:space="preserve"> (November 2025)</w:t>
      </w:r>
      <w:r w:rsidR="00C43F77" w:rsidRPr="000F23E0">
        <w:t>,</w:t>
      </w:r>
      <w:r w:rsidR="0039386B" w:rsidRPr="000F23E0">
        <w:t>Net Zero</w:t>
      </w:r>
      <w:r w:rsidR="00C43F77" w:rsidRPr="000F23E0">
        <w:t xml:space="preserve"> </w:t>
      </w:r>
      <w:r w:rsidR="00127EDC" w:rsidRPr="000F23E0">
        <w:t xml:space="preserve">, </w:t>
      </w:r>
      <w:hyperlink r:id="rId4" w:history="1">
        <w:r w:rsidR="00613171" w:rsidRPr="000F23E0">
          <w:rPr>
            <w:rStyle w:val="Hyperlink"/>
          </w:rPr>
          <w:t>https://www.dcceew.gov.au/climate-change/emissions-reduction/net-zero</w:t>
        </w:r>
      </w:hyperlink>
      <w:r w:rsidR="00613171" w:rsidRPr="000F23E0">
        <w:t xml:space="preserve">, accessed </w:t>
      </w:r>
      <w:r w:rsidR="00135D36" w:rsidRPr="000F23E0">
        <w:t>3</w:t>
      </w:r>
      <w:r w:rsidR="002D33EA" w:rsidRPr="000F23E0">
        <w:t> </w:t>
      </w:r>
      <w:r w:rsidR="00135D36" w:rsidRPr="000F23E0">
        <w:t>December 2025</w:t>
      </w:r>
      <w:r w:rsidR="00613171" w:rsidRPr="000F23E0">
        <w:t xml:space="preserve">. </w:t>
      </w:r>
    </w:p>
  </w:endnote>
  <w:endnote w:id="6">
    <w:p w14:paraId="0F73900C" w14:textId="51DDA197" w:rsidR="00B6180E" w:rsidRPr="000F23E0" w:rsidRDefault="00B6180E" w:rsidP="00EF4764">
      <w:pPr>
        <w:pStyle w:val="FootnoteText"/>
      </w:pPr>
      <w:r w:rsidRPr="000F23E0">
        <w:rPr>
          <w:rStyle w:val="EndnoteReference"/>
          <w:vertAlign w:val="baseline"/>
        </w:rPr>
        <w:endnoteRef/>
      </w:r>
      <w:r w:rsidRPr="000F23E0">
        <w:t xml:space="preserve"> </w:t>
      </w:r>
      <w:r w:rsidR="00EF4764" w:rsidRPr="000F23E0">
        <w:tab/>
      </w:r>
      <w:r w:rsidR="00D700CF" w:rsidRPr="000F23E0">
        <w:t>Australian Council of Superannuation Investors (2024). Promises, Pathways &amp; Performance</w:t>
      </w:r>
      <w:r w:rsidR="00DA2DA8" w:rsidRPr="000F23E0">
        <w:t xml:space="preserve"> </w:t>
      </w:r>
      <w:r w:rsidR="00D700CF" w:rsidRPr="000F23E0">
        <w:t>Climate Change Disclosures in the ASX200</w:t>
      </w:r>
      <w:r w:rsidR="00DA2DA8" w:rsidRPr="000F23E0">
        <w:t>,</w:t>
      </w:r>
      <w:r w:rsidR="00D700CF" w:rsidRPr="000F23E0">
        <w:t xml:space="preserve"> </w:t>
      </w:r>
      <w:hyperlink r:id="rId5" w:history="1">
        <w:r w:rsidR="00C805A9" w:rsidRPr="000F23E0">
          <w:rPr>
            <w:rStyle w:val="Hyperlink"/>
          </w:rPr>
          <w:t>https://acsi.org.au/research-reports/promises-pathways-and-performance-climate-change-disclosure-in-the-asx200/</w:t>
        </w:r>
      </w:hyperlink>
      <w:r w:rsidR="00A62EA2" w:rsidRPr="000F23E0">
        <w:t xml:space="preserve">, </w:t>
      </w:r>
      <w:r w:rsidR="00DA2DA8" w:rsidRPr="000F23E0">
        <w:t xml:space="preserve">accessed </w:t>
      </w:r>
      <w:r w:rsidR="00122BBF" w:rsidRPr="000F23E0">
        <w:t>1</w:t>
      </w:r>
      <w:r w:rsidR="00135D36" w:rsidRPr="000F23E0">
        <w:t>8</w:t>
      </w:r>
      <w:r w:rsidR="00122BBF" w:rsidRPr="000F23E0">
        <w:t xml:space="preserve"> November 2025</w:t>
      </w:r>
      <w:r w:rsidR="00DA2DA8" w:rsidRPr="000F23E0">
        <w:t>.</w:t>
      </w:r>
    </w:p>
  </w:endnote>
  <w:endnote w:id="7">
    <w:p w14:paraId="00E0991C" w14:textId="3FEA3D47" w:rsidR="006571CF" w:rsidRPr="000F23E0" w:rsidRDefault="006571CF" w:rsidP="00EF4764">
      <w:pPr>
        <w:pStyle w:val="FootnoteText"/>
      </w:pPr>
      <w:r w:rsidRPr="000F23E0">
        <w:rPr>
          <w:rStyle w:val="EndnoteReference"/>
          <w:vertAlign w:val="baseline"/>
        </w:rPr>
        <w:endnoteRef/>
      </w:r>
      <w:r w:rsidRPr="000F23E0">
        <w:t xml:space="preserve"> </w:t>
      </w:r>
      <w:r w:rsidR="00EF4764" w:rsidRPr="000F23E0">
        <w:tab/>
      </w:r>
      <w:r w:rsidR="00BF2F80" w:rsidRPr="000F23E0">
        <w:t>Westpac IQ (November 2025), Sustainable Finance Market Update</w:t>
      </w:r>
      <w:r w:rsidR="0039386B" w:rsidRPr="000F23E0">
        <w:t xml:space="preserve"> Q3 2025</w:t>
      </w:r>
      <w:r w:rsidR="00BF2F80" w:rsidRPr="000F23E0">
        <w:t>,</w:t>
      </w:r>
      <w:r w:rsidR="005A6445" w:rsidRPr="000F23E0">
        <w:t xml:space="preserve"> </w:t>
      </w:r>
      <w:hyperlink r:id="rId6" w:history="1">
        <w:r w:rsidR="005A6445" w:rsidRPr="000F23E0">
          <w:rPr>
            <w:rStyle w:val="Hyperlink"/>
          </w:rPr>
          <w:t>https://www.westpaciq.com.au/thought-leadership/2025/11/sustainable-finance-market-update-q3-fy25</w:t>
        </w:r>
      </w:hyperlink>
      <w:r w:rsidR="005A6445" w:rsidRPr="000F23E0">
        <w:t>, accessed 8 December 2025.</w:t>
      </w:r>
    </w:p>
  </w:endnote>
  <w:endnote w:id="8">
    <w:p w14:paraId="4AD9B473" w14:textId="4EA6FE81" w:rsidR="00065868" w:rsidRPr="000F23E0" w:rsidRDefault="00065868" w:rsidP="00EF4764">
      <w:pPr>
        <w:pStyle w:val="FootnoteText"/>
      </w:pPr>
      <w:r w:rsidRPr="000F23E0">
        <w:rPr>
          <w:rStyle w:val="EndnoteReference"/>
          <w:vertAlign w:val="baseline"/>
        </w:rPr>
        <w:endnoteRef/>
      </w:r>
      <w:r w:rsidRPr="000F23E0">
        <w:t xml:space="preserve"> </w:t>
      </w:r>
      <w:r w:rsidR="00EF4764" w:rsidRPr="000F23E0">
        <w:tab/>
      </w:r>
      <w:r w:rsidR="00981589" w:rsidRPr="000F23E0">
        <w:t>The Australian Government Department of Climate Change, Energy, the Environment and Water</w:t>
      </w:r>
      <w:r w:rsidR="00516395" w:rsidRPr="000F23E0">
        <w:t xml:space="preserve"> (November 2025)</w:t>
      </w:r>
      <w:r w:rsidR="00C80C1F" w:rsidRPr="000F23E0">
        <w:t>, Net Zero</w:t>
      </w:r>
      <w:r w:rsidR="00F76104" w:rsidRPr="000F23E0">
        <w:t>,</w:t>
      </w:r>
      <w:r w:rsidR="00981589" w:rsidRPr="000F23E0">
        <w:t xml:space="preserve"> </w:t>
      </w:r>
      <w:hyperlink r:id="rId7" w:history="1">
        <w:r w:rsidR="00F76104" w:rsidRPr="000F23E0">
          <w:rPr>
            <w:rStyle w:val="Hyperlink"/>
          </w:rPr>
          <w:t>https://www.dcceew.gov.au/climate-change/emissions-reduction/net-zero</w:t>
        </w:r>
      </w:hyperlink>
      <w:r w:rsidR="00981589" w:rsidRPr="000F23E0">
        <w:t xml:space="preserve">, </w:t>
      </w:r>
      <w:r w:rsidR="00FB12EE" w:rsidRPr="000F23E0">
        <w:t xml:space="preserve">accessed </w:t>
      </w:r>
      <w:r w:rsidR="00F710E0" w:rsidRPr="000F23E0">
        <w:t>3</w:t>
      </w:r>
      <w:r w:rsidR="002D33EA" w:rsidRPr="000F23E0">
        <w:t> </w:t>
      </w:r>
      <w:r w:rsidR="00F710E0" w:rsidRPr="000F23E0">
        <w:t>December 2025</w:t>
      </w:r>
      <w:r w:rsidR="00FB12EE" w:rsidRPr="000F23E0">
        <w:t xml:space="preserve">. </w:t>
      </w:r>
    </w:p>
  </w:endnote>
  <w:endnote w:id="9">
    <w:p w14:paraId="4C9376E1" w14:textId="410B78A1" w:rsidR="00AD059C" w:rsidRPr="000F23E0" w:rsidRDefault="00AD059C" w:rsidP="00EF4764">
      <w:pPr>
        <w:pStyle w:val="FootnoteText"/>
      </w:pPr>
      <w:r w:rsidRPr="000F23E0">
        <w:rPr>
          <w:rStyle w:val="EndnoteReference"/>
          <w:vertAlign w:val="baseline"/>
        </w:rPr>
        <w:endnoteRef/>
      </w:r>
      <w:r w:rsidRPr="000F23E0">
        <w:t xml:space="preserve"> </w:t>
      </w:r>
      <w:r w:rsidR="00EF4764" w:rsidRPr="000F23E0">
        <w:tab/>
      </w:r>
      <w:r w:rsidR="00BE3565" w:rsidRPr="000F23E0">
        <w:t>The Australian Government Department of Climate Change, Energy, the Environment and Water</w:t>
      </w:r>
      <w:r w:rsidRPr="000F23E0">
        <w:t xml:space="preserve"> (November 202</w:t>
      </w:r>
      <w:r w:rsidR="002F3C28" w:rsidRPr="000F23E0">
        <w:t>5</w:t>
      </w:r>
      <w:r w:rsidRPr="000F23E0">
        <w:t>)</w:t>
      </w:r>
      <w:r w:rsidR="00C80C1F" w:rsidRPr="000F23E0">
        <w:t>, Annual Climate Change Statement</w:t>
      </w:r>
      <w:r w:rsidRPr="000F23E0">
        <w:t xml:space="preserve">, </w:t>
      </w:r>
      <w:hyperlink r:id="rId8" w:history="1">
        <w:r w:rsidR="007440CE" w:rsidRPr="000F23E0">
          <w:rPr>
            <w:rStyle w:val="Hyperlink"/>
          </w:rPr>
          <w:t>https://www.dcceew.gov.au/climate-change/strategies/annual-climate-change-statement-2025</w:t>
        </w:r>
      </w:hyperlink>
      <w:r w:rsidR="007440CE" w:rsidRPr="000F23E0">
        <w:t xml:space="preserve">, accessed </w:t>
      </w:r>
      <w:r w:rsidR="00F710E0" w:rsidRPr="000F23E0">
        <w:t>3 December 2025</w:t>
      </w:r>
      <w:r w:rsidR="007440CE" w:rsidRPr="000F23E0">
        <w:t xml:space="preserve">. </w:t>
      </w:r>
    </w:p>
  </w:endnote>
  <w:endnote w:id="10">
    <w:p w14:paraId="1CB42F64" w14:textId="18EA1BA1" w:rsidR="00353B84" w:rsidRPr="000F23E0" w:rsidRDefault="00353B84" w:rsidP="00EF4764">
      <w:pPr>
        <w:pStyle w:val="FootnoteText"/>
      </w:pPr>
      <w:r w:rsidRPr="000F23E0">
        <w:rPr>
          <w:rStyle w:val="EndnoteReference"/>
          <w:vertAlign w:val="baseline"/>
        </w:rPr>
        <w:endnoteRef/>
      </w:r>
      <w:r w:rsidRPr="000F23E0">
        <w:t xml:space="preserve"> </w:t>
      </w:r>
      <w:r w:rsidR="00EF4764" w:rsidRPr="000F23E0">
        <w:tab/>
      </w:r>
      <w:r w:rsidR="00AA28B9" w:rsidRPr="000F23E0">
        <w:t>The Australian Government Department of Climate Change, Energy, the Environment and Water (November 2025),</w:t>
      </w:r>
      <w:r w:rsidR="00C352B8" w:rsidRPr="000F23E0">
        <w:t xml:space="preserve"> Australia’s emissions projections 2025, </w:t>
      </w:r>
      <w:hyperlink r:id="rId9" w:history="1">
        <w:r w:rsidR="00BF1122" w:rsidRPr="000F23E0">
          <w:rPr>
            <w:rStyle w:val="Hyperlink"/>
          </w:rPr>
          <w:t>https://www.dcceew.gov.au/climate-change/publications/australias-emissions-projections-2025</w:t>
        </w:r>
      </w:hyperlink>
      <w:r w:rsidR="00BF1122" w:rsidRPr="000F23E0">
        <w:t xml:space="preserve">, accessed </w:t>
      </w:r>
      <w:r w:rsidR="00F710E0" w:rsidRPr="000F23E0">
        <w:t>3 December 2025</w:t>
      </w:r>
      <w:r w:rsidR="00BF1122" w:rsidRPr="000F23E0">
        <w:t>.</w:t>
      </w:r>
    </w:p>
  </w:endnote>
  <w:endnote w:id="11">
    <w:p w14:paraId="51C917B1" w14:textId="11E04DD6" w:rsidR="007303AC" w:rsidRPr="000F23E0" w:rsidRDefault="007303AC" w:rsidP="00EF4764">
      <w:pPr>
        <w:pStyle w:val="FootnoteText"/>
      </w:pPr>
      <w:r w:rsidRPr="000F23E0">
        <w:rPr>
          <w:rStyle w:val="EndnoteTextChar"/>
        </w:rPr>
        <w:endnoteRef/>
      </w:r>
      <w:r w:rsidRPr="000F23E0">
        <w:t xml:space="preserve"> </w:t>
      </w:r>
      <w:r w:rsidR="00EF4764" w:rsidRPr="000F23E0">
        <w:tab/>
      </w:r>
      <w:r w:rsidR="001A5C2E" w:rsidRPr="000F23E0">
        <w:t>The Australian Government Department of Climate Change, Energy, the Environment and Water</w:t>
      </w:r>
      <w:r w:rsidR="00FF78B4" w:rsidRPr="000F23E0">
        <w:t xml:space="preserve"> (May</w:t>
      </w:r>
      <w:r w:rsidR="00DD7159" w:rsidRPr="000F23E0">
        <w:t> </w:t>
      </w:r>
      <w:r w:rsidR="00FF78B4" w:rsidRPr="000F23E0">
        <w:t>2025)</w:t>
      </w:r>
      <w:r w:rsidR="007F494B" w:rsidRPr="000F23E0">
        <w:t>,</w:t>
      </w:r>
      <w:r w:rsidR="00412434" w:rsidRPr="000F23E0">
        <w:t xml:space="preserve"> Australia’s greenhouse gas emissions: December 2024 quarterly update</w:t>
      </w:r>
      <w:r w:rsidR="0067696B" w:rsidRPr="000F23E0">
        <w:t>,</w:t>
      </w:r>
      <w:r w:rsidR="00D74DD2" w:rsidRPr="000F23E0">
        <w:t xml:space="preserve"> </w:t>
      </w:r>
      <w:hyperlink r:id="rId10" w:history="1">
        <w:r w:rsidR="00DD7159" w:rsidRPr="000F23E0">
          <w:rPr>
            <w:rStyle w:val="Hyperlink"/>
          </w:rPr>
          <w:t>https://www.dcceew.gov.au/about/news/national-greenhouse-gas-inventory-quarterly-update-december-2024</w:t>
        </w:r>
      </w:hyperlink>
      <w:r w:rsidR="007315D5" w:rsidRPr="000F23E0">
        <w:t xml:space="preserve">, accessed </w:t>
      </w:r>
      <w:r w:rsidR="00F710E0" w:rsidRPr="000F23E0">
        <w:t>3 December 2025</w:t>
      </w:r>
      <w:r w:rsidR="007315D5" w:rsidRPr="000F23E0">
        <w:t>.</w:t>
      </w:r>
    </w:p>
  </w:endnote>
  <w:endnote w:id="12">
    <w:p w14:paraId="36B73D0B" w14:textId="70BBD4E7" w:rsidR="008805C6" w:rsidRPr="000F23E0" w:rsidRDefault="008805C6" w:rsidP="00EF4764">
      <w:pPr>
        <w:pStyle w:val="FootnoteText"/>
      </w:pPr>
      <w:r w:rsidRPr="000F23E0">
        <w:rPr>
          <w:rStyle w:val="EndnoteReference"/>
          <w:vertAlign w:val="baseline"/>
        </w:rPr>
        <w:endnoteRef/>
      </w:r>
      <w:r w:rsidRPr="000F23E0">
        <w:t xml:space="preserve"> </w:t>
      </w:r>
      <w:r w:rsidR="00EF4764" w:rsidRPr="000F23E0">
        <w:tab/>
      </w:r>
      <w:r w:rsidR="00AD6C53" w:rsidRPr="000F23E0">
        <w:t>The Australian Government Department of Climate Change, Energy, the Environment and Water</w:t>
      </w:r>
      <w:r w:rsidR="00FF78B4" w:rsidRPr="000F23E0">
        <w:t xml:space="preserve"> (</w:t>
      </w:r>
      <w:r w:rsidR="003405F1" w:rsidRPr="000F23E0">
        <w:t>2024)</w:t>
      </w:r>
      <w:r w:rsidR="00AD6C53" w:rsidRPr="000F23E0">
        <w:t xml:space="preserve">, </w:t>
      </w:r>
      <w:r w:rsidR="005C3C1F" w:rsidRPr="000F23E0">
        <w:t>Australia’s emissions projections 2024</w:t>
      </w:r>
      <w:r w:rsidR="00AD6C53" w:rsidRPr="000F23E0">
        <w:t>,</w:t>
      </w:r>
      <w:r w:rsidR="00D530A8" w:rsidRPr="000F23E0">
        <w:t xml:space="preserve"> </w:t>
      </w:r>
      <w:hyperlink r:id="rId11" w:history="1">
        <w:r w:rsidR="00DD4199" w:rsidRPr="000F23E0">
          <w:rPr>
            <w:rStyle w:val="Hyperlink"/>
          </w:rPr>
          <w:t>https://www.dcceew.gov.au/climate-change/publications/australias-emissions-projections-2024</w:t>
        </w:r>
      </w:hyperlink>
      <w:r w:rsidR="00AD6C53" w:rsidRPr="000F23E0">
        <w:t xml:space="preserve">, accessed </w:t>
      </w:r>
      <w:r w:rsidR="001C6F20" w:rsidRPr="000F23E0">
        <w:t>8 December 2025</w:t>
      </w:r>
      <w:r w:rsidR="00AD6C53" w:rsidRPr="000F23E0">
        <w:t>.</w:t>
      </w:r>
    </w:p>
  </w:endnote>
  <w:endnote w:id="13">
    <w:p w14:paraId="4EE15EBF" w14:textId="3F1684BD" w:rsidR="00BC52D3" w:rsidRPr="000F23E0" w:rsidRDefault="00BC52D3" w:rsidP="00EF4764">
      <w:pPr>
        <w:pStyle w:val="FootnoteText"/>
      </w:pPr>
      <w:r w:rsidRPr="000F23E0">
        <w:rPr>
          <w:rStyle w:val="EndnoteReference"/>
          <w:vertAlign w:val="baseline"/>
        </w:rPr>
        <w:endnoteRef/>
      </w:r>
      <w:r w:rsidRPr="000F23E0">
        <w:t xml:space="preserve"> </w:t>
      </w:r>
      <w:r w:rsidR="00EF4764" w:rsidRPr="000F23E0">
        <w:tab/>
      </w:r>
      <w:r w:rsidR="00D530A8" w:rsidRPr="000F23E0">
        <w:t>The Australian Government Department of Climate Change, Energy, the Environment and Water</w:t>
      </w:r>
      <w:r w:rsidR="004F55E3" w:rsidRPr="000F23E0">
        <w:t xml:space="preserve"> (November 2025)</w:t>
      </w:r>
      <w:r w:rsidR="00D530A8" w:rsidRPr="000F23E0">
        <w:t xml:space="preserve">, </w:t>
      </w:r>
      <w:r w:rsidR="00112857" w:rsidRPr="000F23E0">
        <w:t xml:space="preserve">Net Zero Plan, </w:t>
      </w:r>
      <w:hyperlink r:id="rId12" w:history="1">
        <w:r w:rsidR="00112857" w:rsidRPr="000F23E0">
          <w:rPr>
            <w:rStyle w:val="Hyperlink"/>
          </w:rPr>
          <w:t>https://www.dcceew.gov.au/climate-change/publications/net-zero-plan</w:t>
        </w:r>
      </w:hyperlink>
      <w:r w:rsidR="00112857" w:rsidRPr="000F23E0">
        <w:t xml:space="preserve">, accessed </w:t>
      </w:r>
      <w:r w:rsidR="001C6F20" w:rsidRPr="000F23E0">
        <w:t>3 December 2025</w:t>
      </w:r>
      <w:r w:rsidR="00112857" w:rsidRPr="000F23E0">
        <w:t>.</w:t>
      </w:r>
    </w:p>
  </w:endnote>
  <w:endnote w:id="14">
    <w:p w14:paraId="7695C634" w14:textId="217FAD92" w:rsidR="00A3543B" w:rsidRPr="000F23E0" w:rsidRDefault="00A3543B" w:rsidP="00EF4764">
      <w:pPr>
        <w:pStyle w:val="FootnoteText"/>
      </w:pPr>
      <w:r w:rsidRPr="000F23E0">
        <w:rPr>
          <w:rStyle w:val="EndnoteReference"/>
          <w:vertAlign w:val="baseline"/>
        </w:rPr>
        <w:endnoteRef/>
      </w:r>
      <w:r w:rsidRPr="000F23E0">
        <w:t xml:space="preserve"> </w:t>
      </w:r>
      <w:r w:rsidR="00EF4764" w:rsidRPr="000F23E0">
        <w:tab/>
      </w:r>
      <w:r w:rsidR="00A56F19" w:rsidRPr="000F23E0">
        <w:t xml:space="preserve">Australian Government </w:t>
      </w:r>
      <w:r w:rsidR="006E74F2" w:rsidRPr="000F23E0">
        <w:t>Clean Energy Regulator</w:t>
      </w:r>
      <w:r w:rsidR="00A56F19" w:rsidRPr="000F23E0">
        <w:t xml:space="preserve"> (</w:t>
      </w:r>
      <w:r w:rsidR="00A63EF3" w:rsidRPr="000F23E0">
        <w:t>November</w:t>
      </w:r>
      <w:r w:rsidR="00A56F19" w:rsidRPr="000F23E0">
        <w:t xml:space="preserve"> 2025)</w:t>
      </w:r>
      <w:r w:rsidR="0084196A" w:rsidRPr="000F23E0">
        <w:t>,</w:t>
      </w:r>
      <w:r w:rsidR="00183FF1" w:rsidRPr="000F23E0">
        <w:t xml:space="preserve">Safeguard data, </w:t>
      </w:r>
      <w:hyperlink r:id="rId13" w:anchor="preliminary-data" w:history="1">
        <w:r w:rsidR="00A63EF3" w:rsidRPr="000F23E0">
          <w:rPr>
            <w:rStyle w:val="Hyperlink"/>
          </w:rPr>
          <w:t>https://cer.gov.au/markets/reports-and-data/safeguard-data#preliminary-data</w:t>
        </w:r>
      </w:hyperlink>
      <w:r w:rsidR="00A63EF3" w:rsidRPr="000F23E0">
        <w:t>, accessed</w:t>
      </w:r>
      <w:r w:rsidR="0084196A" w:rsidRPr="000F23E0">
        <w:t xml:space="preserve"> 27</w:t>
      </w:r>
      <w:r w:rsidR="00BA0320" w:rsidRPr="000F23E0">
        <w:t> </w:t>
      </w:r>
      <w:r w:rsidR="0084196A" w:rsidRPr="000F23E0">
        <w:t>November</w:t>
      </w:r>
      <w:r w:rsidR="00BA0320" w:rsidRPr="000F23E0">
        <w:t> </w:t>
      </w:r>
      <w:r w:rsidR="0084196A" w:rsidRPr="000F23E0">
        <w:t>2025</w:t>
      </w:r>
      <w:r w:rsidR="00A63EF3" w:rsidRPr="000F23E0">
        <w:t>.</w:t>
      </w:r>
    </w:p>
  </w:endnote>
  <w:endnote w:id="15">
    <w:p w14:paraId="72727E59" w14:textId="46A96DFC" w:rsidR="00224DD8" w:rsidRPr="000F23E0" w:rsidRDefault="00224DD8" w:rsidP="00EF4764">
      <w:pPr>
        <w:pStyle w:val="FootnoteText"/>
      </w:pPr>
      <w:r w:rsidRPr="000F23E0">
        <w:rPr>
          <w:rStyle w:val="EndnoteReference"/>
          <w:vertAlign w:val="baseline"/>
        </w:rPr>
        <w:endnoteRef/>
      </w:r>
      <w:r w:rsidRPr="000F23E0">
        <w:t xml:space="preserve"> </w:t>
      </w:r>
      <w:r w:rsidR="00EF4764" w:rsidRPr="000F23E0">
        <w:tab/>
      </w:r>
      <w:r w:rsidR="00865DC1" w:rsidRPr="000F23E0">
        <w:t>Australian Government Clean Energy Regulator (</w:t>
      </w:r>
      <w:r w:rsidR="0050769E" w:rsidRPr="000F23E0">
        <w:t>28 February 2025</w:t>
      </w:r>
      <w:r w:rsidR="00865DC1" w:rsidRPr="000F23E0">
        <w:t>)</w:t>
      </w:r>
      <w:r w:rsidR="0050769E" w:rsidRPr="000F23E0">
        <w:t xml:space="preserve">, </w:t>
      </w:r>
      <w:r w:rsidR="002C292F" w:rsidRPr="000F23E0">
        <w:t>Latest report shows Australian Government schemes working to reduce emissions</w:t>
      </w:r>
      <w:r w:rsidR="00F915A4" w:rsidRPr="000F23E0">
        <w:t>,</w:t>
      </w:r>
      <w:r w:rsidR="002C292F" w:rsidRPr="000F23E0">
        <w:t xml:space="preserve"> </w:t>
      </w:r>
      <w:hyperlink r:id="rId14" w:history="1">
        <w:r w:rsidR="001F66B4" w:rsidRPr="000F23E0">
          <w:rPr>
            <w:rStyle w:val="Hyperlink"/>
          </w:rPr>
          <w:t>https://cer.gov.au/news-and-media/media/2025/february/latest-report-shows-australian-government-schemes-working-to-reduce-emissions</w:t>
        </w:r>
      </w:hyperlink>
      <w:r w:rsidR="00F915A4" w:rsidRPr="000F23E0">
        <w:t xml:space="preserve">, accessed </w:t>
      </w:r>
      <w:r w:rsidR="005D1575" w:rsidRPr="000F23E0">
        <w:t>8 December 2025</w:t>
      </w:r>
      <w:r w:rsidR="00F915A4" w:rsidRPr="000F23E0">
        <w:t>.</w:t>
      </w:r>
      <w:r w:rsidR="001F66B4" w:rsidRPr="000F23E0">
        <w:t xml:space="preserve"> </w:t>
      </w:r>
    </w:p>
  </w:endnote>
  <w:endnote w:id="16">
    <w:p w14:paraId="3E353118" w14:textId="6E7A7FFB" w:rsidR="00F81561" w:rsidRPr="000F23E0" w:rsidRDefault="00F81561" w:rsidP="00EF4764">
      <w:pPr>
        <w:pStyle w:val="FootnoteText"/>
      </w:pPr>
      <w:r w:rsidRPr="000F23E0">
        <w:rPr>
          <w:rStyle w:val="EndnoteReference"/>
          <w:vertAlign w:val="baseline"/>
        </w:rPr>
        <w:endnoteRef/>
      </w:r>
      <w:r w:rsidRPr="000F23E0">
        <w:t xml:space="preserve"> </w:t>
      </w:r>
      <w:r w:rsidR="00EF4764" w:rsidRPr="000F23E0">
        <w:tab/>
      </w:r>
      <w:r w:rsidRPr="000F23E0">
        <w:t>The Australian Government Department of Climate Change, Energy, the Environment and Water (September 2025)</w:t>
      </w:r>
      <w:r w:rsidR="00F404FA" w:rsidRPr="000F23E0">
        <w:t>, National Adaptation Plan (p3),</w:t>
      </w:r>
      <w:r w:rsidR="00FF5B61" w:rsidRPr="000F23E0">
        <w:t xml:space="preserve"> </w:t>
      </w:r>
      <w:hyperlink r:id="rId15" w:history="1">
        <w:r w:rsidR="00FF5B61" w:rsidRPr="000F23E0">
          <w:rPr>
            <w:rStyle w:val="Hyperlink"/>
          </w:rPr>
          <w:t>https://www.dcceew.gov.au/sites/default/files/documents/national-adaptation-plan.pdf</w:t>
        </w:r>
      </w:hyperlink>
      <w:r w:rsidR="00F404FA" w:rsidRPr="000F23E0">
        <w:fldChar w:fldCharType="begin"/>
      </w:r>
      <w:r w:rsidR="00F404FA" w:rsidRPr="000F23E0">
        <w:instrText>https://www.dcceew.gov.au/sites/default/files/documents/national-adaptation-plan.pdf</w:instrText>
      </w:r>
      <w:r w:rsidR="00F404FA" w:rsidRPr="000F23E0">
        <w:fldChar w:fldCharType="separate"/>
      </w:r>
      <w:r w:rsidR="00F404FA" w:rsidRPr="000F23E0">
        <w:rPr>
          <w:rStyle w:val="Hyperlink"/>
        </w:rPr>
        <w:t>https://www.dcceew.gov.au/sites/default/files/documents/national-adaptation-plan.pdf</w:t>
      </w:r>
      <w:r w:rsidR="00F404FA" w:rsidRPr="000F23E0">
        <w:fldChar w:fldCharType="end"/>
      </w:r>
      <w:r w:rsidR="00F404FA" w:rsidRPr="000F23E0">
        <w:t>, accessed 17</w:t>
      </w:r>
      <w:r w:rsidR="002D33EA" w:rsidRPr="000F23E0">
        <w:t> </w:t>
      </w:r>
      <w:r w:rsidR="00F404FA" w:rsidRPr="000F23E0">
        <w:t>February 2026.</w:t>
      </w:r>
    </w:p>
  </w:endnote>
  <w:endnote w:id="17">
    <w:p w14:paraId="7D54F9FD" w14:textId="2E978C85" w:rsidR="009B3A43" w:rsidRPr="000F23E0" w:rsidRDefault="009B3A43" w:rsidP="00EF4764">
      <w:pPr>
        <w:pStyle w:val="FootnoteText"/>
      </w:pPr>
      <w:r w:rsidRPr="000F23E0">
        <w:rPr>
          <w:rStyle w:val="FootnoteTextChar"/>
        </w:rPr>
        <w:endnoteRef/>
      </w:r>
      <w:r w:rsidRPr="000F23E0">
        <w:t xml:space="preserve"> </w:t>
      </w:r>
      <w:r w:rsidR="002C4475" w:rsidRPr="000F23E0">
        <w:tab/>
      </w:r>
      <w:r w:rsidR="00D63B30" w:rsidRPr="000F23E0">
        <w:t xml:space="preserve">The Australian Government Department of Climate Change, Energy, the Environment and Water (September 2025), Australia’s National Climate Risk Assessment 2025 (p35), </w:t>
      </w:r>
      <w:hyperlink r:id="rId16" w:history="1">
        <w:r w:rsidR="00D63B30" w:rsidRPr="000F23E0">
          <w:rPr>
            <w:rStyle w:val="Hyperlink"/>
          </w:rPr>
          <w:t>https://www.acs.gov.au/pages/national-climate-risk-assessment</w:t>
        </w:r>
      </w:hyperlink>
      <w:r w:rsidR="00D63B30" w:rsidRPr="000F23E0">
        <w:t>, accessed 19 September 2025.</w:t>
      </w:r>
    </w:p>
  </w:endnote>
  <w:endnote w:id="18">
    <w:p w14:paraId="072C6BC1" w14:textId="63D43084" w:rsidR="00763918" w:rsidRPr="000F23E0" w:rsidRDefault="00763918" w:rsidP="002C4475">
      <w:pPr>
        <w:pStyle w:val="FootnoteText"/>
      </w:pPr>
      <w:r w:rsidRPr="000F23E0">
        <w:endnoteRef/>
      </w:r>
      <w:r w:rsidRPr="000F23E0">
        <w:t xml:space="preserve"> </w:t>
      </w:r>
      <w:r w:rsidR="002C4475" w:rsidRPr="000F23E0">
        <w:tab/>
      </w:r>
      <w:r w:rsidR="00455EA3" w:rsidRPr="000F23E0">
        <w:t xml:space="preserve">The Australian Government Department of Climate Change, Energy, the Environment and Water </w:t>
      </w:r>
      <w:r w:rsidR="004410CD" w:rsidRPr="000F23E0">
        <w:t>(</w:t>
      </w:r>
      <w:r w:rsidR="00531FDF" w:rsidRPr="000F23E0">
        <w:t>August</w:t>
      </w:r>
      <w:r w:rsidR="002D33EA" w:rsidRPr="000F23E0">
        <w:t> </w:t>
      </w:r>
      <w:r w:rsidR="004410CD" w:rsidRPr="000F23E0">
        <w:t>2025)</w:t>
      </w:r>
      <w:r w:rsidR="00494A93" w:rsidRPr="000F23E0">
        <w:t>,</w:t>
      </w:r>
      <w:r w:rsidR="00D1042E" w:rsidRPr="000F23E0">
        <w:t xml:space="preserve"> </w:t>
      </w:r>
      <w:r w:rsidR="005E4E48" w:rsidRPr="000F23E0">
        <w:t>National Greenhouse Gas Inventory Quarterly Update: March 2025 (p14)</w:t>
      </w:r>
      <w:r w:rsidR="008609CB" w:rsidRPr="000F23E0">
        <w:t xml:space="preserve">, </w:t>
      </w:r>
      <w:hyperlink r:id="rId17" w:history="1">
        <w:r w:rsidR="008609CB" w:rsidRPr="000F23E0">
          <w:rPr>
            <w:rStyle w:val="Hyperlink"/>
          </w:rPr>
          <w:t>https://www.dcceew.gov.au/climate-change/publications/national-greenhouse-gas-inventory-quarterly-update-march-2025</w:t>
        </w:r>
      </w:hyperlink>
      <w:r w:rsidRPr="000F23E0">
        <w:t xml:space="preserve">, </w:t>
      </w:r>
      <w:r w:rsidR="008609CB" w:rsidRPr="000F23E0">
        <w:t xml:space="preserve">accessed </w:t>
      </w:r>
      <w:r w:rsidR="005D1575" w:rsidRPr="000F23E0">
        <w:t>8 December 2025</w:t>
      </w:r>
      <w:r w:rsidR="008609CB" w:rsidRPr="000F23E0">
        <w:t>.</w:t>
      </w:r>
    </w:p>
  </w:endnote>
  <w:endnote w:id="19">
    <w:p w14:paraId="65319D01" w14:textId="635C6FD0" w:rsidR="00BA70DA" w:rsidRPr="000F23E0" w:rsidRDefault="00BA70DA" w:rsidP="002C4475">
      <w:pPr>
        <w:pStyle w:val="FootnoteText"/>
      </w:pPr>
      <w:r w:rsidRPr="000F23E0">
        <w:rPr>
          <w:rStyle w:val="FootnoteTextChar"/>
        </w:rPr>
        <w:endnoteRef/>
      </w:r>
      <w:r w:rsidRPr="000F23E0">
        <w:rPr>
          <w:rStyle w:val="FootnoteTextChar"/>
        </w:rPr>
        <w:t xml:space="preserve"> </w:t>
      </w:r>
      <w:r w:rsidR="002C4475" w:rsidRPr="000F23E0">
        <w:rPr>
          <w:rStyle w:val="FootnoteTextChar"/>
        </w:rPr>
        <w:tab/>
      </w:r>
      <w:r w:rsidR="00E973DA" w:rsidRPr="000F23E0">
        <w:rPr>
          <w:rStyle w:val="FootnoteTextChar"/>
        </w:rPr>
        <w:t>The</w:t>
      </w:r>
      <w:r w:rsidR="00E973DA" w:rsidRPr="000F23E0">
        <w:t xml:space="preserve"> Australian Government Department of Climate Change, Energy, the Environment and Water</w:t>
      </w:r>
      <w:r w:rsidR="00B2527C" w:rsidRPr="000F23E0">
        <w:t xml:space="preserve"> (August 2025), </w:t>
      </w:r>
      <w:r w:rsidR="00FD149A" w:rsidRPr="000F23E0">
        <w:t>Australian Energy Update 2025</w:t>
      </w:r>
      <w:r w:rsidR="00A14370" w:rsidRPr="000F23E0">
        <w:t xml:space="preserve"> (p3)</w:t>
      </w:r>
      <w:r w:rsidR="00093C16" w:rsidRPr="000F23E0">
        <w:t xml:space="preserve">, </w:t>
      </w:r>
      <w:hyperlink r:id="rId18" w:history="1">
        <w:r w:rsidR="00093C16" w:rsidRPr="000F23E0">
          <w:rPr>
            <w:rStyle w:val="Hyperlink"/>
          </w:rPr>
          <w:t>https://www.energy.gov.au/publications/australian-energy-update-2025</w:t>
        </w:r>
      </w:hyperlink>
      <w:r w:rsidRPr="000F23E0">
        <w:t xml:space="preserve">, </w:t>
      </w:r>
      <w:r w:rsidR="005B470B" w:rsidRPr="000F23E0">
        <w:t xml:space="preserve">accessed </w:t>
      </w:r>
      <w:r w:rsidR="005D1575" w:rsidRPr="000F23E0">
        <w:t>10 December 2025</w:t>
      </w:r>
      <w:r w:rsidR="005B470B" w:rsidRPr="000F23E0">
        <w:t>.</w:t>
      </w:r>
    </w:p>
  </w:endnote>
  <w:endnote w:id="20">
    <w:p w14:paraId="6104084D" w14:textId="4037A1C7" w:rsidR="005A1479" w:rsidRPr="000F23E0" w:rsidRDefault="005A1479" w:rsidP="002C4475">
      <w:pPr>
        <w:pStyle w:val="FootnoteText"/>
      </w:pPr>
      <w:r w:rsidRPr="000F23E0">
        <w:endnoteRef/>
      </w:r>
      <w:r w:rsidRPr="000F23E0">
        <w:t xml:space="preserve"> </w:t>
      </w:r>
      <w:r w:rsidR="002C4475" w:rsidRPr="000F23E0">
        <w:tab/>
      </w:r>
      <w:r w:rsidR="006B72A9" w:rsidRPr="000F23E0">
        <w:rPr>
          <w:rStyle w:val="FootnoteTextChar"/>
        </w:rPr>
        <w:t>Austr</w:t>
      </w:r>
      <w:r w:rsidR="006B72A9" w:rsidRPr="000F23E0">
        <w:t xml:space="preserve">alian Energy Market Operator </w:t>
      </w:r>
      <w:r w:rsidR="009534C7" w:rsidRPr="000F23E0">
        <w:t>(June 2024)</w:t>
      </w:r>
      <w:r w:rsidR="00DD4A6F" w:rsidRPr="000F23E0">
        <w:t xml:space="preserve">, </w:t>
      </w:r>
      <w:r w:rsidR="002C7724" w:rsidRPr="000F23E0">
        <w:t xml:space="preserve">2024 Integrated System Plan (ISP), </w:t>
      </w:r>
      <w:hyperlink r:id="rId19" w:history="1">
        <w:r w:rsidR="002C7724" w:rsidRPr="000F23E0">
          <w:rPr>
            <w:rStyle w:val="Hyperlink"/>
          </w:rPr>
          <w:t>https://www.aemo.com.au/energy-systems/major-publications/integrated-system-plan-isp/2024-integrated-system-plan-isp</w:t>
        </w:r>
      </w:hyperlink>
      <w:r w:rsidR="002C7724" w:rsidRPr="000F23E0">
        <w:t xml:space="preserve">, </w:t>
      </w:r>
      <w:r w:rsidR="00BC2C8D" w:rsidRPr="000F23E0">
        <w:t xml:space="preserve">accessed </w:t>
      </w:r>
      <w:r w:rsidR="005D1575" w:rsidRPr="000F23E0">
        <w:t>7 January 202</w:t>
      </w:r>
      <w:r w:rsidR="004651B9" w:rsidRPr="000F23E0">
        <w:t>6</w:t>
      </w:r>
      <w:r w:rsidR="00BC2C8D" w:rsidRPr="000F23E0">
        <w:t>.</w:t>
      </w:r>
      <w:r w:rsidR="002C7724" w:rsidRPr="000F23E0">
        <w:t xml:space="preserve"> </w:t>
      </w:r>
    </w:p>
  </w:endnote>
  <w:endnote w:id="21">
    <w:p w14:paraId="3FB7E461" w14:textId="26126BBE" w:rsidR="00ED3691" w:rsidRPr="000F23E0" w:rsidRDefault="00ED3691" w:rsidP="002C4475">
      <w:pPr>
        <w:pStyle w:val="FootnoteText"/>
      </w:pPr>
      <w:r w:rsidRPr="000F23E0">
        <w:endnoteRef/>
      </w:r>
      <w:r w:rsidRPr="000F23E0">
        <w:t xml:space="preserve"> </w:t>
      </w:r>
      <w:r w:rsidR="002C4475" w:rsidRPr="000F23E0">
        <w:tab/>
      </w:r>
      <w:r w:rsidR="002846F0" w:rsidRPr="000F23E0">
        <w:t>Clean Energy Finance Corporat</w:t>
      </w:r>
      <w:r w:rsidR="007C3D3C" w:rsidRPr="000F23E0">
        <w:t xml:space="preserve">ion </w:t>
      </w:r>
      <w:r w:rsidRPr="000F23E0">
        <w:t xml:space="preserve">(December 2024), </w:t>
      </w:r>
      <w:r w:rsidR="0069221B" w:rsidRPr="000F23E0">
        <w:t>Renewable Energy</w:t>
      </w:r>
      <w:r w:rsidRPr="000F23E0">
        <w:t>,</w:t>
      </w:r>
      <w:r w:rsidR="0069221B" w:rsidRPr="000F23E0">
        <w:t xml:space="preserve"> </w:t>
      </w:r>
      <w:hyperlink r:id="rId20" w:history="1">
        <w:r w:rsidR="0039708C" w:rsidRPr="000F23E0">
          <w:rPr>
            <w:rStyle w:val="Hyperlink"/>
          </w:rPr>
          <w:t>https://www.cefc.com.au/where-we-invest/investment-focus-areas/renewable-energy/</w:t>
        </w:r>
      </w:hyperlink>
      <w:r w:rsidR="0069221B" w:rsidRPr="000F23E0">
        <w:t>,</w:t>
      </w:r>
      <w:r w:rsidRPr="000F23E0">
        <w:t xml:space="preserve"> accessed 7 January 202</w:t>
      </w:r>
      <w:r w:rsidR="004651B9" w:rsidRPr="000F23E0">
        <w:t>6</w:t>
      </w:r>
      <w:r w:rsidRPr="000F23E0">
        <w:t>.</w:t>
      </w:r>
    </w:p>
  </w:endnote>
  <w:endnote w:id="22">
    <w:p w14:paraId="162DDB25" w14:textId="48CE28B4" w:rsidR="00093B26" w:rsidRPr="000F23E0" w:rsidRDefault="00093B26" w:rsidP="00504460">
      <w:pPr>
        <w:pStyle w:val="FootnoteText"/>
      </w:pPr>
      <w:r w:rsidRPr="000F23E0">
        <w:endnoteRef/>
      </w:r>
      <w:r w:rsidRPr="000F23E0">
        <w:t xml:space="preserve"> </w:t>
      </w:r>
      <w:r w:rsidR="002C4475" w:rsidRPr="000F23E0">
        <w:tab/>
      </w:r>
      <w:r w:rsidR="0069221B" w:rsidRPr="000F23E0">
        <w:t>Australian Energy Market Operator (</w:t>
      </w:r>
      <w:r w:rsidR="00026E98" w:rsidRPr="000F23E0">
        <w:t>December</w:t>
      </w:r>
      <w:r w:rsidR="0069221B" w:rsidRPr="000F23E0">
        <w:t xml:space="preserve"> 202</w:t>
      </w:r>
      <w:r w:rsidR="00026E98" w:rsidRPr="000F23E0">
        <w:t>5</w:t>
      </w:r>
      <w:r w:rsidR="0069221B" w:rsidRPr="000F23E0">
        <w:t>), 202</w:t>
      </w:r>
      <w:r w:rsidR="00026E98" w:rsidRPr="000F23E0">
        <w:t>6</w:t>
      </w:r>
      <w:r w:rsidR="0069221B" w:rsidRPr="000F23E0">
        <w:t xml:space="preserve"> Integrated System Plan (ISP), </w:t>
      </w:r>
      <w:hyperlink r:id="rId21" w:history="1">
        <w:r w:rsidR="00C50D0D" w:rsidRPr="000F23E0">
          <w:rPr>
            <w:rStyle w:val="Hyperlink"/>
          </w:rPr>
          <w:t>https://www.aemo.com.au/energy-systems/major-publications/integrated-system-plan-isp/2026-integrated-system-plan-isp</w:t>
        </w:r>
      </w:hyperlink>
      <w:r w:rsidR="0069221B" w:rsidRPr="000F23E0">
        <w:t xml:space="preserve">, accessed </w:t>
      </w:r>
      <w:r w:rsidR="003B5931" w:rsidRPr="000F23E0">
        <w:t>13 January 2026</w:t>
      </w:r>
      <w:r w:rsidR="0069221B" w:rsidRPr="000F23E0">
        <w:t>.</w:t>
      </w:r>
    </w:p>
  </w:endnote>
  <w:endnote w:id="23">
    <w:p w14:paraId="139A87BA" w14:textId="36B95222" w:rsidR="00ED3691" w:rsidRPr="000F23E0" w:rsidRDefault="00ED3691" w:rsidP="002C4475">
      <w:pPr>
        <w:pStyle w:val="FootnoteText"/>
      </w:pPr>
      <w:r w:rsidRPr="000F23E0">
        <w:endnoteRef/>
      </w:r>
      <w:r w:rsidR="002C4475" w:rsidRPr="000F23E0">
        <w:tab/>
      </w:r>
      <w:r w:rsidR="002D1A43" w:rsidRPr="000F23E0">
        <w:t>The Australian Government Department of Climate Change, Energy, the Environment and Water</w:t>
      </w:r>
      <w:r w:rsidRPr="000F23E0">
        <w:t xml:space="preserve"> (October 202</w:t>
      </w:r>
      <w:r w:rsidR="008A741E" w:rsidRPr="000F23E0">
        <w:t>5</w:t>
      </w:r>
      <w:r w:rsidRPr="000F23E0">
        <w:t xml:space="preserve">), </w:t>
      </w:r>
      <w:r w:rsidR="008A741E" w:rsidRPr="000F23E0">
        <w:t>Rewiring the Nation</w:t>
      </w:r>
      <w:r w:rsidRPr="000F23E0">
        <w:t xml:space="preserve">, </w:t>
      </w:r>
      <w:hyperlink r:id="rId22" w:history="1">
        <w:r w:rsidRPr="000F23E0">
          <w:rPr>
            <w:rStyle w:val="Hyperlink"/>
          </w:rPr>
          <w:t>https://www.dcceew.gov.au/energy/renewable/rewiring-the-nation</w:t>
        </w:r>
      </w:hyperlink>
      <w:r w:rsidRPr="000F23E0">
        <w:t>, accessed 7 January 202</w:t>
      </w:r>
      <w:r w:rsidR="008A741E" w:rsidRPr="000F23E0">
        <w:t>6</w:t>
      </w:r>
      <w:r w:rsidRPr="000F23E0">
        <w:t>.</w:t>
      </w:r>
    </w:p>
  </w:endnote>
  <w:endnote w:id="24">
    <w:p w14:paraId="2307360B" w14:textId="4FA90379" w:rsidR="009D6040" w:rsidRPr="000F23E0" w:rsidRDefault="009D6040" w:rsidP="00EF4764">
      <w:pPr>
        <w:pStyle w:val="FootnoteText"/>
      </w:pPr>
      <w:r w:rsidRPr="000F23E0">
        <w:rPr>
          <w:rStyle w:val="EndnoteReference"/>
          <w:vertAlign w:val="baseline"/>
        </w:rPr>
        <w:endnoteRef/>
      </w:r>
      <w:r w:rsidR="002C4475" w:rsidRPr="000F23E0">
        <w:t xml:space="preserve"> </w:t>
      </w:r>
      <w:r w:rsidR="002C4475" w:rsidRPr="000F23E0">
        <w:tab/>
      </w:r>
      <w:r w:rsidR="00404602" w:rsidRPr="000F23E0">
        <w:t>Clean Energy Finance Corporation</w:t>
      </w:r>
      <w:r w:rsidR="0095293A" w:rsidRPr="000F23E0">
        <w:t xml:space="preserve"> (</w:t>
      </w:r>
      <w:r w:rsidR="00AC5AC2" w:rsidRPr="000F23E0">
        <w:t>23 May 2024</w:t>
      </w:r>
      <w:r w:rsidR="0095293A" w:rsidRPr="000F23E0">
        <w:t>)</w:t>
      </w:r>
      <w:r w:rsidR="00404602" w:rsidRPr="000F23E0">
        <w:t>,</w:t>
      </w:r>
      <w:r w:rsidR="00AC5AC2" w:rsidRPr="000F23E0">
        <w:t xml:space="preserve"> Media Release</w:t>
      </w:r>
      <w:r w:rsidR="00E01ABC" w:rsidRPr="000F23E0">
        <w:t>: CEFC confirms single largest investment with $490 million backing for NSW energy grid</w:t>
      </w:r>
      <w:r w:rsidR="00AC5AC2" w:rsidRPr="000F23E0">
        <w:rPr>
          <w:color w:val="32619A"/>
        </w:rPr>
        <w:t xml:space="preserve">, </w:t>
      </w:r>
      <w:hyperlink r:id="rId23" w:history="1">
        <w:r w:rsidR="00AC5AC2" w:rsidRPr="000F23E0">
          <w:rPr>
            <w:rStyle w:val="Hyperlink"/>
          </w:rPr>
          <w:t>https://www.cefc.com.au/media/media-release/cefc-confirms-single-largest-investment-with-490-million-backing-for-nsw-energy-grid/</w:t>
        </w:r>
      </w:hyperlink>
      <w:r w:rsidR="00F351EF" w:rsidRPr="000F23E0">
        <w:t>, accessed 23</w:t>
      </w:r>
      <w:r w:rsidR="00BA0320" w:rsidRPr="000F23E0">
        <w:t> </w:t>
      </w:r>
      <w:r w:rsidR="00F351EF" w:rsidRPr="000F23E0">
        <w:t>January</w:t>
      </w:r>
      <w:r w:rsidR="00BA0320" w:rsidRPr="000F23E0">
        <w:t> </w:t>
      </w:r>
      <w:r w:rsidR="00F351EF" w:rsidRPr="000F23E0">
        <w:t>2026</w:t>
      </w:r>
      <w:r w:rsidR="00E01ABC" w:rsidRPr="000F23E0">
        <w:t>.</w:t>
      </w:r>
    </w:p>
  </w:endnote>
  <w:endnote w:id="25">
    <w:p w14:paraId="6372B9F7" w14:textId="09C88DAB" w:rsidR="00354FC4" w:rsidRPr="000F23E0" w:rsidRDefault="00354FC4" w:rsidP="00EF4764">
      <w:pPr>
        <w:pStyle w:val="FootnoteText"/>
      </w:pPr>
      <w:r w:rsidRPr="000F23E0">
        <w:rPr>
          <w:rStyle w:val="EndnoteReference"/>
          <w:vertAlign w:val="baseline"/>
        </w:rPr>
        <w:endnoteRef/>
      </w:r>
      <w:r w:rsidR="00EF4764" w:rsidRPr="000F23E0">
        <w:t xml:space="preserve"> </w:t>
      </w:r>
      <w:r w:rsidR="00EF4764" w:rsidRPr="000F23E0">
        <w:tab/>
      </w:r>
      <w:r w:rsidR="008C398B" w:rsidRPr="000F23E0">
        <w:t>Clean Energy Finance Corporation</w:t>
      </w:r>
      <w:r w:rsidR="0095293A" w:rsidRPr="000F23E0">
        <w:t xml:space="preserve"> (</w:t>
      </w:r>
      <w:r w:rsidR="00F54676" w:rsidRPr="000F23E0">
        <w:t>18 September 2024</w:t>
      </w:r>
      <w:r w:rsidR="0095293A" w:rsidRPr="000F23E0">
        <w:t>)</w:t>
      </w:r>
      <w:r w:rsidR="0037424F" w:rsidRPr="000F23E0">
        <w:t>,</w:t>
      </w:r>
      <w:r w:rsidR="00F54676" w:rsidRPr="000F23E0">
        <w:t xml:space="preserve"> Media Release</w:t>
      </w:r>
      <w:r w:rsidR="008C398B" w:rsidRPr="000F23E0">
        <w:t>: CEFC advancing Australia’s energy transformation with VNI West commitment</w:t>
      </w:r>
      <w:r w:rsidR="00F54676" w:rsidRPr="000F23E0">
        <w:t xml:space="preserve">, </w:t>
      </w:r>
      <w:hyperlink r:id="rId24" w:history="1">
        <w:r w:rsidR="007D69CF" w:rsidRPr="000F23E0">
          <w:rPr>
            <w:rStyle w:val="Hyperlink"/>
          </w:rPr>
          <w:t>https://www.cefc.com.au/media/media-release/cefc-advancing-australia-s-energy-transformation-with-vni-west-commitment/</w:t>
        </w:r>
      </w:hyperlink>
      <w:r w:rsidR="00F351EF" w:rsidRPr="000F23E0">
        <w:t>, accessed 23 January 2026</w:t>
      </w:r>
      <w:r w:rsidR="00F34671" w:rsidRPr="000F23E0">
        <w:t>.</w:t>
      </w:r>
    </w:p>
  </w:endnote>
  <w:endnote w:id="26">
    <w:p w14:paraId="1D36224D" w14:textId="3EA49343" w:rsidR="00F34F01" w:rsidRPr="000F23E0" w:rsidRDefault="00F34F01" w:rsidP="00EF4764">
      <w:pPr>
        <w:pStyle w:val="FootnoteText"/>
      </w:pPr>
      <w:r w:rsidRPr="000F23E0">
        <w:rPr>
          <w:rStyle w:val="EndnoteReference"/>
          <w:vertAlign w:val="baseline"/>
        </w:rPr>
        <w:endnoteRef/>
      </w:r>
      <w:r w:rsidR="00EF4764" w:rsidRPr="000F23E0">
        <w:t xml:space="preserve"> </w:t>
      </w:r>
      <w:r w:rsidR="00EF4764" w:rsidRPr="000F23E0">
        <w:tab/>
      </w:r>
      <w:r w:rsidR="008C398B" w:rsidRPr="000F23E0">
        <w:t>Clean Energy Finance Corporation</w:t>
      </w:r>
      <w:r w:rsidR="0095293A" w:rsidRPr="000F23E0">
        <w:t xml:space="preserve"> (</w:t>
      </w:r>
      <w:r w:rsidRPr="000F23E0">
        <w:t>17 November 2023</w:t>
      </w:r>
      <w:r w:rsidR="0095293A" w:rsidRPr="000F23E0">
        <w:t xml:space="preserve">), </w:t>
      </w:r>
      <w:r w:rsidRPr="000F23E0">
        <w:t>Media Release</w:t>
      </w:r>
      <w:r w:rsidR="008C398B" w:rsidRPr="000F23E0">
        <w:t xml:space="preserve">: </w:t>
      </w:r>
      <w:r w:rsidR="00F34671" w:rsidRPr="000F23E0">
        <w:t>CEFC makes first RTN investment as NSW steps up clean energy transformation</w:t>
      </w:r>
      <w:r w:rsidRPr="000F23E0">
        <w:t xml:space="preserve">, </w:t>
      </w:r>
      <w:hyperlink r:id="rId25" w:history="1">
        <w:r w:rsidRPr="000F23E0">
          <w:rPr>
            <w:rStyle w:val="Hyperlink"/>
          </w:rPr>
          <w:t>https://www.cefc.com.au/media/media-release/cefc-makes-first-rtn-investment-as-nsw-steps-up-clean-energy-transformation/</w:t>
        </w:r>
      </w:hyperlink>
      <w:r w:rsidR="00F351EF" w:rsidRPr="000F23E0">
        <w:t>, accessed 23 January 2026</w:t>
      </w:r>
      <w:r w:rsidR="00F34671" w:rsidRPr="000F23E0">
        <w:t>.</w:t>
      </w:r>
    </w:p>
  </w:endnote>
  <w:endnote w:id="27">
    <w:p w14:paraId="5624D5DF" w14:textId="0510C2F8" w:rsidR="00771D9D" w:rsidRPr="000F23E0" w:rsidRDefault="00771D9D" w:rsidP="00EF4764">
      <w:pPr>
        <w:pStyle w:val="FootnoteText"/>
      </w:pPr>
      <w:r w:rsidRPr="000F23E0">
        <w:rPr>
          <w:rStyle w:val="EndnoteReference"/>
          <w:vertAlign w:val="baseline"/>
        </w:rPr>
        <w:endnoteRef/>
      </w:r>
      <w:r w:rsidR="00EF4764" w:rsidRPr="000F23E0">
        <w:t xml:space="preserve"> </w:t>
      </w:r>
      <w:r w:rsidR="00EF4764" w:rsidRPr="000F23E0">
        <w:tab/>
      </w:r>
      <w:r w:rsidR="008C398B" w:rsidRPr="000F23E0">
        <w:t>Clean Energy Finance Corporation</w:t>
      </w:r>
      <w:r w:rsidR="00694941" w:rsidRPr="000F23E0">
        <w:t xml:space="preserve"> </w:t>
      </w:r>
      <w:r w:rsidR="0095293A" w:rsidRPr="000F23E0">
        <w:t>(</w:t>
      </w:r>
      <w:r w:rsidR="00694941" w:rsidRPr="000F23E0">
        <w:t>6 October 2025</w:t>
      </w:r>
      <w:r w:rsidR="0095293A" w:rsidRPr="000F23E0">
        <w:t>),</w:t>
      </w:r>
      <w:r w:rsidR="00694941" w:rsidRPr="000F23E0">
        <w:t xml:space="preserve"> Media Release</w:t>
      </w:r>
      <w:r w:rsidR="000D03B5" w:rsidRPr="000F23E0">
        <w:t>:</w:t>
      </w:r>
      <w:r w:rsidR="00AD0121" w:rsidRPr="000F23E0">
        <w:t xml:space="preserve"> Major construction underway on nation-critical HumeLink project,</w:t>
      </w:r>
      <w:r w:rsidR="00694941" w:rsidRPr="000F23E0">
        <w:t xml:space="preserve"> </w:t>
      </w:r>
      <w:hyperlink r:id="rId26" w:history="1">
        <w:r w:rsidR="00573790" w:rsidRPr="000F23E0">
          <w:rPr>
            <w:rStyle w:val="Hyperlink"/>
          </w:rPr>
          <w:t>https://www.cefc.com.au/media/media-release/major-construction-underway-on-nation-critical-humelink-project/</w:t>
        </w:r>
      </w:hyperlink>
      <w:r w:rsidR="00F351EF" w:rsidRPr="000F23E0">
        <w:t>, accessed 23 January 2026</w:t>
      </w:r>
      <w:r w:rsidR="00AD0121" w:rsidRPr="000F23E0">
        <w:t>.</w:t>
      </w:r>
    </w:p>
  </w:endnote>
  <w:endnote w:id="28">
    <w:p w14:paraId="1CBABEFD" w14:textId="354C2402" w:rsidR="00354FC4" w:rsidRPr="000F23E0" w:rsidRDefault="00354FC4" w:rsidP="00EF4764">
      <w:pPr>
        <w:pStyle w:val="FootnoteText"/>
      </w:pPr>
      <w:r w:rsidRPr="000F23E0">
        <w:rPr>
          <w:rStyle w:val="EndnoteReference"/>
          <w:vertAlign w:val="baseline"/>
        </w:rPr>
        <w:endnoteRef/>
      </w:r>
      <w:r w:rsidR="00EF4764" w:rsidRPr="000F23E0">
        <w:t xml:space="preserve"> </w:t>
      </w:r>
      <w:r w:rsidR="00EF4764" w:rsidRPr="000F23E0">
        <w:tab/>
      </w:r>
      <w:r w:rsidR="008C398B" w:rsidRPr="000F23E0">
        <w:t>Clean Energy Finance Corporation</w:t>
      </w:r>
      <w:r w:rsidR="00E92298" w:rsidRPr="000F23E0">
        <w:t xml:space="preserve"> </w:t>
      </w:r>
      <w:r w:rsidR="0095293A" w:rsidRPr="000F23E0">
        <w:t>(</w:t>
      </w:r>
      <w:r w:rsidR="00E92298" w:rsidRPr="000F23E0">
        <w:t>4 April 2025</w:t>
      </w:r>
      <w:r w:rsidR="0095293A" w:rsidRPr="000F23E0">
        <w:t>)</w:t>
      </w:r>
      <w:r w:rsidR="00E92298" w:rsidRPr="000F23E0">
        <w:t>, Media Release</w:t>
      </w:r>
      <w:r w:rsidR="007956C8" w:rsidRPr="000F23E0">
        <w:t>: CEFC statement regarding Central-West Orana REZ</w:t>
      </w:r>
      <w:r w:rsidR="00E92298" w:rsidRPr="000F23E0">
        <w:rPr>
          <w:color w:val="auto"/>
        </w:rPr>
        <w:t xml:space="preserve">, </w:t>
      </w:r>
      <w:hyperlink r:id="rId27" w:history="1">
        <w:r w:rsidR="00AD0121" w:rsidRPr="000F23E0">
          <w:rPr>
            <w:rStyle w:val="Hyperlink"/>
          </w:rPr>
          <w:t>https://www.cefc.com.au/media/statement/cefc-statement-regarding-central-west-orana-rez/</w:t>
        </w:r>
      </w:hyperlink>
      <w:r w:rsidR="00F351EF" w:rsidRPr="000F23E0">
        <w:t>, accessed 23 January 2026</w:t>
      </w:r>
      <w:r w:rsidR="00507F50" w:rsidRPr="000F23E0">
        <w:t>.</w:t>
      </w:r>
    </w:p>
  </w:endnote>
  <w:endnote w:id="29">
    <w:p w14:paraId="2F3542C1" w14:textId="2625F207" w:rsidR="007977B4" w:rsidRPr="000F23E0" w:rsidRDefault="007977B4" w:rsidP="00EF4764">
      <w:pPr>
        <w:pStyle w:val="FootnoteText"/>
      </w:pPr>
      <w:r w:rsidRPr="000F23E0">
        <w:rPr>
          <w:rStyle w:val="EndnoteReference"/>
          <w:vertAlign w:val="baseline"/>
        </w:rPr>
        <w:endnoteRef/>
      </w:r>
      <w:r w:rsidR="00EF4764" w:rsidRPr="000F23E0">
        <w:t xml:space="preserve"> </w:t>
      </w:r>
      <w:r w:rsidR="00EF4764" w:rsidRPr="000F23E0">
        <w:tab/>
      </w:r>
      <w:r w:rsidR="008C398B" w:rsidRPr="000F23E0">
        <w:t>Clean Energy Finance Corporation</w:t>
      </w:r>
      <w:r w:rsidR="00D12161" w:rsidRPr="000F23E0">
        <w:t xml:space="preserve"> </w:t>
      </w:r>
      <w:r w:rsidR="0095293A" w:rsidRPr="000F23E0">
        <w:t>(</w:t>
      </w:r>
      <w:r w:rsidR="00D12161" w:rsidRPr="000F23E0">
        <w:t>28 August 202</w:t>
      </w:r>
      <w:r w:rsidR="0091377D" w:rsidRPr="000F23E0">
        <w:t>4</w:t>
      </w:r>
      <w:r w:rsidR="0095293A" w:rsidRPr="000F23E0">
        <w:t>)</w:t>
      </w:r>
      <w:r w:rsidR="00540CB4" w:rsidRPr="000F23E0">
        <w:t>, Media Release</w:t>
      </w:r>
      <w:r w:rsidR="00507F50" w:rsidRPr="000F23E0">
        <w:t xml:space="preserve">: </w:t>
      </w:r>
      <w:r w:rsidR="0091377D" w:rsidRPr="000F23E0">
        <w:t>VNI West gets greenlight for early works with $700m equity commitment, securing 1000 jobs in regional NSW</w:t>
      </w:r>
      <w:r w:rsidR="00540CB4" w:rsidRPr="000F23E0">
        <w:t xml:space="preserve">, </w:t>
      </w:r>
      <w:hyperlink r:id="rId28" w:history="1">
        <w:r w:rsidR="00F351EF" w:rsidRPr="000F23E0">
          <w:rPr>
            <w:rStyle w:val="Hyperlink"/>
          </w:rPr>
          <w:t>https://www.cefc.com.au/media/media-release/vni-west-gets-greenlight-for-early-works-with-700m-equity-commitment/</w:t>
        </w:r>
      </w:hyperlink>
      <w:r w:rsidR="00F351EF" w:rsidRPr="000F23E0">
        <w:t>, accessed 23 January 2026</w:t>
      </w:r>
      <w:r w:rsidR="00507F50" w:rsidRPr="000F23E0">
        <w:t>.</w:t>
      </w:r>
    </w:p>
  </w:endnote>
  <w:endnote w:id="30">
    <w:p w14:paraId="5BFD3676" w14:textId="06848866" w:rsidR="00666DAD" w:rsidRPr="000F23E0" w:rsidRDefault="00666DAD" w:rsidP="00EF4764">
      <w:pPr>
        <w:pStyle w:val="FootnoteText"/>
      </w:pPr>
      <w:r w:rsidRPr="000F23E0">
        <w:rPr>
          <w:rStyle w:val="EndnoteReference"/>
          <w:vertAlign w:val="baseline"/>
        </w:rPr>
        <w:endnoteRef/>
      </w:r>
      <w:r w:rsidR="00EF4764" w:rsidRPr="000F23E0">
        <w:t xml:space="preserve"> </w:t>
      </w:r>
      <w:r w:rsidR="00EF4764" w:rsidRPr="000F23E0">
        <w:tab/>
      </w:r>
      <w:r w:rsidR="008C398B" w:rsidRPr="000F23E0">
        <w:t>Clean Energy Finance Corporation</w:t>
      </w:r>
      <w:r w:rsidR="0095293A" w:rsidRPr="000F23E0">
        <w:t xml:space="preserve"> (</w:t>
      </w:r>
      <w:r w:rsidR="00C72401" w:rsidRPr="000F23E0">
        <w:t>3 September 2025</w:t>
      </w:r>
      <w:r w:rsidR="009C1E27" w:rsidRPr="000F23E0">
        <w:t xml:space="preserve">), </w:t>
      </w:r>
      <w:r w:rsidR="00C72401" w:rsidRPr="000F23E0">
        <w:t>Media Release</w:t>
      </w:r>
      <w:r w:rsidR="00B50C33" w:rsidRPr="000F23E0">
        <w:t>: CEFC to invest in visionary Marinus Link project in largest-ever transaction</w:t>
      </w:r>
      <w:r w:rsidR="00C72401" w:rsidRPr="000F23E0">
        <w:t xml:space="preserve">, </w:t>
      </w:r>
      <w:hyperlink r:id="rId29" w:history="1">
        <w:r w:rsidR="00DE30FC" w:rsidRPr="000F23E0">
          <w:rPr>
            <w:rStyle w:val="Hyperlink"/>
          </w:rPr>
          <w:t>https://www.cefc.com.au/media/media-release/cefc-to-invest-in-visionary-marinus-link-project-in-largest-ever-transaction/</w:t>
        </w:r>
      </w:hyperlink>
      <w:r w:rsidR="00DE30FC" w:rsidRPr="000F23E0">
        <w:t>, accessed 23 January 2026</w:t>
      </w:r>
      <w:r w:rsidR="00B50C33" w:rsidRPr="000F23E0">
        <w:t>.</w:t>
      </w:r>
    </w:p>
  </w:endnote>
  <w:endnote w:id="31">
    <w:p w14:paraId="096F93B2" w14:textId="1ADB5450" w:rsidR="00D117A4" w:rsidRPr="000F23E0" w:rsidRDefault="00D117A4" w:rsidP="00EF4764">
      <w:pPr>
        <w:pStyle w:val="FootnoteText"/>
      </w:pPr>
      <w:r w:rsidRPr="000F23E0">
        <w:rPr>
          <w:rStyle w:val="EndnoteReference"/>
          <w:vertAlign w:val="baseline"/>
        </w:rPr>
        <w:endnoteRef/>
      </w:r>
      <w:r w:rsidR="00EF4764" w:rsidRPr="000F23E0">
        <w:t xml:space="preserve"> </w:t>
      </w:r>
      <w:r w:rsidR="00EF4764" w:rsidRPr="000F23E0">
        <w:tab/>
      </w:r>
      <w:r w:rsidRPr="000F23E0">
        <w:t>EnergyCo (</w:t>
      </w:r>
      <w:r w:rsidR="00957E23" w:rsidRPr="000F23E0">
        <w:t xml:space="preserve">December </w:t>
      </w:r>
      <w:r w:rsidRPr="000F23E0">
        <w:t xml:space="preserve">2025), </w:t>
      </w:r>
      <w:r w:rsidR="00B35B25" w:rsidRPr="000F23E0">
        <w:t>Central-West Orana Renewable Energy Zone</w:t>
      </w:r>
      <w:r w:rsidRPr="000F23E0">
        <w:t xml:space="preserve">, </w:t>
      </w:r>
      <w:hyperlink r:id="rId30" w:history="1">
        <w:r w:rsidRPr="000F23E0">
          <w:rPr>
            <w:rStyle w:val="Hyperlink"/>
          </w:rPr>
          <w:t>https://www.energyco.nsw.gov.au/cwo-rez</w:t>
        </w:r>
      </w:hyperlink>
      <w:r w:rsidRPr="000F23E0">
        <w:t xml:space="preserve">, accessed </w:t>
      </w:r>
      <w:r w:rsidR="0012064B" w:rsidRPr="000F23E0">
        <w:t xml:space="preserve">7 </w:t>
      </w:r>
      <w:r w:rsidRPr="000F23E0">
        <w:t>January</w:t>
      </w:r>
      <w:r w:rsidR="00B35B25" w:rsidRPr="000F23E0">
        <w:t xml:space="preserve"> 2026</w:t>
      </w:r>
      <w:r w:rsidRPr="000F23E0">
        <w:t>.</w:t>
      </w:r>
    </w:p>
  </w:endnote>
  <w:endnote w:id="32">
    <w:p w14:paraId="398DC200" w14:textId="311CC049" w:rsidR="00DB163B" w:rsidRPr="000F23E0" w:rsidRDefault="00DB163B" w:rsidP="00EF4764">
      <w:pPr>
        <w:pStyle w:val="FootnoteText"/>
      </w:pPr>
      <w:r w:rsidRPr="000F23E0">
        <w:rPr>
          <w:rStyle w:val="EndnoteReference"/>
          <w:vertAlign w:val="baseline"/>
        </w:rPr>
        <w:endnoteRef/>
      </w:r>
      <w:r w:rsidR="00EF4764" w:rsidRPr="000F23E0">
        <w:t xml:space="preserve"> </w:t>
      </w:r>
      <w:r w:rsidR="00EF4764" w:rsidRPr="000F23E0">
        <w:tab/>
      </w:r>
      <w:r w:rsidR="000413D9" w:rsidRPr="000F23E0">
        <w:t>Transgrid (27 November 2025)</w:t>
      </w:r>
      <w:r w:rsidR="00531020" w:rsidRPr="000F23E0">
        <w:t xml:space="preserve">, </w:t>
      </w:r>
      <w:r w:rsidR="00D740CC" w:rsidRPr="000F23E0">
        <w:t xml:space="preserve">Nation-critical HumeLink project marks major milestone as first towers rise, </w:t>
      </w:r>
      <w:hyperlink r:id="rId31" w:history="1">
        <w:r w:rsidR="00DD7159" w:rsidRPr="000F23E0">
          <w:rPr>
            <w:rStyle w:val="Hyperlink"/>
          </w:rPr>
          <w:t>https://www.transgrid.com.au/media-publications/news-articles/nation-critical-humelink-project-marks-major-milestone-as-first-towers-rise/</w:t>
        </w:r>
      </w:hyperlink>
      <w:r w:rsidR="00D740CC" w:rsidRPr="000F23E0">
        <w:t xml:space="preserve">, accessed </w:t>
      </w:r>
      <w:r w:rsidR="00B817CF" w:rsidRPr="000F23E0">
        <w:t>18 December 2025</w:t>
      </w:r>
      <w:r w:rsidR="00D740CC" w:rsidRPr="000F23E0">
        <w:t>.</w:t>
      </w:r>
    </w:p>
  </w:endnote>
  <w:endnote w:id="33">
    <w:p w14:paraId="757C3604" w14:textId="1162E998" w:rsidR="00DB163B" w:rsidRPr="000F23E0" w:rsidRDefault="00DB163B" w:rsidP="00EF4764">
      <w:pPr>
        <w:pStyle w:val="FootnoteText"/>
      </w:pPr>
      <w:r w:rsidRPr="000F23E0">
        <w:rPr>
          <w:rStyle w:val="EndnoteReference"/>
          <w:vertAlign w:val="baseline"/>
        </w:rPr>
        <w:endnoteRef/>
      </w:r>
      <w:r w:rsidRPr="000F23E0">
        <w:t xml:space="preserve"> </w:t>
      </w:r>
      <w:r w:rsidR="00EF4764" w:rsidRPr="000F23E0">
        <w:tab/>
      </w:r>
      <w:r w:rsidR="006468A4" w:rsidRPr="000F23E0">
        <w:t>Marinus Link</w:t>
      </w:r>
      <w:r w:rsidR="001830FC" w:rsidRPr="000F23E0">
        <w:t xml:space="preserve"> (December 2025), </w:t>
      </w:r>
      <w:r w:rsidR="00575660" w:rsidRPr="000F23E0">
        <w:t xml:space="preserve">Overview, </w:t>
      </w:r>
      <w:hyperlink r:id="rId32" w:history="1">
        <w:r w:rsidR="001830FC" w:rsidRPr="000F23E0">
          <w:rPr>
            <w:rStyle w:val="Hyperlink"/>
          </w:rPr>
          <w:t>https://www.marinuslink.com.au/overview/</w:t>
        </w:r>
      </w:hyperlink>
      <w:r w:rsidR="00575660" w:rsidRPr="000F23E0">
        <w:t xml:space="preserve">, accessed </w:t>
      </w:r>
      <w:r w:rsidR="00B817CF" w:rsidRPr="000F23E0">
        <w:t>7</w:t>
      </w:r>
      <w:r w:rsidR="00BA0320" w:rsidRPr="000F23E0">
        <w:t> </w:t>
      </w:r>
      <w:r w:rsidR="00B817CF" w:rsidRPr="000F23E0">
        <w:t>January</w:t>
      </w:r>
      <w:r w:rsidR="00BA0320" w:rsidRPr="000F23E0">
        <w:t> </w:t>
      </w:r>
      <w:r w:rsidR="00B817CF" w:rsidRPr="000F23E0">
        <w:t>2026</w:t>
      </w:r>
      <w:r w:rsidR="00575660" w:rsidRPr="000F23E0">
        <w:t>.</w:t>
      </w:r>
    </w:p>
  </w:endnote>
  <w:endnote w:id="34">
    <w:p w14:paraId="18C03161" w14:textId="319EF2E7" w:rsidR="0095150B" w:rsidRPr="000F23E0" w:rsidRDefault="0095150B" w:rsidP="00EF4764">
      <w:pPr>
        <w:pStyle w:val="FootnoteText"/>
      </w:pPr>
      <w:r w:rsidRPr="000F23E0">
        <w:rPr>
          <w:rStyle w:val="EndnoteReference"/>
          <w:vertAlign w:val="baseline"/>
        </w:rPr>
        <w:endnoteRef/>
      </w:r>
      <w:r w:rsidRPr="000F23E0">
        <w:t xml:space="preserve"> </w:t>
      </w:r>
      <w:r w:rsidR="00EF4764" w:rsidRPr="000F23E0">
        <w:tab/>
      </w:r>
      <w:r w:rsidRPr="000F23E0">
        <w:t>EnergyCo (</w:t>
      </w:r>
      <w:r w:rsidR="00BA7E2B" w:rsidRPr="000F23E0">
        <w:t xml:space="preserve">December </w:t>
      </w:r>
      <w:r w:rsidRPr="000F23E0">
        <w:t xml:space="preserve">2025), </w:t>
      </w:r>
      <w:r w:rsidR="00A847F3" w:rsidRPr="000F23E0">
        <w:t>Central-West Orana Renewable Energy Zone</w:t>
      </w:r>
      <w:r w:rsidRPr="000F23E0">
        <w:t xml:space="preserve">, </w:t>
      </w:r>
      <w:hyperlink r:id="rId33" w:history="1">
        <w:r w:rsidRPr="000F23E0">
          <w:rPr>
            <w:rStyle w:val="Hyperlink"/>
          </w:rPr>
          <w:t>https://www.energyco.nsw.gov.au/cwo-rez</w:t>
        </w:r>
      </w:hyperlink>
      <w:r w:rsidRPr="000F23E0">
        <w:t xml:space="preserve">, accessed </w:t>
      </w:r>
      <w:r w:rsidR="00290DAB" w:rsidRPr="000F23E0">
        <w:t>7</w:t>
      </w:r>
      <w:r w:rsidRPr="000F23E0">
        <w:t xml:space="preserve"> January</w:t>
      </w:r>
      <w:r w:rsidR="00290DAB" w:rsidRPr="000F23E0">
        <w:t xml:space="preserve"> 2026</w:t>
      </w:r>
      <w:r w:rsidRPr="000F23E0">
        <w:t>.</w:t>
      </w:r>
    </w:p>
  </w:endnote>
  <w:endnote w:id="35">
    <w:p w14:paraId="2332450D" w14:textId="3425BC95" w:rsidR="008227D3" w:rsidRPr="000F23E0" w:rsidRDefault="008227D3" w:rsidP="00EF4764">
      <w:pPr>
        <w:pStyle w:val="FootnoteText"/>
      </w:pPr>
      <w:r w:rsidRPr="000F23E0">
        <w:rPr>
          <w:rStyle w:val="EndnoteReference"/>
          <w:vertAlign w:val="baseline"/>
        </w:rPr>
        <w:endnoteRef/>
      </w:r>
      <w:r w:rsidRPr="000F23E0">
        <w:t xml:space="preserve"> </w:t>
      </w:r>
      <w:r w:rsidR="00EF4764" w:rsidRPr="000F23E0">
        <w:tab/>
      </w:r>
      <w:r w:rsidR="0050683D" w:rsidRPr="000F23E0">
        <w:t xml:space="preserve">EnergyCo (December 2025), Central-West Orana Renewable Energy Zone, </w:t>
      </w:r>
      <w:hyperlink r:id="rId34" w:history="1">
        <w:r w:rsidR="0050683D" w:rsidRPr="000F23E0">
          <w:rPr>
            <w:rStyle w:val="Hyperlink"/>
          </w:rPr>
          <w:t>https://www.energyco.nsw.gov.au/cwo-rez</w:t>
        </w:r>
      </w:hyperlink>
      <w:r w:rsidR="0050683D" w:rsidRPr="000F23E0">
        <w:t xml:space="preserve">, accessed </w:t>
      </w:r>
      <w:r w:rsidR="00B817CF" w:rsidRPr="000F23E0">
        <w:t>7 January 2026</w:t>
      </w:r>
      <w:r w:rsidR="0050683D" w:rsidRPr="000F23E0">
        <w:t>.</w:t>
      </w:r>
    </w:p>
  </w:endnote>
  <w:endnote w:id="36">
    <w:p w14:paraId="107AC920" w14:textId="4AB23DC4" w:rsidR="00CC4F30" w:rsidRPr="000F23E0" w:rsidRDefault="00CC4F30" w:rsidP="00EF4764">
      <w:pPr>
        <w:pStyle w:val="FootnoteText"/>
      </w:pPr>
      <w:r w:rsidRPr="000F23E0">
        <w:rPr>
          <w:rStyle w:val="EndnoteReference"/>
          <w:vertAlign w:val="baseline"/>
        </w:rPr>
        <w:endnoteRef/>
      </w:r>
      <w:r w:rsidR="00EF4764" w:rsidRPr="000F23E0">
        <w:t xml:space="preserve"> </w:t>
      </w:r>
      <w:r w:rsidR="00EF4764" w:rsidRPr="000F23E0">
        <w:tab/>
      </w:r>
      <w:r w:rsidR="0094077C" w:rsidRPr="000F23E0">
        <w:t xml:space="preserve">Transgrid (2025), Humelink, </w:t>
      </w:r>
      <w:hyperlink r:id="rId35" w:history="1">
        <w:r w:rsidR="0094077C" w:rsidRPr="000F23E0">
          <w:rPr>
            <w:rStyle w:val="Hyperlink"/>
          </w:rPr>
          <w:t>https://www.transgrid.com.au/projects-innovation/humelink/</w:t>
        </w:r>
      </w:hyperlink>
      <w:r w:rsidR="0094077C" w:rsidRPr="000F23E0">
        <w:t xml:space="preserve">, accessed </w:t>
      </w:r>
      <w:r w:rsidR="00B817CF" w:rsidRPr="000F23E0">
        <w:t>7</w:t>
      </w:r>
      <w:r w:rsidR="00EF4764" w:rsidRPr="000F23E0">
        <w:t> </w:t>
      </w:r>
      <w:r w:rsidR="00B817CF" w:rsidRPr="000F23E0">
        <w:t>January 2026</w:t>
      </w:r>
      <w:r w:rsidR="0094077C" w:rsidRPr="000F23E0">
        <w:t>.</w:t>
      </w:r>
    </w:p>
  </w:endnote>
  <w:endnote w:id="37">
    <w:p w14:paraId="68D22AE8" w14:textId="18F2BBDC" w:rsidR="004D1186" w:rsidRPr="000F23E0" w:rsidRDefault="004D1186" w:rsidP="00EF4764">
      <w:pPr>
        <w:pStyle w:val="FootnoteText"/>
      </w:pPr>
      <w:r w:rsidRPr="000F23E0">
        <w:rPr>
          <w:rStyle w:val="EndnoteReference"/>
          <w:vertAlign w:val="baseline"/>
        </w:rPr>
        <w:endnoteRef/>
      </w:r>
      <w:r w:rsidR="00EF4764" w:rsidRPr="000F23E0">
        <w:t xml:space="preserve"> </w:t>
      </w:r>
      <w:r w:rsidR="00EF4764" w:rsidRPr="000F23E0">
        <w:tab/>
      </w:r>
      <w:r w:rsidR="001558FA" w:rsidRPr="000F23E0">
        <w:t>Marinus Link</w:t>
      </w:r>
      <w:r w:rsidR="00FB2B3F" w:rsidRPr="000F23E0">
        <w:t xml:space="preserve"> (</w:t>
      </w:r>
      <w:r w:rsidR="001903F6" w:rsidRPr="000F23E0">
        <w:t xml:space="preserve">October </w:t>
      </w:r>
      <w:r w:rsidR="00FB2B3F" w:rsidRPr="000F23E0">
        <w:t>2023)</w:t>
      </w:r>
      <w:r w:rsidR="001903F6" w:rsidRPr="000F23E0">
        <w:t xml:space="preserve">, </w:t>
      </w:r>
      <w:r w:rsidR="00964610" w:rsidRPr="000F23E0">
        <w:t>The economic contribution of Project Marinus,</w:t>
      </w:r>
      <w:r w:rsidR="00EF4764" w:rsidRPr="000F23E0">
        <w:t xml:space="preserve"> </w:t>
      </w:r>
      <w:hyperlink r:id="rId36" w:history="1">
        <w:r w:rsidR="00EF4764" w:rsidRPr="000F23E0">
          <w:rPr>
            <w:rStyle w:val="Hyperlink"/>
          </w:rPr>
          <w:t>https://www.marinuslink.com.au/economic-contribution-2023/</w:t>
        </w:r>
      </w:hyperlink>
      <w:r w:rsidR="00964610" w:rsidRPr="000F23E0">
        <w:t xml:space="preserve">, accessed </w:t>
      </w:r>
      <w:r w:rsidR="00B817CF" w:rsidRPr="000F23E0">
        <w:t>18 December 2025</w:t>
      </w:r>
      <w:r w:rsidR="00964610" w:rsidRPr="000F23E0">
        <w:t>.</w:t>
      </w:r>
    </w:p>
  </w:endnote>
  <w:endnote w:id="38">
    <w:p w14:paraId="4703BF2E" w14:textId="3367E3F0" w:rsidR="0035148C" w:rsidRPr="000F23E0" w:rsidRDefault="0035148C" w:rsidP="00EF4764">
      <w:pPr>
        <w:pStyle w:val="FootnoteText"/>
      </w:pPr>
      <w:r w:rsidRPr="000F23E0">
        <w:rPr>
          <w:rStyle w:val="EndnoteReference"/>
          <w:vertAlign w:val="baseline"/>
        </w:rPr>
        <w:endnoteRef/>
      </w:r>
      <w:r w:rsidRPr="000F23E0">
        <w:t xml:space="preserve"> </w:t>
      </w:r>
      <w:r w:rsidR="00EF4764" w:rsidRPr="000F23E0">
        <w:tab/>
      </w:r>
      <w:r w:rsidR="00277F22" w:rsidRPr="000F23E0">
        <w:t>Snowy</w:t>
      </w:r>
      <w:r w:rsidR="00875421" w:rsidRPr="000F23E0">
        <w:t xml:space="preserve"> Hydro </w:t>
      </w:r>
      <w:r w:rsidR="00EA5CE9" w:rsidRPr="000F23E0">
        <w:t>(October 2025)</w:t>
      </w:r>
      <w:r w:rsidR="005F4034" w:rsidRPr="000F23E0">
        <w:t xml:space="preserve">, </w:t>
      </w:r>
      <w:r w:rsidR="001138E5" w:rsidRPr="000F23E0">
        <w:t xml:space="preserve">Cost </w:t>
      </w:r>
      <w:r w:rsidR="0064413C" w:rsidRPr="000F23E0">
        <w:t>r</w:t>
      </w:r>
      <w:r w:rsidR="001138E5" w:rsidRPr="000F23E0">
        <w:t xml:space="preserve">eassessment </w:t>
      </w:r>
      <w:r w:rsidR="0064413C" w:rsidRPr="000F23E0">
        <w:t>u</w:t>
      </w:r>
      <w:r w:rsidR="001138E5" w:rsidRPr="000F23E0">
        <w:t xml:space="preserve">nderway </w:t>
      </w:r>
      <w:r w:rsidR="0064413C" w:rsidRPr="000F23E0">
        <w:t>f</w:t>
      </w:r>
      <w:r w:rsidR="001138E5" w:rsidRPr="000F23E0">
        <w:t xml:space="preserve">or </w:t>
      </w:r>
      <w:r w:rsidR="0064413C" w:rsidRPr="000F23E0">
        <w:t>o</w:t>
      </w:r>
      <w:r w:rsidR="001138E5" w:rsidRPr="000F23E0">
        <w:t>n-</w:t>
      </w:r>
      <w:r w:rsidR="0064413C" w:rsidRPr="000F23E0">
        <w:t>s</w:t>
      </w:r>
      <w:r w:rsidR="001138E5" w:rsidRPr="000F23E0">
        <w:t xml:space="preserve">chedule </w:t>
      </w:r>
      <w:r w:rsidR="0064413C" w:rsidRPr="000F23E0">
        <w:t>Snowy</w:t>
      </w:r>
      <w:r w:rsidR="001138E5" w:rsidRPr="000F23E0">
        <w:t xml:space="preserve"> 2.0</w:t>
      </w:r>
      <w:r w:rsidR="0064413C" w:rsidRPr="000F23E0">
        <w:t xml:space="preserve">, </w:t>
      </w:r>
      <w:hyperlink r:id="rId37" w:history="1">
        <w:r w:rsidR="006F2CE0" w:rsidRPr="000F23E0">
          <w:rPr>
            <w:rStyle w:val="Hyperlink"/>
          </w:rPr>
          <w:t>https://www.snowyhydro.com.au/news/cost-reassessment-underway-for-on-schedule-snowy-2-0/</w:t>
        </w:r>
      </w:hyperlink>
      <w:r w:rsidR="006F2CE0" w:rsidRPr="000F23E0">
        <w:t xml:space="preserve">, </w:t>
      </w:r>
      <w:r w:rsidR="005717F7" w:rsidRPr="000F23E0">
        <w:t>accessed</w:t>
      </w:r>
      <w:r w:rsidR="006F2CE0" w:rsidRPr="000F23E0">
        <w:t xml:space="preserve"> </w:t>
      </w:r>
      <w:r w:rsidR="005717F7" w:rsidRPr="000F23E0">
        <w:t>6 January 2026.</w:t>
      </w:r>
    </w:p>
  </w:endnote>
  <w:endnote w:id="39">
    <w:p w14:paraId="26A22D0C" w14:textId="7B90875A" w:rsidR="00472DAF" w:rsidRPr="000F23E0" w:rsidRDefault="00472DAF" w:rsidP="00EF4764">
      <w:pPr>
        <w:pStyle w:val="FootnoteText"/>
      </w:pPr>
      <w:r w:rsidRPr="000F23E0">
        <w:rPr>
          <w:rStyle w:val="EndnoteReference"/>
          <w:vertAlign w:val="baseline"/>
        </w:rPr>
        <w:endnoteRef/>
      </w:r>
      <w:r w:rsidRPr="000F23E0">
        <w:t xml:space="preserve"> </w:t>
      </w:r>
      <w:r w:rsidR="00EF4764" w:rsidRPr="000F23E0">
        <w:tab/>
      </w:r>
      <w:r w:rsidR="00C71AE5" w:rsidRPr="000F23E0">
        <w:t>The Australian Government Department of Climate Change, Energy, the Environment and Water</w:t>
      </w:r>
      <w:r w:rsidRPr="000F23E0">
        <w:t xml:space="preserve"> (November 2023), </w:t>
      </w:r>
      <w:r w:rsidR="00F14142" w:rsidRPr="000F23E0">
        <w:t>New Hydrogen Hub for Kwinana,</w:t>
      </w:r>
      <w:r w:rsidRPr="000F23E0">
        <w:t xml:space="preserve"> </w:t>
      </w:r>
      <w:hyperlink w:history="1">
        <w:r w:rsidRPr="000F23E0">
          <w:rPr>
            <w:rStyle w:val="Hyperlink"/>
          </w:rPr>
          <w:t>https://www.dcceew.gov.au/about/news/new-hydrogen-hub-for-kwinana</w:t>
        </w:r>
      </w:hyperlink>
      <w:r w:rsidRPr="000F23E0">
        <w:t xml:space="preserve">, accessed 30 November </w:t>
      </w:r>
      <w:r w:rsidR="00F14142" w:rsidRPr="000F23E0">
        <w:t>202</w:t>
      </w:r>
      <w:r w:rsidR="008F52D1" w:rsidRPr="000F23E0">
        <w:t>5</w:t>
      </w:r>
      <w:r w:rsidRPr="000F23E0">
        <w:t>.</w:t>
      </w:r>
    </w:p>
  </w:endnote>
  <w:endnote w:id="40">
    <w:p w14:paraId="36A6F65C" w14:textId="209816DA" w:rsidR="00472DAF" w:rsidRPr="000F23E0" w:rsidRDefault="00472DAF" w:rsidP="00EF4764">
      <w:pPr>
        <w:pStyle w:val="FootnoteText"/>
      </w:pPr>
      <w:r w:rsidRPr="000F23E0">
        <w:rPr>
          <w:rStyle w:val="EndnoteReference"/>
          <w:vertAlign w:val="baseline"/>
        </w:rPr>
        <w:endnoteRef/>
      </w:r>
      <w:r w:rsidRPr="000F23E0">
        <w:t xml:space="preserve"> </w:t>
      </w:r>
      <w:r w:rsidR="00EF4764" w:rsidRPr="000F23E0">
        <w:tab/>
      </w:r>
      <w:r w:rsidR="001C5BF1" w:rsidRPr="000F23E0">
        <w:t>The Australian Government Department of Climate Change, Energy, the Environment and Water</w:t>
      </w:r>
      <w:r w:rsidRPr="000F23E0">
        <w:t xml:space="preserve"> (January 2024), </w:t>
      </w:r>
      <w:r w:rsidR="00F14142" w:rsidRPr="000F23E0">
        <w:t>Hydrogen hub for Bell Bay, Tasmania,</w:t>
      </w:r>
      <w:r w:rsidRPr="000F23E0">
        <w:t xml:space="preserve"> </w:t>
      </w:r>
      <w:hyperlink w:history="1">
        <w:r w:rsidRPr="000F23E0">
          <w:rPr>
            <w:rStyle w:val="Hyperlink"/>
          </w:rPr>
          <w:t>https://www.dcceew.gov.au/about/news/hydrogen-hub-for-bell-bay-tasmania</w:t>
        </w:r>
      </w:hyperlink>
      <w:r w:rsidRPr="000F23E0">
        <w:t xml:space="preserve">, accessed 29 November </w:t>
      </w:r>
      <w:r w:rsidR="00F14142" w:rsidRPr="000F23E0">
        <w:t>202</w:t>
      </w:r>
      <w:r w:rsidR="00A021EC" w:rsidRPr="000F23E0">
        <w:t>5</w:t>
      </w:r>
      <w:r w:rsidRPr="000F23E0">
        <w:t xml:space="preserve">. </w:t>
      </w:r>
    </w:p>
  </w:endnote>
  <w:endnote w:id="41">
    <w:p w14:paraId="421A3E11" w14:textId="72D4F677" w:rsidR="00472DAF" w:rsidRPr="000F23E0" w:rsidRDefault="00472DAF" w:rsidP="00EF4764">
      <w:pPr>
        <w:pStyle w:val="FootnoteText"/>
      </w:pPr>
      <w:r w:rsidRPr="000F23E0">
        <w:rPr>
          <w:rStyle w:val="EndnoteReference"/>
          <w:vertAlign w:val="baseline"/>
        </w:rPr>
        <w:endnoteRef/>
      </w:r>
      <w:r w:rsidRPr="000F23E0">
        <w:t xml:space="preserve"> </w:t>
      </w:r>
      <w:r w:rsidR="00EF4764" w:rsidRPr="000F23E0">
        <w:tab/>
      </w:r>
      <w:r w:rsidRPr="000F23E0">
        <w:t xml:space="preserve">NSW </w:t>
      </w:r>
      <w:r w:rsidR="00C80C5E" w:rsidRPr="000F23E0">
        <w:t>government</w:t>
      </w:r>
      <w:r w:rsidRPr="000F23E0">
        <w:t xml:space="preserve"> (May 2024), </w:t>
      </w:r>
      <w:r w:rsidR="00A42FEC" w:rsidRPr="000F23E0">
        <w:t>Ministerial media release:</w:t>
      </w:r>
      <w:r w:rsidR="00F14142" w:rsidRPr="000F23E0">
        <w:t xml:space="preserve"> $207.6 million hydrogen hub given green light</w:t>
      </w:r>
      <w:r w:rsidR="00EF4764" w:rsidRPr="000F23E0">
        <w:t> </w:t>
      </w:r>
      <w:r w:rsidR="00F14142" w:rsidRPr="000F23E0">
        <w:t>in</w:t>
      </w:r>
      <w:r w:rsidR="00EF4764" w:rsidRPr="000F23E0">
        <w:t> </w:t>
      </w:r>
      <w:r w:rsidR="00F14142" w:rsidRPr="000F23E0">
        <w:t>Hunter,</w:t>
      </w:r>
      <w:r w:rsidRPr="000F23E0">
        <w:t xml:space="preserve"> </w:t>
      </w:r>
      <w:hyperlink w:history="1">
        <w:r w:rsidRPr="000F23E0">
          <w:rPr>
            <w:rStyle w:val="Hyperlink"/>
          </w:rPr>
          <w:t>https://www.nsw.gov.au/media-releases/2076-million-hydrogen-hub</w:t>
        </w:r>
      </w:hyperlink>
      <w:r w:rsidRPr="000F23E0">
        <w:t>, accessed 30</w:t>
      </w:r>
      <w:r w:rsidR="00EF4764" w:rsidRPr="000F23E0">
        <w:t> </w:t>
      </w:r>
      <w:r w:rsidRPr="000F23E0">
        <w:t xml:space="preserve">November </w:t>
      </w:r>
      <w:r w:rsidR="00F14142" w:rsidRPr="000F23E0">
        <w:t>202</w:t>
      </w:r>
      <w:r w:rsidR="00A021EC" w:rsidRPr="000F23E0">
        <w:t>5</w:t>
      </w:r>
      <w:r w:rsidRPr="000F23E0">
        <w:t>.</w:t>
      </w:r>
    </w:p>
  </w:endnote>
  <w:endnote w:id="42">
    <w:p w14:paraId="1C02A3CC" w14:textId="5F944EAB" w:rsidR="004809B5" w:rsidRPr="000F23E0" w:rsidRDefault="004809B5" w:rsidP="00EF4764">
      <w:pPr>
        <w:pStyle w:val="FootnoteText"/>
      </w:pPr>
      <w:r w:rsidRPr="000F23E0">
        <w:rPr>
          <w:rStyle w:val="EndnoteReference"/>
          <w:vertAlign w:val="baseline"/>
        </w:rPr>
        <w:endnoteRef/>
      </w:r>
      <w:r w:rsidR="004D6545" w:rsidRPr="000F23E0">
        <w:t xml:space="preserve"> </w:t>
      </w:r>
      <w:r w:rsidR="00EF4764" w:rsidRPr="000F23E0">
        <w:tab/>
      </w:r>
      <w:r w:rsidR="0012064B" w:rsidRPr="000F23E0">
        <w:t>B</w:t>
      </w:r>
      <w:r w:rsidR="00DF28F9" w:rsidRPr="000F23E0">
        <w:t xml:space="preserve">usiness.gov.au </w:t>
      </w:r>
      <w:r w:rsidR="0094107D" w:rsidRPr="000F23E0">
        <w:t>(2022)</w:t>
      </w:r>
      <w:r w:rsidR="00DF28F9" w:rsidRPr="000F23E0">
        <w:t>, Funding to establish hydrogen hubs in regional Australia</w:t>
      </w:r>
      <w:r w:rsidR="0094107D" w:rsidRPr="000F23E0">
        <w:t>,</w:t>
      </w:r>
      <w:r w:rsidR="00DF28F9" w:rsidRPr="000F23E0">
        <w:t xml:space="preserve"> </w:t>
      </w:r>
      <w:hyperlink r:id="rId38" w:history="1">
        <w:r w:rsidR="00DD7159" w:rsidRPr="000F23E0">
          <w:rPr>
            <w:rStyle w:val="Hyperlink"/>
          </w:rPr>
          <w:t>https://business.gov.au/grants-and-programs/hydrogen-hubs-implementation-grants-round-1</w:t>
        </w:r>
      </w:hyperlink>
      <w:r w:rsidR="0094107D" w:rsidRPr="000F23E0">
        <w:t xml:space="preserve">, accessed </w:t>
      </w:r>
      <w:r w:rsidR="00B817CF" w:rsidRPr="000F23E0">
        <w:t>29</w:t>
      </w:r>
      <w:r w:rsidR="00EF4764" w:rsidRPr="000F23E0">
        <w:t> </w:t>
      </w:r>
      <w:r w:rsidR="00B817CF" w:rsidRPr="000F23E0">
        <w:t>November 2025</w:t>
      </w:r>
      <w:r w:rsidR="0094107D" w:rsidRPr="000F23E0">
        <w:t>.</w:t>
      </w:r>
      <w:r w:rsidR="00DF28F9" w:rsidRPr="000F23E0">
        <w:t xml:space="preserve"> </w:t>
      </w:r>
    </w:p>
  </w:endnote>
  <w:endnote w:id="43">
    <w:p w14:paraId="2450AB94" w14:textId="13854920" w:rsidR="00645601" w:rsidRPr="000F23E0" w:rsidRDefault="00645601" w:rsidP="00EF4764">
      <w:pPr>
        <w:pStyle w:val="FootnoteText"/>
      </w:pPr>
      <w:r w:rsidRPr="000F23E0">
        <w:rPr>
          <w:rStyle w:val="EndnoteReference"/>
          <w:vertAlign w:val="baseline"/>
        </w:rPr>
        <w:endnoteRef/>
      </w:r>
      <w:r w:rsidRPr="000F23E0">
        <w:t xml:space="preserve"> </w:t>
      </w:r>
      <w:r w:rsidR="00EF4764" w:rsidRPr="000F23E0">
        <w:tab/>
      </w:r>
      <w:r w:rsidR="00343666" w:rsidRPr="000F23E0">
        <w:t xml:space="preserve">The </w:t>
      </w:r>
      <w:r w:rsidR="00DF4540" w:rsidRPr="000F23E0">
        <w:t xml:space="preserve">Australian Renewable Energy Agency (September 2025), </w:t>
      </w:r>
      <w:r w:rsidR="00393957" w:rsidRPr="000F23E0">
        <w:t>Community Batteries</w:t>
      </w:r>
      <w:r w:rsidR="00DF4540" w:rsidRPr="000F23E0">
        <w:t xml:space="preserve"> Funding Round 2, </w:t>
      </w:r>
      <w:hyperlink r:id="rId39" w:history="1">
        <w:r w:rsidR="00DF4540" w:rsidRPr="000F23E0">
          <w:rPr>
            <w:rStyle w:val="Hyperlink"/>
          </w:rPr>
          <w:t>https://arena.gov.au/funding/community-batteries-funding-round-2/</w:t>
        </w:r>
      </w:hyperlink>
      <w:r w:rsidR="00DF4540" w:rsidRPr="000F23E0">
        <w:t>, accessed</w:t>
      </w:r>
      <w:r w:rsidR="00106EBD" w:rsidRPr="000F23E0">
        <w:t xml:space="preserve"> 9 December 2025.</w:t>
      </w:r>
    </w:p>
  </w:endnote>
  <w:endnote w:id="44">
    <w:p w14:paraId="2DC85846" w14:textId="5EDAA43B" w:rsidR="007D7A0E" w:rsidRPr="000F23E0" w:rsidRDefault="007D7A0E" w:rsidP="00EF4764">
      <w:pPr>
        <w:pStyle w:val="FootnoteText"/>
      </w:pPr>
      <w:r w:rsidRPr="000F23E0">
        <w:rPr>
          <w:rStyle w:val="EndnoteReference"/>
          <w:vertAlign w:val="baseline"/>
        </w:rPr>
        <w:endnoteRef/>
      </w:r>
      <w:r w:rsidRPr="000F23E0">
        <w:t xml:space="preserve"> </w:t>
      </w:r>
      <w:r w:rsidR="00EF4764" w:rsidRPr="000F23E0">
        <w:tab/>
      </w:r>
      <w:r w:rsidR="004B330B" w:rsidRPr="000F23E0">
        <w:t>The Australian Government Department of Climate Change, Energy, the Environment and Water</w:t>
      </w:r>
      <w:r w:rsidRPr="000F23E0">
        <w:t xml:space="preserve"> (June</w:t>
      </w:r>
      <w:r w:rsidR="00EF4764" w:rsidRPr="000F23E0">
        <w:t> </w:t>
      </w:r>
      <w:r w:rsidRPr="000F23E0">
        <w:t xml:space="preserve">2024), Household Energy Upgrades Fund, </w:t>
      </w:r>
      <w:hyperlink r:id="rId40" w:history="1">
        <w:r w:rsidRPr="000F23E0">
          <w:rPr>
            <w:rStyle w:val="Hyperlink"/>
          </w:rPr>
          <w:t>https://www.dcceew.gov.au/energy/programs/household-energy-upgrades-fund</w:t>
        </w:r>
      </w:hyperlink>
      <w:r w:rsidRPr="000F23E0">
        <w:t>, accessed 14 December 2024</w:t>
      </w:r>
      <w:r w:rsidR="004B330B" w:rsidRPr="000F23E0">
        <w:t>.</w:t>
      </w:r>
    </w:p>
  </w:endnote>
  <w:endnote w:id="45">
    <w:p w14:paraId="5AE78CC6" w14:textId="08497B69" w:rsidR="00984507" w:rsidRPr="000F23E0" w:rsidRDefault="00984507" w:rsidP="00EF4764">
      <w:pPr>
        <w:pStyle w:val="FootnoteText"/>
      </w:pPr>
      <w:r w:rsidRPr="000F23E0">
        <w:rPr>
          <w:rStyle w:val="EndnoteReference"/>
          <w:vertAlign w:val="baseline"/>
        </w:rPr>
        <w:endnoteRef/>
      </w:r>
      <w:r w:rsidRPr="000F23E0">
        <w:t xml:space="preserve"> </w:t>
      </w:r>
      <w:r w:rsidR="00EF4764" w:rsidRPr="000F23E0">
        <w:tab/>
      </w:r>
      <w:r w:rsidR="009B31A7" w:rsidRPr="000F23E0">
        <w:t>The Australian Government Department of Climate Change, Energy, the Environment and Water (November 2025), Australia’s emissions projections 2025</w:t>
      </w:r>
      <w:r w:rsidR="00F444BB" w:rsidRPr="000F23E0">
        <w:t xml:space="preserve"> (p 51)</w:t>
      </w:r>
      <w:r w:rsidR="009B31A7" w:rsidRPr="000F23E0">
        <w:t xml:space="preserve">, </w:t>
      </w:r>
      <w:hyperlink r:id="rId41" w:history="1">
        <w:r w:rsidR="009B31A7" w:rsidRPr="000F23E0">
          <w:rPr>
            <w:rStyle w:val="Hyperlink"/>
          </w:rPr>
          <w:t>https://www.dcceew.gov.au/climate-change/publications/australias-emissions-projections-2025</w:t>
        </w:r>
      </w:hyperlink>
      <w:r w:rsidR="009B31A7" w:rsidRPr="000F23E0">
        <w:t>, accessed 17 December 2025.</w:t>
      </w:r>
    </w:p>
  </w:endnote>
  <w:endnote w:id="46">
    <w:p w14:paraId="2A6831A1" w14:textId="5BB64211" w:rsidR="00D30DFC" w:rsidRPr="000F23E0" w:rsidRDefault="00D30DFC" w:rsidP="00EF4764">
      <w:pPr>
        <w:pStyle w:val="FootnoteText"/>
      </w:pPr>
      <w:r w:rsidRPr="000F23E0">
        <w:rPr>
          <w:rStyle w:val="EndnoteReference"/>
          <w:vertAlign w:val="baseline"/>
        </w:rPr>
        <w:endnoteRef/>
      </w:r>
      <w:r w:rsidRPr="000F23E0">
        <w:t xml:space="preserve"> </w:t>
      </w:r>
      <w:r w:rsidR="00EF4764" w:rsidRPr="000F23E0">
        <w:tab/>
      </w:r>
      <w:r w:rsidRPr="000F23E0">
        <w:t xml:space="preserve">The Australian Government Department of Climate Change, Energy, the Environment and Water (November 2025), Australia’s emissions projections 2025 (p </w:t>
      </w:r>
      <w:r w:rsidR="003D77D3" w:rsidRPr="000F23E0">
        <w:t>17</w:t>
      </w:r>
      <w:r w:rsidRPr="000F23E0">
        <w:t xml:space="preserve">), </w:t>
      </w:r>
      <w:hyperlink r:id="rId42" w:history="1">
        <w:r w:rsidRPr="000F23E0">
          <w:rPr>
            <w:rStyle w:val="Hyperlink"/>
          </w:rPr>
          <w:t>https://www.dcceew.gov.au/climate-change/publications/australias-emissions-projections-2025</w:t>
        </w:r>
      </w:hyperlink>
      <w:r w:rsidRPr="000F23E0">
        <w:t>, accessed 17 December 2025.</w:t>
      </w:r>
    </w:p>
  </w:endnote>
  <w:endnote w:id="47">
    <w:p w14:paraId="0953D2E0" w14:textId="61EF716B" w:rsidR="00F02AFD" w:rsidRPr="000F23E0" w:rsidRDefault="00F02AFD" w:rsidP="00EF4764">
      <w:pPr>
        <w:pStyle w:val="FootnoteText"/>
      </w:pPr>
      <w:r w:rsidRPr="000F23E0">
        <w:rPr>
          <w:rStyle w:val="EndnoteReference"/>
          <w:vertAlign w:val="baseline"/>
        </w:rPr>
        <w:endnoteRef/>
      </w:r>
      <w:r w:rsidRPr="000F23E0">
        <w:t xml:space="preserve"> </w:t>
      </w:r>
      <w:r w:rsidR="00EF4764" w:rsidRPr="000F23E0">
        <w:tab/>
      </w:r>
      <w:r w:rsidR="00A9497A" w:rsidRPr="000F23E0">
        <w:t xml:space="preserve">The Australian Government </w:t>
      </w:r>
      <w:r w:rsidR="00E26C7D" w:rsidRPr="000F23E0">
        <w:t>Department of Infrastructure, Trans</w:t>
      </w:r>
      <w:r w:rsidR="001860C1" w:rsidRPr="000F23E0">
        <w:t xml:space="preserve">port, Regional Development, Communications, Sport and the Arts (September 2025), </w:t>
      </w:r>
      <w:r w:rsidRPr="000F23E0">
        <w:t>Transport and Infrastructure Net Zero Roadmap and Action Plan</w:t>
      </w:r>
      <w:r w:rsidR="001860C1" w:rsidRPr="000F23E0">
        <w:t xml:space="preserve"> (p3),</w:t>
      </w:r>
      <w:r w:rsidR="00784848" w:rsidRPr="000F23E0">
        <w:t xml:space="preserve"> </w:t>
      </w:r>
      <w:hyperlink r:id="rId43" w:history="1">
        <w:r w:rsidR="00784848" w:rsidRPr="000F23E0">
          <w:rPr>
            <w:rStyle w:val="Hyperlink"/>
          </w:rPr>
          <w:t>https://www.infrastructure.gov.au/department/media/publications/transport-and-infrastructure-net-zero-roadmap-and-action-plan</w:t>
        </w:r>
      </w:hyperlink>
      <w:r w:rsidR="00C770B6" w:rsidRPr="000F23E0">
        <w:t xml:space="preserve">, </w:t>
      </w:r>
      <w:r w:rsidR="001860C1" w:rsidRPr="000F23E0">
        <w:t xml:space="preserve">accessed </w:t>
      </w:r>
      <w:r w:rsidR="00631264" w:rsidRPr="000F23E0">
        <w:t>8</w:t>
      </w:r>
      <w:r w:rsidR="00B817CF" w:rsidRPr="000F23E0">
        <w:t xml:space="preserve"> December 2025</w:t>
      </w:r>
      <w:r w:rsidR="001860C1" w:rsidRPr="000F23E0">
        <w:t>.</w:t>
      </w:r>
    </w:p>
  </w:endnote>
  <w:endnote w:id="48">
    <w:p w14:paraId="7B6B0A47" w14:textId="38222F94" w:rsidR="0079347A" w:rsidRPr="000F23E0" w:rsidRDefault="0079347A" w:rsidP="00EF4764">
      <w:pPr>
        <w:pStyle w:val="FootnoteText"/>
      </w:pPr>
      <w:r w:rsidRPr="000F23E0">
        <w:rPr>
          <w:rStyle w:val="EndnoteReference"/>
          <w:vertAlign w:val="baseline"/>
        </w:rPr>
        <w:endnoteRef/>
      </w:r>
      <w:r w:rsidRPr="000F23E0">
        <w:t xml:space="preserve"> </w:t>
      </w:r>
      <w:r w:rsidR="00EF4764" w:rsidRPr="000F23E0">
        <w:tab/>
      </w:r>
      <w:r w:rsidR="001860C1" w:rsidRPr="000F23E0">
        <w:t>The Australian Government Department of Climate Change, Energy, the Environment and Water</w:t>
      </w:r>
      <w:r w:rsidRPr="000F23E0">
        <w:t xml:space="preserve"> (August 2024), The National Electric Vehicle Strategy</w:t>
      </w:r>
      <w:r w:rsidRPr="000F23E0">
        <w:rPr>
          <w:color w:val="32619A"/>
        </w:rPr>
        <w:t xml:space="preserve">, </w:t>
      </w:r>
      <w:hyperlink r:id="rId44" w:history="1">
        <w:r w:rsidRPr="000F23E0">
          <w:rPr>
            <w:rStyle w:val="Hyperlink"/>
          </w:rPr>
          <w:t>https://www.dcceew.gov.au/energy/transport/national-electric-vehicle-strategy</w:t>
        </w:r>
      </w:hyperlink>
      <w:r w:rsidRPr="000F23E0">
        <w:t>, accessed 14 December 2024</w:t>
      </w:r>
      <w:r w:rsidR="001860C1" w:rsidRPr="000F23E0">
        <w:t>.</w:t>
      </w:r>
    </w:p>
  </w:endnote>
  <w:endnote w:id="49">
    <w:p w14:paraId="1AF7A95F" w14:textId="1029F796" w:rsidR="008A4B57" w:rsidRPr="000F23E0" w:rsidRDefault="008A4B57" w:rsidP="00EF4764">
      <w:pPr>
        <w:pStyle w:val="FootnoteText"/>
      </w:pPr>
      <w:r w:rsidRPr="000F23E0">
        <w:rPr>
          <w:rStyle w:val="EndnoteReference"/>
          <w:vertAlign w:val="baseline"/>
        </w:rPr>
        <w:endnoteRef/>
      </w:r>
      <w:r w:rsidRPr="000F23E0">
        <w:t xml:space="preserve"> </w:t>
      </w:r>
      <w:r w:rsidR="00EF4764" w:rsidRPr="000F23E0">
        <w:tab/>
      </w:r>
      <w:r w:rsidR="001860C1" w:rsidRPr="000F23E0">
        <w:t>The Australian Government Department of Infrastructure, Transport, Regional Development, Communications, Sport and the Arts (September 2025)</w:t>
      </w:r>
      <w:r w:rsidR="00C770B6" w:rsidRPr="000F23E0">
        <w:t>, Transport and Infrastructure Net Zero Roadmap and Action Plan (</w:t>
      </w:r>
      <w:r w:rsidR="001860C1" w:rsidRPr="000F23E0">
        <w:t>p43),</w:t>
      </w:r>
      <w:r w:rsidR="00C770B6" w:rsidRPr="000F23E0">
        <w:t xml:space="preserve"> </w:t>
      </w:r>
      <w:hyperlink r:id="rId45" w:history="1">
        <w:r w:rsidR="004B523A" w:rsidRPr="000F23E0">
          <w:rPr>
            <w:rStyle w:val="Hyperlink"/>
          </w:rPr>
          <w:t>https://www.infrastructure.gov.au/department/media/publications/transport-and-infrastructure-net-zero-roadmap-and-action-plan</w:t>
        </w:r>
      </w:hyperlink>
      <w:r w:rsidR="001860C1" w:rsidRPr="000F23E0">
        <w:t xml:space="preserve">, accessed </w:t>
      </w:r>
      <w:r w:rsidR="00631264" w:rsidRPr="000F23E0">
        <w:t>8 December 2025</w:t>
      </w:r>
      <w:r w:rsidR="001860C1" w:rsidRPr="000F23E0">
        <w:t>.</w:t>
      </w:r>
    </w:p>
  </w:endnote>
  <w:endnote w:id="50">
    <w:p w14:paraId="547645EB" w14:textId="38BE4531" w:rsidR="0079347A" w:rsidRPr="000F23E0" w:rsidRDefault="0079347A" w:rsidP="00EF4764">
      <w:pPr>
        <w:pStyle w:val="FootnoteText"/>
      </w:pPr>
      <w:r w:rsidRPr="000F23E0">
        <w:rPr>
          <w:rStyle w:val="EndnoteReference"/>
          <w:vertAlign w:val="baseline"/>
        </w:rPr>
        <w:endnoteRef/>
      </w:r>
      <w:r w:rsidRPr="000F23E0">
        <w:t xml:space="preserve"> </w:t>
      </w:r>
      <w:r w:rsidR="00EF4764" w:rsidRPr="000F23E0">
        <w:tab/>
      </w:r>
      <w:r w:rsidR="001514BC" w:rsidRPr="000F23E0">
        <w:t>The Australian Government Department of Climate Change, Energy, the Environment and Water</w:t>
      </w:r>
      <w:r w:rsidRPr="000F23E0">
        <w:t xml:space="preserve"> (August</w:t>
      </w:r>
      <w:r w:rsidR="00EF4764" w:rsidRPr="000F23E0">
        <w:t> </w:t>
      </w:r>
      <w:r w:rsidRPr="000F23E0">
        <w:t xml:space="preserve">2024), Transport and Infrastructure Net Zero Consultation Roadmap, </w:t>
      </w:r>
      <w:hyperlink r:id="rId46" w:history="1">
        <w:r w:rsidRPr="000F23E0">
          <w:rPr>
            <w:rStyle w:val="Hyperlink"/>
          </w:rPr>
          <w:t>https://consult.dcceew.gov.au/transport-and-infrastructure-net-zero-consultation-roadmap</w:t>
        </w:r>
      </w:hyperlink>
      <w:r w:rsidRPr="000F23E0">
        <w:t>, accessed 14</w:t>
      </w:r>
      <w:r w:rsidR="00EF4764" w:rsidRPr="000F23E0">
        <w:t> </w:t>
      </w:r>
      <w:r w:rsidRPr="000F23E0">
        <w:t>December 202</w:t>
      </w:r>
      <w:r w:rsidR="00057AE6" w:rsidRPr="000F23E0">
        <w:t>5</w:t>
      </w:r>
      <w:r w:rsidR="001514BC" w:rsidRPr="000F23E0">
        <w:t>.</w:t>
      </w:r>
    </w:p>
  </w:endnote>
  <w:endnote w:id="51">
    <w:p w14:paraId="58653996" w14:textId="7025C1C9" w:rsidR="0079347A" w:rsidRPr="000F23E0" w:rsidRDefault="0079347A" w:rsidP="00EF4764">
      <w:pPr>
        <w:pStyle w:val="FootnoteText"/>
      </w:pPr>
      <w:r w:rsidRPr="000F23E0">
        <w:rPr>
          <w:rStyle w:val="EndnoteReference"/>
          <w:vertAlign w:val="baseline"/>
        </w:rPr>
        <w:endnoteRef/>
      </w:r>
      <w:r w:rsidR="00EF4764" w:rsidRPr="000F23E0">
        <w:t xml:space="preserve"> </w:t>
      </w:r>
      <w:r w:rsidR="00EF4764" w:rsidRPr="000F23E0">
        <w:tab/>
      </w:r>
      <w:r w:rsidRPr="000F23E0">
        <w:t xml:space="preserve">Engineers Australia (March 2022), Future of rail transport, </w:t>
      </w:r>
      <w:hyperlink r:id="rId47" w:history="1">
        <w:r w:rsidR="00DD7159" w:rsidRPr="000F23E0">
          <w:rPr>
            <w:rStyle w:val="Hyperlink"/>
          </w:rPr>
          <w:t>https://www.engineersaustralia.org.au/publications/future-rail-transport</w:t>
        </w:r>
      </w:hyperlink>
      <w:r w:rsidRPr="000F23E0">
        <w:t>, accessed 14 December</w:t>
      </w:r>
      <w:r w:rsidR="0048577C" w:rsidRPr="000F23E0">
        <w:t xml:space="preserve"> </w:t>
      </w:r>
      <w:r w:rsidRPr="000F23E0">
        <w:t>202</w:t>
      </w:r>
      <w:r w:rsidR="00057AE6" w:rsidRPr="000F23E0">
        <w:t>5</w:t>
      </w:r>
      <w:r w:rsidRPr="000F23E0">
        <w:t>.</w:t>
      </w:r>
      <w:r w:rsidRPr="000F23E0" w:rsidDel="009D7490">
        <w:t xml:space="preserve"> </w:t>
      </w:r>
    </w:p>
  </w:endnote>
  <w:endnote w:id="52">
    <w:p w14:paraId="3E5F1AF1" w14:textId="45AF9274" w:rsidR="00BF6A73" w:rsidRPr="000F23E0" w:rsidRDefault="00BF6A73" w:rsidP="00EF4764">
      <w:pPr>
        <w:pStyle w:val="FootnoteText"/>
      </w:pPr>
      <w:r w:rsidRPr="000F23E0">
        <w:rPr>
          <w:rStyle w:val="EndnoteReference"/>
          <w:vertAlign w:val="baseline"/>
        </w:rPr>
        <w:endnoteRef/>
      </w:r>
      <w:r w:rsidR="00EF4764" w:rsidRPr="000F23E0">
        <w:t xml:space="preserve"> </w:t>
      </w:r>
      <w:r w:rsidR="00EF4764" w:rsidRPr="000F23E0">
        <w:tab/>
      </w:r>
      <w:r w:rsidR="001514BC" w:rsidRPr="000F23E0">
        <w:t>The Australian Government Department of Infrastructure, Transport, Regional Development, Communications, Sport and the Arts</w:t>
      </w:r>
      <w:r w:rsidRPr="000F23E0">
        <w:t xml:space="preserve"> (2024), </w:t>
      </w:r>
      <w:r w:rsidR="00A51D2F" w:rsidRPr="000F23E0">
        <w:t>Sydney Metro-Western Sydney Airport,</w:t>
      </w:r>
      <w:r w:rsidRPr="000F23E0">
        <w:t xml:space="preserve"> </w:t>
      </w:r>
      <w:hyperlink r:id="rId48" w:history="1">
        <w:r w:rsidRPr="000F23E0">
          <w:rPr>
            <w:rStyle w:val="Hyperlink"/>
          </w:rPr>
          <w:t>https://investment.infrastructure.gov.au/key-projects/sydney-metro-western-sydney-airport</w:t>
        </w:r>
      </w:hyperlink>
      <w:r w:rsidRPr="000F23E0">
        <w:t>, accessed 5</w:t>
      </w:r>
      <w:r w:rsidR="00EF4764" w:rsidRPr="000F23E0">
        <w:t> </w:t>
      </w:r>
      <w:r w:rsidRPr="000F23E0">
        <w:t xml:space="preserve">December </w:t>
      </w:r>
      <w:r w:rsidR="00A51D2F" w:rsidRPr="000F23E0">
        <w:t>202</w:t>
      </w:r>
      <w:r w:rsidR="00057AE6" w:rsidRPr="000F23E0">
        <w:t>5</w:t>
      </w:r>
      <w:r w:rsidRPr="000F23E0">
        <w:t>.</w:t>
      </w:r>
    </w:p>
  </w:endnote>
  <w:endnote w:id="53">
    <w:p w14:paraId="61995528" w14:textId="7EC42F11" w:rsidR="00BF6A73" w:rsidRPr="000F23E0" w:rsidRDefault="00BF6A73" w:rsidP="00EF4764">
      <w:pPr>
        <w:pStyle w:val="FootnoteText"/>
      </w:pPr>
      <w:r w:rsidRPr="000F23E0">
        <w:rPr>
          <w:rStyle w:val="EndnoteReference"/>
          <w:vertAlign w:val="baseline"/>
        </w:rPr>
        <w:endnoteRef/>
      </w:r>
      <w:r w:rsidRPr="000F23E0">
        <w:t xml:space="preserve"> </w:t>
      </w:r>
      <w:r w:rsidR="00EF4764" w:rsidRPr="000F23E0">
        <w:tab/>
      </w:r>
      <w:r w:rsidR="00A228E5" w:rsidRPr="000F23E0">
        <w:t>Queensland</w:t>
      </w:r>
      <w:r w:rsidR="00A51D2F" w:rsidRPr="000F23E0">
        <w:t xml:space="preserve"> </w:t>
      </w:r>
      <w:r w:rsidR="00B758F2" w:rsidRPr="000F23E0">
        <w:t>Government</w:t>
      </w:r>
      <w:r w:rsidRPr="000F23E0">
        <w:t xml:space="preserve"> Department of Transport and Main Roads (December 2024), </w:t>
      </w:r>
      <w:r w:rsidR="00A51D2F" w:rsidRPr="000F23E0">
        <w:t>Gold Coast Light Rail,</w:t>
      </w:r>
      <w:r w:rsidRPr="000F23E0">
        <w:t xml:space="preserve"> </w:t>
      </w:r>
      <w:hyperlink r:id="rId49" w:history="1">
        <w:r w:rsidRPr="000F23E0">
          <w:rPr>
            <w:rStyle w:val="Hyperlink"/>
          </w:rPr>
          <w:t>https://www.tmr.qld.gov.au/projects/gold-coast-light-rail</w:t>
        </w:r>
      </w:hyperlink>
      <w:r w:rsidRPr="000F23E0">
        <w:t xml:space="preserve">, accessed 5 December </w:t>
      </w:r>
      <w:r w:rsidR="00A51D2F" w:rsidRPr="000F23E0">
        <w:t>202</w:t>
      </w:r>
      <w:r w:rsidR="00D20BFF" w:rsidRPr="000F23E0">
        <w:t>5</w:t>
      </w:r>
      <w:r w:rsidRPr="000F23E0">
        <w:t>.</w:t>
      </w:r>
    </w:p>
  </w:endnote>
  <w:endnote w:id="54">
    <w:p w14:paraId="5264D5EB" w14:textId="44B7E84C" w:rsidR="00BF6A73" w:rsidRPr="000F23E0" w:rsidRDefault="00BF6A73" w:rsidP="00EF4764">
      <w:pPr>
        <w:pStyle w:val="FootnoteText"/>
      </w:pPr>
      <w:r w:rsidRPr="000F23E0">
        <w:rPr>
          <w:rStyle w:val="EndnoteReference"/>
          <w:vertAlign w:val="baseline"/>
        </w:rPr>
        <w:endnoteRef/>
      </w:r>
      <w:r w:rsidRPr="000F23E0">
        <w:t xml:space="preserve"> </w:t>
      </w:r>
      <w:r w:rsidR="00EF4764" w:rsidRPr="000F23E0">
        <w:tab/>
      </w:r>
      <w:r w:rsidR="0048577C" w:rsidRPr="000F23E0">
        <w:t>The Australian Government Department of Infrastructure, Transport, Regional Development, Communications, Sport and the Arts</w:t>
      </w:r>
      <w:r w:rsidR="00A51D2F" w:rsidRPr="000F23E0">
        <w:t xml:space="preserve"> (</w:t>
      </w:r>
      <w:r w:rsidR="0084341D" w:rsidRPr="000F23E0">
        <w:t>August</w:t>
      </w:r>
      <w:r w:rsidR="00A51D2F" w:rsidRPr="000F23E0">
        <w:t xml:space="preserve"> 202</w:t>
      </w:r>
      <w:r w:rsidR="0084341D" w:rsidRPr="000F23E0">
        <w:t>5</w:t>
      </w:r>
      <w:r w:rsidR="00A51D2F" w:rsidRPr="000F23E0">
        <w:t>), Canberra Light Rail – Stage 2A,</w:t>
      </w:r>
      <w:r w:rsidRPr="000F23E0">
        <w:t xml:space="preserve"> </w:t>
      </w:r>
      <w:hyperlink r:id="rId50" w:history="1">
        <w:r w:rsidRPr="000F23E0">
          <w:rPr>
            <w:rStyle w:val="Hyperlink"/>
          </w:rPr>
          <w:t>https://investment.infrastructure.gov.au/projects/113788-20act-np</w:t>
        </w:r>
      </w:hyperlink>
      <w:r w:rsidRPr="000F23E0">
        <w:t xml:space="preserve">, accessed 6 December </w:t>
      </w:r>
      <w:r w:rsidR="00A51D2F" w:rsidRPr="000F23E0">
        <w:t>202</w:t>
      </w:r>
      <w:r w:rsidR="00FA2ACD" w:rsidRPr="000F23E0">
        <w:t>5.</w:t>
      </w:r>
    </w:p>
  </w:endnote>
  <w:endnote w:id="55">
    <w:p w14:paraId="016F71EA" w14:textId="17848BB9" w:rsidR="0079347A" w:rsidRPr="000F23E0" w:rsidRDefault="0079347A" w:rsidP="00EF4764">
      <w:pPr>
        <w:pStyle w:val="FootnoteText"/>
      </w:pPr>
      <w:r w:rsidRPr="000F23E0">
        <w:rPr>
          <w:rStyle w:val="EndnoteReference"/>
          <w:vertAlign w:val="baseline"/>
        </w:rPr>
        <w:endnoteRef/>
      </w:r>
      <w:r w:rsidRPr="000F23E0">
        <w:t xml:space="preserve"> </w:t>
      </w:r>
      <w:r w:rsidR="00EF4764" w:rsidRPr="000F23E0">
        <w:tab/>
      </w:r>
      <w:r w:rsidRPr="000F23E0">
        <w:t xml:space="preserve">NSW </w:t>
      </w:r>
      <w:r w:rsidR="00C176F6" w:rsidRPr="000F23E0">
        <w:t>G</w:t>
      </w:r>
      <w:r w:rsidRPr="000F23E0">
        <w:t>overnment</w:t>
      </w:r>
      <w:r w:rsidR="00C17C39" w:rsidRPr="000F23E0">
        <w:t xml:space="preserve"> Sydney Metro</w:t>
      </w:r>
      <w:r w:rsidRPr="000F23E0">
        <w:t xml:space="preserve"> (202</w:t>
      </w:r>
      <w:r w:rsidR="00412151" w:rsidRPr="000F23E0">
        <w:t>5</w:t>
      </w:r>
      <w:r w:rsidRPr="000F23E0">
        <w:t xml:space="preserve">), </w:t>
      </w:r>
      <w:r w:rsidR="00380AEA" w:rsidRPr="000F23E0">
        <w:t xml:space="preserve">Project Overview: </w:t>
      </w:r>
      <w:r w:rsidRPr="000F23E0">
        <w:t xml:space="preserve">About Sydney Metro – Western Sydney Airport, </w:t>
      </w:r>
      <w:hyperlink r:id="rId51" w:history="1">
        <w:r w:rsidRPr="000F23E0">
          <w:rPr>
            <w:rStyle w:val="Hyperlink"/>
          </w:rPr>
          <w:t>https://www.sydneymetro.info/westernsydneyairportline</w:t>
        </w:r>
      </w:hyperlink>
      <w:r w:rsidRPr="000F23E0">
        <w:t>, accessed 5 December 202</w:t>
      </w:r>
      <w:r w:rsidR="006879AD" w:rsidRPr="000F23E0">
        <w:t>5.</w:t>
      </w:r>
    </w:p>
  </w:endnote>
  <w:endnote w:id="56">
    <w:p w14:paraId="2B71D3CF" w14:textId="58E58B0A" w:rsidR="0079347A" w:rsidRPr="000F23E0" w:rsidRDefault="0079347A" w:rsidP="00EF4764">
      <w:pPr>
        <w:pStyle w:val="FootnoteText"/>
      </w:pPr>
      <w:r w:rsidRPr="000F23E0">
        <w:rPr>
          <w:rStyle w:val="EndnoteReference"/>
          <w:vertAlign w:val="baseline"/>
        </w:rPr>
        <w:endnoteRef/>
      </w:r>
      <w:r w:rsidRPr="000F23E0">
        <w:t xml:space="preserve"> </w:t>
      </w:r>
      <w:r w:rsidR="00EF4764" w:rsidRPr="000F23E0">
        <w:tab/>
      </w:r>
      <w:r w:rsidR="00C176F6" w:rsidRPr="000F23E0">
        <w:t>Queensland Government</w:t>
      </w:r>
      <w:r w:rsidRPr="000F23E0">
        <w:t xml:space="preserve"> Department of Transport and Main Roads (December 202</w:t>
      </w:r>
      <w:r w:rsidR="00412151" w:rsidRPr="000F23E0">
        <w:t>5</w:t>
      </w:r>
      <w:r w:rsidRPr="000F23E0">
        <w:t xml:space="preserve">), Gold Coast Light Rail, </w:t>
      </w:r>
      <w:hyperlink r:id="rId52" w:history="1">
        <w:r w:rsidRPr="000F23E0">
          <w:rPr>
            <w:rStyle w:val="Hyperlink"/>
          </w:rPr>
          <w:t>https://www.tmr.qld.gov.au/projects/gold-coast-light-rail</w:t>
        </w:r>
      </w:hyperlink>
      <w:r w:rsidRPr="000F23E0">
        <w:t>, accessed 5 December 202</w:t>
      </w:r>
      <w:r w:rsidR="00C176F6" w:rsidRPr="000F23E0">
        <w:t>5</w:t>
      </w:r>
      <w:r w:rsidRPr="000F23E0">
        <w:t>.</w:t>
      </w:r>
    </w:p>
  </w:endnote>
  <w:endnote w:id="57">
    <w:p w14:paraId="48D76FB6" w14:textId="24FC1ACB" w:rsidR="0079347A" w:rsidRPr="000F23E0" w:rsidRDefault="0079347A" w:rsidP="00EF4764">
      <w:pPr>
        <w:pStyle w:val="FootnoteText"/>
      </w:pPr>
      <w:r w:rsidRPr="000F23E0">
        <w:rPr>
          <w:rStyle w:val="EndnoteReference"/>
          <w:vertAlign w:val="baseline"/>
        </w:rPr>
        <w:endnoteRef/>
      </w:r>
      <w:r w:rsidRPr="000F23E0">
        <w:t xml:space="preserve"> </w:t>
      </w:r>
      <w:r w:rsidR="00EF4764" w:rsidRPr="000F23E0">
        <w:tab/>
      </w:r>
      <w:r w:rsidRPr="000F23E0">
        <w:t xml:space="preserve">ACT </w:t>
      </w:r>
      <w:r w:rsidR="00E83BD3" w:rsidRPr="000F23E0">
        <w:t>G</w:t>
      </w:r>
      <w:r w:rsidRPr="000F23E0">
        <w:t>overnment</w:t>
      </w:r>
      <w:r w:rsidR="00E83BD3" w:rsidRPr="000F23E0">
        <w:t xml:space="preserve"> Light Rail to Woden</w:t>
      </w:r>
      <w:r w:rsidRPr="000F23E0">
        <w:t xml:space="preserve"> (202</w:t>
      </w:r>
      <w:r w:rsidR="00412151" w:rsidRPr="000F23E0">
        <w:t>5</w:t>
      </w:r>
      <w:r w:rsidRPr="000F23E0">
        <w:t xml:space="preserve">), Light Rail Stage 2A: City to Commonwealth Park, </w:t>
      </w:r>
      <w:hyperlink r:id="rId53" w:history="1">
        <w:r w:rsidRPr="000F23E0">
          <w:rPr>
            <w:rStyle w:val="Hyperlink"/>
          </w:rPr>
          <w:t>https://www.act.gov.au/lightrailtowoden/stage-2a</w:t>
        </w:r>
      </w:hyperlink>
      <w:r w:rsidRPr="000F23E0">
        <w:t xml:space="preserve">, accessed </w:t>
      </w:r>
      <w:r w:rsidR="00412151" w:rsidRPr="000F23E0">
        <w:t>12</w:t>
      </w:r>
      <w:r w:rsidRPr="000F23E0">
        <w:t xml:space="preserve"> December 202</w:t>
      </w:r>
      <w:r w:rsidR="00E83BD3" w:rsidRPr="000F23E0">
        <w:t>5</w:t>
      </w:r>
      <w:r w:rsidRPr="000F23E0">
        <w:t>.</w:t>
      </w:r>
    </w:p>
  </w:endnote>
  <w:endnote w:id="58">
    <w:p w14:paraId="0BE57159" w14:textId="579AEEAE" w:rsidR="0079347A" w:rsidRPr="000F23E0" w:rsidRDefault="0079347A" w:rsidP="00EF4764">
      <w:pPr>
        <w:pStyle w:val="FootnoteText"/>
      </w:pPr>
      <w:r w:rsidRPr="000F23E0">
        <w:rPr>
          <w:rStyle w:val="EndnoteReference"/>
          <w:vertAlign w:val="baseline"/>
        </w:rPr>
        <w:endnoteRef/>
      </w:r>
      <w:r w:rsidRPr="000F23E0">
        <w:t xml:space="preserve"> </w:t>
      </w:r>
      <w:r w:rsidR="00EF4764" w:rsidRPr="000F23E0">
        <w:tab/>
      </w:r>
      <w:r w:rsidRPr="000F23E0">
        <w:t xml:space="preserve">NSW </w:t>
      </w:r>
      <w:r w:rsidR="00705DCB" w:rsidRPr="000F23E0">
        <w:t>Government Sydney Metro</w:t>
      </w:r>
      <w:r w:rsidRPr="000F23E0">
        <w:t xml:space="preserve"> (2024), </w:t>
      </w:r>
      <w:r w:rsidR="00705DCB" w:rsidRPr="000F23E0">
        <w:t>Project Overview: About Sydney Metro – Western Sydney Airport,</w:t>
      </w:r>
      <w:r w:rsidRPr="000F23E0">
        <w:t xml:space="preserve"> </w:t>
      </w:r>
      <w:hyperlink r:id="rId54" w:history="1">
        <w:r w:rsidRPr="000F23E0">
          <w:rPr>
            <w:rStyle w:val="Hyperlink"/>
          </w:rPr>
          <w:t>https://www.sydneymetro.info/westernsydneyairportline</w:t>
        </w:r>
      </w:hyperlink>
      <w:r w:rsidRPr="000F23E0">
        <w:t>, accessed 5 December 202</w:t>
      </w:r>
      <w:r w:rsidR="00747E00" w:rsidRPr="000F23E0">
        <w:t>5</w:t>
      </w:r>
      <w:r w:rsidR="00705DCB" w:rsidRPr="000F23E0">
        <w:t>.</w:t>
      </w:r>
    </w:p>
  </w:endnote>
  <w:endnote w:id="59">
    <w:p w14:paraId="7C3A256A" w14:textId="3B3E1361" w:rsidR="0079347A" w:rsidRPr="000F23E0" w:rsidRDefault="0079347A" w:rsidP="00EF4764">
      <w:pPr>
        <w:pStyle w:val="FootnoteText"/>
      </w:pPr>
      <w:r w:rsidRPr="000F23E0">
        <w:rPr>
          <w:rStyle w:val="EndnoteReference"/>
          <w:vertAlign w:val="baseline"/>
        </w:rPr>
        <w:endnoteRef/>
      </w:r>
      <w:r w:rsidRPr="000F23E0">
        <w:t xml:space="preserve"> </w:t>
      </w:r>
      <w:r w:rsidR="00EF4764" w:rsidRPr="000F23E0">
        <w:tab/>
      </w:r>
      <w:r w:rsidRPr="000F23E0">
        <w:t xml:space="preserve">Gold Coast Light Rail Stage 3 (2024), Gold Coast Light Rail Stage 3, </w:t>
      </w:r>
      <w:hyperlink r:id="rId55" w:history="1">
        <w:r w:rsidRPr="000F23E0">
          <w:rPr>
            <w:rStyle w:val="Hyperlink"/>
          </w:rPr>
          <w:t>https://www.gclr3.com.au/goldlinq/gclr3</w:t>
        </w:r>
      </w:hyperlink>
      <w:r w:rsidRPr="000F23E0">
        <w:t>, accessed 2 December 202</w:t>
      </w:r>
      <w:r w:rsidR="00387DD7" w:rsidRPr="000F23E0">
        <w:t>5.</w:t>
      </w:r>
    </w:p>
  </w:endnote>
  <w:endnote w:id="60">
    <w:p w14:paraId="78B993E3" w14:textId="6DC36D03" w:rsidR="00123EFB" w:rsidRPr="000F23E0" w:rsidRDefault="00123EFB" w:rsidP="00EF4764">
      <w:pPr>
        <w:pStyle w:val="FootnoteText"/>
      </w:pPr>
      <w:r w:rsidRPr="000F23E0">
        <w:rPr>
          <w:rStyle w:val="EndnoteReference"/>
          <w:vertAlign w:val="baseline"/>
        </w:rPr>
        <w:endnoteRef/>
      </w:r>
      <w:r w:rsidRPr="000F23E0">
        <w:t xml:space="preserve"> </w:t>
      </w:r>
      <w:r w:rsidR="00EF4764" w:rsidRPr="000F23E0">
        <w:tab/>
      </w:r>
      <w:r w:rsidR="00BE2A37" w:rsidRPr="000F23E0">
        <w:t>Metronet (202</w:t>
      </w:r>
      <w:r w:rsidR="00C00FCE" w:rsidRPr="000F23E0">
        <w:t>5</w:t>
      </w:r>
      <w:r w:rsidR="00BE2A37" w:rsidRPr="000F23E0">
        <w:t xml:space="preserve">), About: Metronet, </w:t>
      </w:r>
      <w:hyperlink r:id="rId56" w:history="1">
        <w:r w:rsidR="00BE2A37" w:rsidRPr="000F23E0">
          <w:rPr>
            <w:rStyle w:val="Hyperlink"/>
          </w:rPr>
          <w:t>https://www.metronet.wa.gov.au/about</w:t>
        </w:r>
      </w:hyperlink>
      <w:r w:rsidR="00BE2A37" w:rsidRPr="000F23E0">
        <w:t>, accessed 12 December 2025.</w:t>
      </w:r>
    </w:p>
  </w:endnote>
  <w:endnote w:id="61">
    <w:p w14:paraId="6647BB9D" w14:textId="36A5EE9D" w:rsidR="00E8547F" w:rsidRPr="000F23E0" w:rsidRDefault="00E8547F" w:rsidP="00EF4764">
      <w:pPr>
        <w:pStyle w:val="FootnoteText"/>
      </w:pPr>
      <w:r w:rsidRPr="000F23E0">
        <w:rPr>
          <w:rStyle w:val="EndnoteReference"/>
          <w:vertAlign w:val="baseline"/>
        </w:rPr>
        <w:endnoteRef/>
      </w:r>
      <w:r w:rsidR="00443503" w:rsidRPr="000F23E0">
        <w:t xml:space="preserve"> </w:t>
      </w:r>
      <w:r w:rsidR="00EF4764" w:rsidRPr="000F23E0">
        <w:tab/>
      </w:r>
      <w:r w:rsidRPr="000F23E0">
        <w:t>Metronet (202</w:t>
      </w:r>
      <w:r w:rsidR="00DC2C0C" w:rsidRPr="000F23E0">
        <w:t>5</w:t>
      </w:r>
      <w:r w:rsidRPr="000F23E0">
        <w:t xml:space="preserve">), Byford Extension, </w:t>
      </w:r>
      <w:hyperlink r:id="rId57" w:history="1">
        <w:r w:rsidRPr="000F23E0">
          <w:rPr>
            <w:rStyle w:val="Hyperlink"/>
          </w:rPr>
          <w:t>https://www.metronet.wa.gov.au/projects/byford-extension</w:t>
        </w:r>
      </w:hyperlink>
      <w:r w:rsidRPr="000F23E0">
        <w:t>, accessed 12 December 202</w:t>
      </w:r>
      <w:r w:rsidR="00DC2C0C" w:rsidRPr="000F23E0">
        <w:t>5</w:t>
      </w:r>
      <w:r w:rsidRPr="000F23E0">
        <w:t>.</w:t>
      </w:r>
      <w:r w:rsidRPr="000F23E0" w:rsidDel="001244F6">
        <w:t xml:space="preserve"> </w:t>
      </w:r>
    </w:p>
  </w:endnote>
  <w:endnote w:id="62">
    <w:p w14:paraId="68F56AB2" w14:textId="16BFDDC5" w:rsidR="00E8547F" w:rsidRPr="000F23E0" w:rsidRDefault="00E8547F" w:rsidP="00EF4764">
      <w:pPr>
        <w:pStyle w:val="FootnoteText"/>
      </w:pPr>
      <w:r w:rsidRPr="000F23E0">
        <w:rPr>
          <w:rStyle w:val="EndnoteReference"/>
          <w:vertAlign w:val="baseline"/>
        </w:rPr>
        <w:endnoteRef/>
      </w:r>
      <w:r w:rsidRPr="000F23E0">
        <w:t xml:space="preserve"> </w:t>
      </w:r>
      <w:r w:rsidR="00EF4764" w:rsidRPr="000F23E0">
        <w:tab/>
      </w:r>
      <w:r w:rsidRPr="000F23E0">
        <w:t>Metronet (202</w:t>
      </w:r>
      <w:r w:rsidR="00DC2C0C" w:rsidRPr="000F23E0">
        <w:t>5</w:t>
      </w:r>
      <w:r w:rsidRPr="000F23E0">
        <w:t xml:space="preserve">), Victoria Park-Canning Level Crossing Removal, </w:t>
      </w:r>
      <w:hyperlink r:id="rId58" w:history="1">
        <w:r w:rsidRPr="000F23E0">
          <w:rPr>
            <w:rStyle w:val="Hyperlink"/>
          </w:rPr>
          <w:t>https://www.metronet.wa.gov.au/projects/level-crossing-removal</w:t>
        </w:r>
      </w:hyperlink>
      <w:r w:rsidRPr="000F23E0">
        <w:t xml:space="preserve">, accessed 13 December 2025. </w:t>
      </w:r>
    </w:p>
  </w:endnote>
  <w:endnote w:id="63">
    <w:p w14:paraId="2A0B27C0" w14:textId="2685B0B1" w:rsidR="00E8547F" w:rsidRPr="000F23E0" w:rsidRDefault="00E8547F" w:rsidP="00EF4764">
      <w:pPr>
        <w:pStyle w:val="FootnoteText"/>
      </w:pPr>
      <w:r w:rsidRPr="000F23E0">
        <w:rPr>
          <w:rStyle w:val="EndnoteReference"/>
          <w:vertAlign w:val="baseline"/>
        </w:rPr>
        <w:endnoteRef/>
      </w:r>
      <w:r w:rsidRPr="000F23E0">
        <w:t xml:space="preserve"> </w:t>
      </w:r>
      <w:r w:rsidR="00EF4764" w:rsidRPr="000F23E0">
        <w:tab/>
      </w:r>
      <w:r w:rsidRPr="000F23E0">
        <w:t>Metronet (202</w:t>
      </w:r>
      <w:r w:rsidR="00DC2C0C" w:rsidRPr="000F23E0">
        <w:t>5</w:t>
      </w:r>
      <w:r w:rsidRPr="000F23E0">
        <w:t>), Morley-Ellenbrook Line</w:t>
      </w:r>
      <w:r w:rsidRPr="000F23E0">
        <w:rPr>
          <w:color w:val="32619A"/>
        </w:rPr>
        <w:t xml:space="preserve">, </w:t>
      </w:r>
      <w:hyperlink r:id="rId59" w:history="1">
        <w:r w:rsidRPr="000F23E0">
          <w:rPr>
            <w:rStyle w:val="Hyperlink"/>
          </w:rPr>
          <w:t>https://www.metronet.wa.gov.au/projects/morley-ellenbrook-line</w:t>
        </w:r>
      </w:hyperlink>
      <w:r w:rsidRPr="000F23E0">
        <w:t>, accessed 12 December 202</w:t>
      </w:r>
      <w:r w:rsidR="00DC2C0C" w:rsidRPr="000F23E0">
        <w:t>5</w:t>
      </w:r>
      <w:r w:rsidRPr="000F23E0">
        <w:t>.</w:t>
      </w:r>
      <w:r w:rsidRPr="000F23E0" w:rsidDel="001244F6">
        <w:t xml:space="preserve"> </w:t>
      </w:r>
    </w:p>
  </w:endnote>
  <w:endnote w:id="64">
    <w:p w14:paraId="47178A73" w14:textId="77777777" w:rsidR="005851A8" w:rsidRPr="000F23E0" w:rsidRDefault="005851A8" w:rsidP="005851A8">
      <w:pPr>
        <w:pStyle w:val="FootnoteText"/>
      </w:pPr>
      <w:r w:rsidRPr="000F23E0">
        <w:rPr>
          <w:rStyle w:val="EndnoteReference"/>
          <w:vertAlign w:val="baseline"/>
        </w:rPr>
        <w:endnoteRef/>
      </w:r>
      <w:r w:rsidRPr="000F23E0">
        <w:t xml:space="preserve"> </w:t>
      </w:r>
      <w:r w:rsidRPr="000F23E0">
        <w:tab/>
        <w:t xml:space="preserve">Metronet (2025), Thornlie-Cockburn Link, </w:t>
      </w:r>
      <w:hyperlink r:id="rId60" w:history="1">
        <w:r w:rsidRPr="000F23E0">
          <w:rPr>
            <w:rStyle w:val="Hyperlink"/>
          </w:rPr>
          <w:t>https://www.metronet.wa.gov.au/projects/thornlie-cockburn-link</w:t>
        </w:r>
      </w:hyperlink>
      <w:r w:rsidRPr="000F23E0">
        <w:t>, accessed 12 December 2025.</w:t>
      </w:r>
      <w:r w:rsidRPr="000F23E0" w:rsidDel="001244F6">
        <w:t xml:space="preserve"> </w:t>
      </w:r>
    </w:p>
  </w:endnote>
  <w:endnote w:id="65">
    <w:p w14:paraId="6D273837" w14:textId="77777777" w:rsidR="005851A8" w:rsidRPr="000F23E0" w:rsidRDefault="005851A8" w:rsidP="005851A8">
      <w:pPr>
        <w:pStyle w:val="FootnoteText"/>
      </w:pPr>
      <w:r w:rsidRPr="000F23E0">
        <w:rPr>
          <w:rStyle w:val="EndnoteReference"/>
          <w:vertAlign w:val="baseline"/>
        </w:rPr>
        <w:endnoteRef/>
      </w:r>
      <w:r w:rsidRPr="000F23E0">
        <w:t xml:space="preserve"> </w:t>
      </w:r>
      <w:r w:rsidRPr="000F23E0">
        <w:tab/>
        <w:t>Metronet (2025), Yanchep Rail Extension</w:t>
      </w:r>
      <w:r w:rsidRPr="000F23E0">
        <w:rPr>
          <w:color w:val="32619A"/>
        </w:rPr>
        <w:t xml:space="preserve">, </w:t>
      </w:r>
      <w:hyperlink r:id="rId61" w:history="1">
        <w:r w:rsidRPr="000F23E0">
          <w:rPr>
            <w:rStyle w:val="Hyperlink"/>
          </w:rPr>
          <w:t>https://www.metronet.wa.gov.au/projects/yanchep-rail-extension</w:t>
        </w:r>
      </w:hyperlink>
      <w:r w:rsidRPr="000F23E0">
        <w:t>, accessed 12 December 2025.</w:t>
      </w:r>
      <w:r w:rsidRPr="000F23E0" w:rsidDel="001244F6">
        <w:t xml:space="preserve"> </w:t>
      </w:r>
    </w:p>
  </w:endnote>
  <w:endnote w:id="66">
    <w:p w14:paraId="71C68E8E" w14:textId="71D840A0" w:rsidR="00E57604" w:rsidRPr="000F23E0" w:rsidRDefault="00E57604" w:rsidP="00EF4764">
      <w:pPr>
        <w:pStyle w:val="FootnoteText"/>
      </w:pPr>
      <w:r w:rsidRPr="000F23E0">
        <w:rPr>
          <w:rStyle w:val="EndnoteReference"/>
          <w:vertAlign w:val="baseline"/>
        </w:rPr>
        <w:endnoteRef/>
      </w:r>
      <w:r w:rsidRPr="000F23E0">
        <w:t xml:space="preserve"> </w:t>
      </w:r>
      <w:r w:rsidR="00EF4764" w:rsidRPr="000F23E0">
        <w:tab/>
      </w:r>
      <w:r w:rsidR="003F74A5" w:rsidRPr="000F23E0">
        <w:t>The Australian Government Department of Climate Change, Energy, the Environment and Water</w:t>
      </w:r>
      <w:r w:rsidRPr="000F23E0">
        <w:t xml:space="preserve"> (</w:t>
      </w:r>
      <w:r w:rsidR="003F74A5" w:rsidRPr="000F23E0">
        <w:t>September 2025</w:t>
      </w:r>
      <w:r w:rsidRPr="000F23E0">
        <w:t xml:space="preserve">), Assessing and adapting to Australia’s climate risks, </w:t>
      </w:r>
      <w:hyperlink r:id="rId62" w:history="1">
        <w:r w:rsidRPr="000F23E0">
          <w:rPr>
            <w:rStyle w:val="Hyperlink"/>
          </w:rPr>
          <w:t>https://www.dcceew.gov.au/climate-change/policy/adaptation/ncra</w:t>
        </w:r>
      </w:hyperlink>
      <w:r w:rsidRPr="000F23E0">
        <w:t>, accessed 10 December 202</w:t>
      </w:r>
      <w:r w:rsidR="00677BBC" w:rsidRPr="000F23E0">
        <w:t>5</w:t>
      </w:r>
      <w:r w:rsidRPr="000F23E0">
        <w:t>.</w:t>
      </w:r>
    </w:p>
  </w:endnote>
  <w:endnote w:id="67">
    <w:p w14:paraId="1C22C90E" w14:textId="20FCF234" w:rsidR="0021574E" w:rsidRPr="000F23E0" w:rsidRDefault="0021574E" w:rsidP="00EF4764">
      <w:pPr>
        <w:pStyle w:val="FootnoteText"/>
      </w:pPr>
      <w:r w:rsidRPr="000F23E0">
        <w:rPr>
          <w:rStyle w:val="EndnoteReference"/>
          <w:vertAlign w:val="baseline"/>
        </w:rPr>
        <w:endnoteRef/>
      </w:r>
      <w:r w:rsidR="00BF06DA" w:rsidRPr="000F23E0">
        <w:t xml:space="preserve"> </w:t>
      </w:r>
      <w:r w:rsidR="00EF4764" w:rsidRPr="000F23E0">
        <w:tab/>
      </w:r>
      <w:r w:rsidR="00A86629" w:rsidRPr="000F23E0">
        <w:t xml:space="preserve">The Australian Government Department of Climate Change, Energy, the Environment and Water </w:t>
      </w:r>
      <w:r w:rsidR="003B077F" w:rsidRPr="000F23E0">
        <w:t>(</w:t>
      </w:r>
      <w:r w:rsidR="00BC46B4" w:rsidRPr="000F23E0">
        <w:t>February</w:t>
      </w:r>
      <w:r w:rsidR="00EF4764" w:rsidRPr="000F23E0">
        <w:t> </w:t>
      </w:r>
      <w:r w:rsidR="00BC46B4" w:rsidRPr="000F23E0">
        <w:t xml:space="preserve">2026), </w:t>
      </w:r>
      <w:r w:rsidR="00455F17" w:rsidRPr="000F23E0">
        <w:t>Urban Rivers and Catchments Program</w:t>
      </w:r>
      <w:r w:rsidR="00BC46B4" w:rsidRPr="000F23E0">
        <w:t xml:space="preserve">, </w:t>
      </w:r>
      <w:hyperlink r:id="rId63" w:history="1">
        <w:r w:rsidR="006429A8" w:rsidRPr="000F23E0">
          <w:rPr>
            <w:rStyle w:val="Hyperlink"/>
          </w:rPr>
          <w:t>https://www.dcceew.gov.au/environment/biodiversity/conservation/urban-rivers-catchments-program</w:t>
        </w:r>
      </w:hyperlink>
      <w:r w:rsidR="00455F17" w:rsidRPr="000F23E0">
        <w:t>, accessed 24 February 2026.</w:t>
      </w:r>
      <w:r w:rsidR="00BC46B4" w:rsidRPr="000F23E0">
        <w:t xml:space="preserve"> </w:t>
      </w:r>
    </w:p>
  </w:endnote>
  <w:endnote w:id="68">
    <w:p w14:paraId="41B2128B" w14:textId="7BD07D4D" w:rsidR="00242543" w:rsidRPr="000F23E0" w:rsidRDefault="00242543" w:rsidP="00EF4764">
      <w:pPr>
        <w:pStyle w:val="FootnoteText"/>
      </w:pPr>
      <w:r w:rsidRPr="000F23E0">
        <w:rPr>
          <w:rStyle w:val="EndnoteReference"/>
          <w:vertAlign w:val="baseline"/>
        </w:rPr>
        <w:endnoteRef/>
      </w:r>
      <w:r w:rsidRPr="000F23E0">
        <w:t xml:space="preserve"> </w:t>
      </w:r>
      <w:r w:rsidR="00EF4764" w:rsidRPr="000F23E0">
        <w:tab/>
      </w:r>
      <w:r w:rsidR="003F74A5" w:rsidRPr="000F23E0">
        <w:t>The Australian Government Department of Climate Change, Energy, the Environment and Water</w:t>
      </w:r>
      <w:r w:rsidRPr="000F23E0">
        <w:t xml:space="preserve"> (</w:t>
      </w:r>
      <w:r w:rsidR="008951D2" w:rsidRPr="000F23E0">
        <w:t>September 2025</w:t>
      </w:r>
      <w:r w:rsidRPr="000F23E0">
        <w:t xml:space="preserve">), Urban Rivers and Catchments Program, </w:t>
      </w:r>
      <w:hyperlink r:id="rId64" w:history="1">
        <w:r w:rsidRPr="000F23E0">
          <w:rPr>
            <w:rStyle w:val="Hyperlink"/>
          </w:rPr>
          <w:t>https://www.dcceew.gov.au/environment/biodiversity/conservation/urban-rivers-catchments-program</w:t>
        </w:r>
      </w:hyperlink>
      <w:r w:rsidRPr="000F23E0">
        <w:t>, accessed 17 December 202</w:t>
      </w:r>
      <w:r w:rsidR="008951D2" w:rsidRPr="000F23E0">
        <w:t>5</w:t>
      </w:r>
      <w:r w:rsidRPr="000F23E0">
        <w:t>.</w:t>
      </w:r>
    </w:p>
  </w:endnote>
  <w:endnote w:id="69">
    <w:p w14:paraId="7FE97CE7" w14:textId="644E749A" w:rsidR="00E009B1" w:rsidRPr="000F23E0" w:rsidRDefault="00E009B1" w:rsidP="00EF4764">
      <w:pPr>
        <w:pStyle w:val="FootnoteText"/>
      </w:pPr>
      <w:r w:rsidRPr="000F23E0">
        <w:rPr>
          <w:rStyle w:val="EndnoteReference"/>
          <w:vertAlign w:val="baseline"/>
        </w:rPr>
        <w:endnoteRef/>
      </w:r>
      <w:r w:rsidRPr="000F23E0">
        <w:t xml:space="preserve"> </w:t>
      </w:r>
      <w:r w:rsidR="00EF4764" w:rsidRPr="000F23E0">
        <w:tab/>
      </w:r>
      <w:r w:rsidR="003F74A5" w:rsidRPr="000F23E0">
        <w:t>The Australian Government Department of Climate Change, Energy, the Environment and Water</w:t>
      </w:r>
      <w:r w:rsidR="00A02076" w:rsidRPr="000F23E0">
        <w:t xml:space="preserve"> (</w:t>
      </w:r>
      <w:r w:rsidR="00121559" w:rsidRPr="000F23E0">
        <w:t>October</w:t>
      </w:r>
      <w:r w:rsidR="00EF4764" w:rsidRPr="000F23E0">
        <w:t> </w:t>
      </w:r>
      <w:r w:rsidR="00A02076" w:rsidRPr="000F23E0">
        <w:t>202</w:t>
      </w:r>
      <w:r w:rsidR="00AD2C02" w:rsidRPr="000F23E0">
        <w:t>5</w:t>
      </w:r>
      <w:r w:rsidR="00A02076" w:rsidRPr="000F23E0">
        <w:t>), National Koala Monitoring Program,</w:t>
      </w:r>
      <w:r w:rsidRPr="000F23E0">
        <w:t xml:space="preserve"> </w:t>
      </w:r>
      <w:hyperlink r:id="rId65" w:history="1">
        <w:r w:rsidRPr="000F23E0">
          <w:rPr>
            <w:rStyle w:val="Hyperlink"/>
          </w:rPr>
          <w:t>https://www.dcceew.gov.au/environment/biodiversity/threatened/species/koalas/national-koala-monitoring-program</w:t>
        </w:r>
      </w:hyperlink>
      <w:r w:rsidRPr="000F23E0">
        <w:t xml:space="preserve">, accessed 17 December </w:t>
      </w:r>
      <w:r w:rsidR="00A02076" w:rsidRPr="000F23E0">
        <w:t>202</w:t>
      </w:r>
      <w:r w:rsidR="00AD2C02" w:rsidRPr="000F23E0">
        <w:t>5</w:t>
      </w:r>
      <w:r w:rsidRPr="000F23E0">
        <w:t>.</w:t>
      </w:r>
    </w:p>
  </w:endnote>
  <w:endnote w:id="70">
    <w:p w14:paraId="7A1D962B" w14:textId="5E9D9328" w:rsidR="005A1F00" w:rsidRPr="000F23E0" w:rsidRDefault="005A1F00" w:rsidP="00EF4764">
      <w:pPr>
        <w:pStyle w:val="FootnoteText"/>
      </w:pPr>
      <w:r w:rsidRPr="000F23E0">
        <w:rPr>
          <w:rStyle w:val="EndnoteReference"/>
          <w:vertAlign w:val="baseline"/>
        </w:rPr>
        <w:endnoteRef/>
      </w:r>
      <w:r w:rsidR="00150F77" w:rsidRPr="000F23E0">
        <w:t xml:space="preserve"> </w:t>
      </w:r>
      <w:r w:rsidR="00EF4764" w:rsidRPr="000F23E0">
        <w:tab/>
      </w:r>
      <w:r w:rsidR="0005057A" w:rsidRPr="000F23E0">
        <w:t xml:space="preserve">The Australian Government Department of Climate Change, Energy, the Environment and Water </w:t>
      </w:r>
      <w:r w:rsidR="00150F77" w:rsidRPr="000F23E0">
        <w:t>(February</w:t>
      </w:r>
      <w:r w:rsidR="00EF4764" w:rsidRPr="000F23E0">
        <w:t> </w:t>
      </w:r>
      <w:r w:rsidR="00150F77" w:rsidRPr="000F23E0">
        <w:t>202</w:t>
      </w:r>
      <w:r w:rsidR="006B740A" w:rsidRPr="000F23E0">
        <w:t>5</w:t>
      </w:r>
      <w:r w:rsidR="00150F77" w:rsidRPr="000F23E0">
        <w:t>), Reef 2050 Plan Activities Report 202</w:t>
      </w:r>
      <w:r w:rsidR="006B740A" w:rsidRPr="000F23E0">
        <w:t>3</w:t>
      </w:r>
      <w:r w:rsidR="00150F77" w:rsidRPr="000F23E0">
        <w:t>-2</w:t>
      </w:r>
      <w:r w:rsidR="006B740A" w:rsidRPr="000F23E0">
        <w:t>4</w:t>
      </w:r>
      <w:r w:rsidR="00150F77" w:rsidRPr="000F23E0">
        <w:t>,</w:t>
      </w:r>
      <w:r w:rsidR="00213549" w:rsidRPr="000F23E0">
        <w:t xml:space="preserve"> </w:t>
      </w:r>
      <w:hyperlink r:id="rId66" w:history="1">
        <w:r w:rsidR="00213549" w:rsidRPr="000F23E0">
          <w:rPr>
            <w:rStyle w:val="Hyperlink"/>
          </w:rPr>
          <w:t>https://www.dcceew.gov.au/parks-heritage/great-barrier-reef/publications/reef-2050-activities-report-2023-24</w:t>
        </w:r>
      </w:hyperlink>
      <w:r w:rsidR="007D0FBB" w:rsidRPr="000F23E0">
        <w:rPr>
          <w:rStyle w:val="Hyperlink"/>
        </w:rPr>
        <w:t>,</w:t>
      </w:r>
      <w:r w:rsidR="007D0FBB" w:rsidRPr="000F23E0">
        <w:t xml:space="preserve"> accessed 19 September 2025</w:t>
      </w:r>
      <w:r w:rsidR="00150F77" w:rsidRPr="000F23E0">
        <w:t>.</w:t>
      </w:r>
    </w:p>
  </w:endnote>
  <w:endnote w:id="71">
    <w:p w14:paraId="29F89799" w14:textId="1A6A205B" w:rsidR="00381329" w:rsidRPr="000F23E0" w:rsidRDefault="00381329" w:rsidP="00EF4764">
      <w:pPr>
        <w:pStyle w:val="FootnoteText"/>
      </w:pPr>
      <w:r w:rsidRPr="000F23E0">
        <w:rPr>
          <w:rStyle w:val="EndnoteReference"/>
          <w:vertAlign w:val="baseline"/>
        </w:rPr>
        <w:endnoteRef/>
      </w:r>
      <w:r w:rsidRPr="000F23E0">
        <w:t xml:space="preserve"> </w:t>
      </w:r>
      <w:r w:rsidR="00EF4764" w:rsidRPr="000F23E0">
        <w:tab/>
      </w:r>
      <w:r w:rsidR="0005057A" w:rsidRPr="000F23E0">
        <w:t>The Australian Government Department of Climate Change, Energy, the Environment and Water</w:t>
      </w:r>
      <w:r w:rsidR="00EF4764" w:rsidRPr="000F23E0">
        <w:t xml:space="preserve"> </w:t>
      </w:r>
      <w:r w:rsidRPr="000F23E0">
        <w:t>(</w:t>
      </w:r>
      <w:r w:rsidR="00254A1F" w:rsidRPr="000F23E0">
        <w:t>December 2025</w:t>
      </w:r>
      <w:r w:rsidRPr="000F23E0">
        <w:t xml:space="preserve">), </w:t>
      </w:r>
      <w:r w:rsidR="00FC60C2" w:rsidRPr="000F23E0">
        <w:t xml:space="preserve">National </w:t>
      </w:r>
      <w:r w:rsidR="00254A1F" w:rsidRPr="000F23E0">
        <w:t>w</w:t>
      </w:r>
      <w:r w:rsidR="00FC60C2" w:rsidRPr="000F23E0">
        <w:t>ater policy</w:t>
      </w:r>
      <w:r w:rsidRPr="000F23E0">
        <w:t xml:space="preserve">, </w:t>
      </w:r>
      <w:hyperlink r:id="rId67" w:history="1">
        <w:r w:rsidR="00FC60C2" w:rsidRPr="000F23E0">
          <w:rPr>
            <w:rStyle w:val="Hyperlink"/>
          </w:rPr>
          <w:t>https://www.dcceew.gov.au/water/policy/policy</w:t>
        </w:r>
      </w:hyperlink>
      <w:r w:rsidRPr="000F23E0">
        <w:t>, accessed 17</w:t>
      </w:r>
      <w:r w:rsidR="00EF4764" w:rsidRPr="000F23E0">
        <w:t> </w:t>
      </w:r>
      <w:r w:rsidRPr="000F23E0">
        <w:t>December 202</w:t>
      </w:r>
      <w:r w:rsidR="007E5004" w:rsidRPr="000F23E0">
        <w:t>5</w:t>
      </w:r>
      <w:r w:rsidRPr="000F23E0">
        <w:t xml:space="preserve">. </w:t>
      </w:r>
    </w:p>
  </w:endnote>
  <w:endnote w:id="72">
    <w:p w14:paraId="34F0BCDC" w14:textId="7D5B330C" w:rsidR="00A63430" w:rsidRPr="000F23E0" w:rsidRDefault="00A63430" w:rsidP="00EF4764">
      <w:pPr>
        <w:pStyle w:val="FootnoteText"/>
      </w:pPr>
      <w:r w:rsidRPr="000F23E0">
        <w:rPr>
          <w:rStyle w:val="EndnoteReference"/>
          <w:vertAlign w:val="baseline"/>
        </w:rPr>
        <w:endnoteRef/>
      </w:r>
      <w:r w:rsidRPr="000F23E0">
        <w:t xml:space="preserve"> </w:t>
      </w:r>
      <w:r w:rsidR="00EF4764" w:rsidRPr="000F23E0">
        <w:tab/>
      </w:r>
      <w:r w:rsidRPr="000F23E0">
        <w:t xml:space="preserve">The Australian Government Department of Climate Change, Energy, the Environment and Water (March 2025), National waste and resource recovery reporting, </w:t>
      </w:r>
      <w:hyperlink r:id="rId68" w:history="1">
        <w:r w:rsidRPr="000F23E0">
          <w:rPr>
            <w:rStyle w:val="Hyperlink"/>
          </w:rPr>
          <w:t>https://www.dcceew.gov.au/environment/protection/waste/publications/national-waste-resource-recovery-reporting</w:t>
        </w:r>
      </w:hyperlink>
    </w:p>
  </w:endnote>
  <w:endnote w:id="73">
    <w:p w14:paraId="439E48D0" w14:textId="4698FC10" w:rsidR="00B0200B" w:rsidRPr="00EF4764" w:rsidRDefault="00B0200B" w:rsidP="00EF4764">
      <w:pPr>
        <w:pStyle w:val="FootnoteText"/>
      </w:pPr>
      <w:r w:rsidRPr="000F23E0">
        <w:rPr>
          <w:rStyle w:val="EndnoteReference"/>
          <w:vertAlign w:val="baseline"/>
        </w:rPr>
        <w:endnoteRef/>
      </w:r>
      <w:r w:rsidRPr="000F23E0">
        <w:t xml:space="preserve"> </w:t>
      </w:r>
      <w:r w:rsidR="00EF4764" w:rsidRPr="000F23E0">
        <w:tab/>
      </w:r>
      <w:r w:rsidRPr="000F23E0">
        <w:t>Australian Office of Financial Management (</w:t>
      </w:r>
      <w:r w:rsidR="00674577" w:rsidRPr="000F23E0">
        <w:t>November 2025</w:t>
      </w:r>
      <w:r w:rsidRPr="000F23E0">
        <w:t xml:space="preserve">), Green Treasury Bonds, </w:t>
      </w:r>
      <w:hyperlink r:id="rId69" w:history="1">
        <w:r w:rsidR="00920B27" w:rsidRPr="000F23E0">
          <w:rPr>
            <w:rStyle w:val="Hyperlink"/>
          </w:rPr>
          <w:t>https://www.aofm.gov.au/securities/green-bond-program</w:t>
        </w:r>
      </w:hyperlink>
      <w:r w:rsidR="00920B27" w:rsidRPr="000F23E0">
        <w:t xml:space="preserve">, </w:t>
      </w:r>
      <w:r w:rsidRPr="000F23E0">
        <w:t>accessed 7 January 202</w:t>
      </w:r>
      <w:r w:rsidR="00CF15E1" w:rsidRPr="000F23E0">
        <w:t>6</w:t>
      </w:r>
      <w:r w:rsidRPr="000F23E0">
        <w:t>.</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entury Gothic">
    <w:panose1 w:val="020B0502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Klavika Basic Light">
    <w:altName w:val="Times New Roman"/>
    <w:charset w:val="00"/>
    <w:family w:val="auto"/>
    <w:pitch w:val="variable"/>
    <w:sig w:usb0="00000001" w:usb1="5000204A"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406F48" w14:textId="77777777" w:rsidR="00743535" w:rsidRPr="000F23E0" w:rsidRDefault="00743535" w:rsidP="00C60B0F">
    <w:pPr>
      <w:pStyle w:val="FooterEven"/>
      <w:rPr>
        <w:noProof w:val="0"/>
      </w:rPr>
    </w:pPr>
    <w:r w:rsidRPr="000F23E0">
      <w:rPr>
        <w:noProof w:val="0"/>
      </w:rPr>
      <w:fldChar w:fldCharType="begin"/>
    </w:r>
    <w:r w:rsidRPr="000F23E0">
      <w:rPr>
        <w:noProof w:val="0"/>
      </w:rPr>
      <w:instrText xml:space="preserve"> PAGE   \* MERGEFORMAT </w:instrText>
    </w:r>
    <w:r w:rsidRPr="000F23E0">
      <w:rPr>
        <w:noProof w:val="0"/>
      </w:rPr>
      <w:fldChar w:fldCharType="separate"/>
    </w:r>
    <w:r w:rsidRPr="000F23E0">
      <w:rPr>
        <w:noProof w:val="0"/>
      </w:rPr>
      <w:t>2</w:t>
    </w:r>
    <w:r w:rsidRPr="000F23E0">
      <w:rPr>
        <w:noProof w:val="0"/>
      </w:rPr>
      <w:fldChar w:fldCharType="end"/>
    </w:r>
    <w:r w:rsidRPr="000F23E0">
      <w:rPr>
        <w:noProof w:val="0"/>
      </w:rPr>
      <w:t xml:space="preserve"> | Contents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2502B6" w14:textId="30F0CD8C" w:rsidR="00D77D9A" w:rsidRPr="000F23E0" w:rsidRDefault="00955B2F" w:rsidP="00955B2F">
    <w:pPr>
      <w:pStyle w:val="FooterEven"/>
      <w:rPr>
        <w:noProof w:val="0"/>
      </w:rPr>
    </w:pPr>
    <w:r w:rsidRPr="000F23E0">
      <w:rPr>
        <w:noProof w:val="0"/>
      </w:rPr>
      <w:fldChar w:fldCharType="begin"/>
    </w:r>
    <w:r w:rsidRPr="000F23E0">
      <w:rPr>
        <w:noProof w:val="0"/>
      </w:rPr>
      <w:instrText xml:space="preserve"> PAGE   \* MERGEFORMAT </w:instrText>
    </w:r>
    <w:r w:rsidRPr="000F23E0">
      <w:rPr>
        <w:noProof w:val="0"/>
      </w:rPr>
      <w:fldChar w:fldCharType="separate"/>
    </w:r>
    <w:r w:rsidRPr="000F23E0">
      <w:rPr>
        <w:noProof w:val="0"/>
      </w:rPr>
      <w:t>2</w:t>
    </w:r>
    <w:r w:rsidRPr="000F23E0">
      <w:rPr>
        <w:noProof w:val="0"/>
      </w:rPr>
      <w:fldChar w:fldCharType="end"/>
    </w:r>
    <w:r w:rsidRPr="000F23E0">
      <w:rPr>
        <w:noProof w:val="0"/>
      </w:rPr>
      <w:t xml:space="preserve"> | </w:t>
    </w:r>
    <w:r w:rsidR="00504460" w:rsidRPr="000F23E0">
      <w:rPr>
        <w:noProof w:val="0"/>
      </w:rPr>
      <w:fldChar w:fldCharType="begin"/>
    </w:r>
    <w:r w:rsidR="00504460" w:rsidRPr="000F23E0">
      <w:rPr>
        <w:noProof w:val="0"/>
      </w:rPr>
      <w:instrText xml:space="preserve"> STYLEREF  "Heading 1"  \* MERGEFORMAT </w:instrText>
    </w:r>
    <w:r w:rsidR="00504460" w:rsidRPr="000F23E0">
      <w:rPr>
        <w:noProof w:val="0"/>
      </w:rPr>
      <w:fldChar w:fldCharType="separate"/>
    </w:r>
    <w:r w:rsidR="000F23E0" w:rsidRPr="000F23E0">
      <w:rPr>
        <w:noProof w:val="0"/>
      </w:rPr>
      <w:t>Chapter 1: Australian context</w:t>
    </w:r>
    <w:r w:rsidR="00504460" w:rsidRPr="000F23E0">
      <w:rPr>
        <w:noProof w:val="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29E82D" w14:textId="32267469" w:rsidR="00743535" w:rsidRPr="000F23E0" w:rsidRDefault="00743535" w:rsidP="00C60B0F">
    <w:pPr>
      <w:pStyle w:val="FooterEven"/>
      <w:rPr>
        <w:noProof w:val="0"/>
      </w:rPr>
    </w:pPr>
    <w:r w:rsidRPr="000F23E0">
      <w:rPr>
        <w:noProof w:val="0"/>
      </w:rPr>
      <w:fldChar w:fldCharType="begin"/>
    </w:r>
    <w:r w:rsidRPr="000F23E0">
      <w:rPr>
        <w:noProof w:val="0"/>
      </w:rPr>
      <w:instrText xml:space="preserve"> PAGE   \* MERGEFORMAT </w:instrText>
    </w:r>
    <w:r w:rsidRPr="000F23E0">
      <w:rPr>
        <w:noProof w:val="0"/>
      </w:rPr>
      <w:fldChar w:fldCharType="separate"/>
    </w:r>
    <w:r w:rsidRPr="000F23E0">
      <w:rPr>
        <w:noProof w:val="0"/>
      </w:rPr>
      <w:t>2</w:t>
    </w:r>
    <w:r w:rsidRPr="000F23E0">
      <w:rPr>
        <w:noProof w:val="0"/>
      </w:rPr>
      <w:fldChar w:fldCharType="end"/>
    </w:r>
    <w:r w:rsidRPr="000F23E0">
      <w:rPr>
        <w:noProof w:val="0"/>
      </w:rPr>
      <w:t xml:space="preserve"> | </w:t>
    </w:r>
    <w:r w:rsidR="00504460" w:rsidRPr="000F23E0">
      <w:rPr>
        <w:noProof w:val="0"/>
      </w:rPr>
      <w:fldChar w:fldCharType="begin"/>
    </w:r>
    <w:r w:rsidR="00504460" w:rsidRPr="000F23E0">
      <w:rPr>
        <w:noProof w:val="0"/>
      </w:rPr>
      <w:instrText xml:space="preserve"> STYLEREF  "Heading 1"  \* MERGEFORMAT </w:instrText>
    </w:r>
    <w:r w:rsidR="00504460" w:rsidRPr="000F23E0">
      <w:rPr>
        <w:noProof w:val="0"/>
      </w:rPr>
      <w:fldChar w:fldCharType="separate"/>
    </w:r>
    <w:r w:rsidR="000F23E0" w:rsidRPr="000F23E0">
      <w:rPr>
        <w:noProof w:val="0"/>
      </w:rPr>
      <w:t>Chapter 2: Renewable energy</w:t>
    </w:r>
    <w:r w:rsidR="00504460" w:rsidRPr="000F23E0">
      <w:rPr>
        <w:noProof w:val="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47A4DAC" w14:textId="77777777" w:rsidR="00830ACC" w:rsidRPr="000F23E0" w:rsidRDefault="00830ACC" w:rsidP="000F6233">
      <w:pPr>
        <w:rPr>
          <w:color w:val="B2B2B2" w:themeColor="accent2"/>
        </w:rPr>
      </w:pPr>
      <w:r w:rsidRPr="000F23E0">
        <w:rPr>
          <w:color w:val="B2B2B2" w:themeColor="accent2"/>
        </w:rPr>
        <w:separator/>
      </w:r>
    </w:p>
  </w:footnote>
  <w:footnote w:type="continuationSeparator" w:id="0">
    <w:p w14:paraId="471F870C" w14:textId="77777777" w:rsidR="00830ACC" w:rsidRPr="000F23E0" w:rsidRDefault="00830ACC">
      <w:pPr>
        <w:spacing w:before="0" w:after="0"/>
        <w:rPr>
          <w:color w:val="E6E6E6" w:themeColor="accent1"/>
        </w:rPr>
      </w:pPr>
      <w:r w:rsidRPr="000F23E0">
        <w:rPr>
          <w:color w:val="E6E6E6" w:themeColor="accent1"/>
        </w:rPr>
        <w:continuationSeparator/>
      </w:r>
    </w:p>
  </w:footnote>
  <w:footnote w:type="continuationNotice" w:id="1">
    <w:p w14:paraId="72CA4AF5" w14:textId="77777777" w:rsidR="00830ACC" w:rsidRPr="000F23E0" w:rsidRDefault="00830ACC">
      <w:pPr>
        <w:spacing w:before="0"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AAFAD3" w14:textId="0FE9C581" w:rsidR="00D230A1" w:rsidRPr="000F23E0" w:rsidRDefault="00D230A1">
    <w:pPr>
      <w:pStyle w:val="Header"/>
    </w:pPr>
    <w:r w:rsidRPr="000F23E0">
      <w:t>Australian Government Green Treasury Bond Allocation and Impact Report</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5A986D" w14:textId="70857BDE" w:rsidR="00D230A1" w:rsidRPr="000F23E0" w:rsidRDefault="00D230A1">
    <w:pPr>
      <w:pStyle w:val="Header"/>
    </w:pPr>
    <w:r w:rsidRPr="000F23E0">
      <w:t>Australian Government Green Treasury Bond Allocation and Impact Report</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B1AB37" w14:textId="78C5DBFE" w:rsidR="00743535" w:rsidRPr="000F23E0" w:rsidRDefault="00D230A1">
    <w:pPr>
      <w:pStyle w:val="Header"/>
    </w:pPr>
    <w:r w:rsidRPr="000F23E0">
      <w:t>Australian Government Green Treasury Bond Allocation and Impact Report</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03F62E" w14:textId="70A1BD93" w:rsidR="00D230A1" w:rsidRPr="000F23E0" w:rsidRDefault="00D230A1">
    <w:pPr>
      <w:pStyle w:val="Header"/>
    </w:pPr>
    <w:r w:rsidRPr="000F23E0">
      <w:t>Australian Government Green Treasury Bond Allocation and Impact Report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2"/>
    <w:multiLevelType w:val="singleLevel"/>
    <w:tmpl w:val="675A83EC"/>
    <w:lvl w:ilvl="0">
      <w:start w:val="1"/>
      <w:numFmt w:val="bullet"/>
      <w:pStyle w:val="ListBullet3"/>
      <w:lvlText w:val=""/>
      <w:lvlJc w:val="left"/>
      <w:pPr>
        <w:ind w:left="926" w:hanging="360"/>
      </w:pPr>
      <w:rPr>
        <w:rFonts w:ascii="Symbol" w:hAnsi="Symbol" w:hint="default"/>
        <w:color w:val="000000" w:themeColor="text1"/>
        <w:sz w:val="20"/>
        <w:szCs w:val="20"/>
      </w:rPr>
    </w:lvl>
  </w:abstractNum>
  <w:abstractNum w:abstractNumId="1" w15:restartNumberingAfterBreak="0">
    <w:nsid w:val="01891336"/>
    <w:multiLevelType w:val="hybridMultilevel"/>
    <w:tmpl w:val="D0DADB5A"/>
    <w:lvl w:ilvl="0" w:tplc="2CD4460E">
      <w:start w:val="7"/>
      <w:numFmt w:val="bullet"/>
      <w:lvlText w:val="-"/>
      <w:lvlJc w:val="left"/>
      <w:pPr>
        <w:ind w:left="720" w:hanging="360"/>
      </w:pPr>
      <w:rPr>
        <w:rFonts w:ascii="Calibri" w:eastAsia="Times New Roman"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7ED3FC7"/>
    <w:multiLevelType w:val="multilevel"/>
    <w:tmpl w:val="79E48CD8"/>
    <w:styleLink w:val="BoxBulletedList"/>
    <w:lvl w:ilvl="0">
      <w:start w:val="1"/>
      <w:numFmt w:val="bullet"/>
      <w:lvlRestart w:val="0"/>
      <w:lvlText w:val="•"/>
      <w:lvlJc w:val="left"/>
      <w:pPr>
        <w:tabs>
          <w:tab w:val="num" w:pos="283"/>
        </w:tabs>
        <w:ind w:left="283" w:hanging="283"/>
      </w:pPr>
      <w:rPr>
        <w:rFonts w:ascii="Times New Roman" w:hAnsi="Times New Roman" w:cs="Times New Roman" w:hint="default"/>
        <w:b w:val="0"/>
        <w:i w:val="0"/>
        <w:sz w:val="20"/>
      </w:rPr>
    </w:lvl>
    <w:lvl w:ilvl="1">
      <w:start w:val="1"/>
      <w:numFmt w:val="bullet"/>
      <w:lvlText w:val="–"/>
      <w:lvlJc w:val="left"/>
      <w:pPr>
        <w:tabs>
          <w:tab w:val="num" w:pos="567"/>
        </w:tabs>
        <w:ind w:left="567" w:hanging="284"/>
      </w:pPr>
      <w:rPr>
        <w:rFonts w:hint="default"/>
        <w:b w:val="0"/>
        <w:i w:val="0"/>
      </w:rPr>
    </w:lvl>
    <w:lvl w:ilvl="2">
      <w:start w:val="1"/>
      <w:numFmt w:val="bullet"/>
      <w:lvlText w:val=":"/>
      <w:lvlJc w:val="left"/>
      <w:pPr>
        <w:tabs>
          <w:tab w:val="num" w:pos="850"/>
        </w:tabs>
        <w:ind w:left="850" w:hanging="283"/>
      </w:pPr>
      <w:rPr>
        <w:rFonts w:hint="default"/>
        <w:b w:val="0"/>
        <w:i w:val="0"/>
      </w:rPr>
    </w:lvl>
    <w:lvl w:ilvl="3">
      <w:start w:val="1"/>
      <w:numFmt w:val="decimal"/>
      <w:lvlText w:val="(%4)"/>
      <w:lvlJc w:val="left"/>
      <w:pPr>
        <w:tabs>
          <w:tab w:val="num" w:pos="1440"/>
        </w:tabs>
        <w:ind w:left="1440" w:hanging="360"/>
      </w:pPr>
      <w:rPr>
        <w:rFonts w:hint="default"/>
        <w:b w:val="0"/>
        <w:i w:val="0"/>
      </w:rPr>
    </w:lvl>
    <w:lvl w:ilvl="4">
      <w:start w:val="1"/>
      <w:numFmt w:val="lowerLetter"/>
      <w:lvlText w:val="(%5)"/>
      <w:lvlJc w:val="left"/>
      <w:pPr>
        <w:tabs>
          <w:tab w:val="num" w:pos="1800"/>
        </w:tabs>
        <w:ind w:left="1800" w:hanging="360"/>
      </w:pPr>
      <w:rPr>
        <w:rFonts w:hint="default"/>
        <w:b w:val="0"/>
        <w:i w:val="0"/>
      </w:rPr>
    </w:lvl>
    <w:lvl w:ilvl="5">
      <w:start w:val="1"/>
      <w:numFmt w:val="lowerRoman"/>
      <w:lvlText w:val="(%6)"/>
      <w:lvlJc w:val="left"/>
      <w:pPr>
        <w:tabs>
          <w:tab w:val="num" w:pos="2160"/>
        </w:tabs>
        <w:ind w:left="2160" w:hanging="360"/>
      </w:pPr>
      <w:rPr>
        <w:rFonts w:hint="default"/>
        <w:b w:val="0"/>
        <w:i w:val="0"/>
      </w:rPr>
    </w:lvl>
    <w:lvl w:ilvl="6">
      <w:start w:val="1"/>
      <w:numFmt w:val="decimal"/>
      <w:lvlText w:val="%7."/>
      <w:lvlJc w:val="left"/>
      <w:pPr>
        <w:tabs>
          <w:tab w:val="num" w:pos="2520"/>
        </w:tabs>
        <w:ind w:left="2520" w:hanging="360"/>
      </w:pPr>
      <w:rPr>
        <w:rFonts w:hint="default"/>
        <w:b w:val="0"/>
        <w:i w:val="0"/>
      </w:rPr>
    </w:lvl>
    <w:lvl w:ilvl="7">
      <w:start w:val="1"/>
      <w:numFmt w:val="lowerLetter"/>
      <w:lvlText w:val="%8."/>
      <w:lvlJc w:val="left"/>
      <w:pPr>
        <w:tabs>
          <w:tab w:val="num" w:pos="2880"/>
        </w:tabs>
        <w:ind w:left="2880" w:hanging="360"/>
      </w:pPr>
      <w:rPr>
        <w:rFonts w:hint="default"/>
        <w:b w:val="0"/>
        <w:i w:val="0"/>
      </w:rPr>
    </w:lvl>
    <w:lvl w:ilvl="8">
      <w:start w:val="1"/>
      <w:numFmt w:val="lowerRoman"/>
      <w:lvlText w:val="%9."/>
      <w:lvlJc w:val="left"/>
      <w:pPr>
        <w:tabs>
          <w:tab w:val="num" w:pos="3240"/>
        </w:tabs>
        <w:ind w:left="3240" w:hanging="360"/>
      </w:pPr>
      <w:rPr>
        <w:rFonts w:hint="default"/>
        <w:b w:val="0"/>
        <w:i w:val="0"/>
      </w:rPr>
    </w:lvl>
  </w:abstractNum>
  <w:abstractNum w:abstractNumId="3" w15:restartNumberingAfterBreak="0">
    <w:nsid w:val="08275E3E"/>
    <w:multiLevelType w:val="hybridMultilevel"/>
    <w:tmpl w:val="858E13F2"/>
    <w:lvl w:ilvl="0" w:tplc="AD9E34A6">
      <w:start w:val="1"/>
      <w:numFmt w:val="decimal"/>
      <w:pStyle w:val="TableHeadingNumbered"/>
      <w:lvlText w:val="Table %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085857F4"/>
    <w:multiLevelType w:val="multilevel"/>
    <w:tmpl w:val="0C3477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10653560"/>
    <w:multiLevelType w:val="multilevel"/>
    <w:tmpl w:val="72F8140E"/>
    <w:styleLink w:val="OutlineList"/>
    <w:lvl w:ilvl="0">
      <w:start w:val="1"/>
      <w:numFmt w:val="decimal"/>
      <w:lvlText w:val="%1."/>
      <w:lvlJc w:val="left"/>
      <w:pPr>
        <w:tabs>
          <w:tab w:val="num" w:pos="851"/>
        </w:tabs>
        <w:ind w:left="851" w:hanging="851"/>
      </w:pPr>
      <w:rPr>
        <w:rFonts w:hint="default"/>
      </w:rPr>
    </w:lvl>
    <w:lvl w:ilvl="1">
      <w:start w:val="1"/>
      <w:numFmt w:val="decimal"/>
      <w:lvlText w:val="%1.%2"/>
      <w:lvlJc w:val="left"/>
      <w:pPr>
        <w:tabs>
          <w:tab w:val="num" w:pos="1134"/>
        </w:tabs>
        <w:ind w:left="1134" w:hanging="1134"/>
      </w:pPr>
      <w:rPr>
        <w:rFonts w:hint="default"/>
      </w:rPr>
    </w:lvl>
    <w:lvl w:ilvl="2">
      <w:start w:val="1"/>
      <w:numFmt w:val="decimal"/>
      <w:lvlText w:val="%1.%2.%3"/>
      <w:lvlJc w:val="left"/>
      <w:pPr>
        <w:tabs>
          <w:tab w:val="num" w:pos="1418"/>
        </w:tabs>
        <w:ind w:left="1418" w:hanging="1418"/>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 w15:restartNumberingAfterBreak="0">
    <w:nsid w:val="138E6560"/>
    <w:multiLevelType w:val="multilevel"/>
    <w:tmpl w:val="CA5255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17DF7717"/>
    <w:multiLevelType w:val="multilevel"/>
    <w:tmpl w:val="B91AC3AC"/>
    <w:lvl w:ilvl="0">
      <w:start w:val="1"/>
      <w:numFmt w:val="decimal"/>
      <w:pStyle w:val="Heading1Numbered"/>
      <w:lvlText w:val="%1."/>
      <w:lvlJc w:val="left"/>
      <w:pPr>
        <w:ind w:left="360" w:hanging="360"/>
      </w:pPr>
      <w:rPr>
        <w:rFonts w:hint="default"/>
      </w:rPr>
    </w:lvl>
    <w:lvl w:ilvl="1">
      <w:start w:val="1"/>
      <w:numFmt w:val="decimal"/>
      <w:pStyle w:val="Heading2Numbered"/>
      <w:lvlText w:val="%1.%2"/>
      <w:lvlJc w:val="left"/>
      <w:pPr>
        <w:ind w:left="720" w:hanging="360"/>
      </w:pPr>
      <w:rPr>
        <w:rFonts w:hint="default"/>
      </w:rPr>
    </w:lvl>
    <w:lvl w:ilvl="2">
      <w:start w:val="1"/>
      <w:numFmt w:val="decimal"/>
      <w:pStyle w:val="Heading3Numbered"/>
      <w:lvlText w:val="%1.%2.%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 w15:restartNumberingAfterBreak="0">
    <w:nsid w:val="19E94833"/>
    <w:multiLevelType w:val="multilevel"/>
    <w:tmpl w:val="3328F4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1B6F1752"/>
    <w:multiLevelType w:val="multilevel"/>
    <w:tmpl w:val="D25EF732"/>
    <w:lvl w:ilvl="0">
      <w:start w:val="3"/>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0" w15:restartNumberingAfterBreak="0">
    <w:nsid w:val="1BB34F59"/>
    <w:multiLevelType w:val="multilevel"/>
    <w:tmpl w:val="7B2CB6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23B62697"/>
    <w:multiLevelType w:val="multilevel"/>
    <w:tmpl w:val="4AE6BF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24174B63"/>
    <w:multiLevelType w:val="multilevel"/>
    <w:tmpl w:val="B02AD4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27826BF0"/>
    <w:multiLevelType w:val="multilevel"/>
    <w:tmpl w:val="6D0AA75C"/>
    <w:lvl w:ilvl="0">
      <w:start w:val="1"/>
      <w:numFmt w:val="lowerRoman"/>
      <w:lvlText w:val="%1."/>
      <w:lvlJc w:val="left"/>
      <w:pPr>
        <w:tabs>
          <w:tab w:val="num" w:pos="720"/>
        </w:tabs>
        <w:ind w:left="720" w:hanging="720"/>
      </w:pPr>
      <w:rPr>
        <w:rFonts w:hint="default"/>
      </w:rPr>
    </w:lvl>
    <w:lvl w:ilvl="1">
      <w:start w:val="1"/>
      <w:numFmt w:val="lowerLetter"/>
      <w:pStyle w:val="AlphaParagraph"/>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 w15:restartNumberingAfterBreak="0">
    <w:nsid w:val="29026939"/>
    <w:multiLevelType w:val="hybridMultilevel"/>
    <w:tmpl w:val="C8AE3714"/>
    <w:lvl w:ilvl="0" w:tplc="B68EF6C6">
      <w:start w:val="3"/>
      <w:numFmt w:val="bullet"/>
      <w:lvlText w:val=""/>
      <w:lvlJc w:val="left"/>
      <w:pPr>
        <w:ind w:left="360" w:hanging="360"/>
      </w:pPr>
      <w:rPr>
        <w:rFonts w:ascii="Symbol" w:eastAsia="Times New Roman" w:hAnsi="Symbol" w:cs="Calibri"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5" w15:restartNumberingAfterBreak="0">
    <w:nsid w:val="2BA4760F"/>
    <w:multiLevelType w:val="multilevel"/>
    <w:tmpl w:val="E6C802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2CE04C56"/>
    <w:multiLevelType w:val="hybridMultilevel"/>
    <w:tmpl w:val="5654413A"/>
    <w:lvl w:ilvl="0" w:tplc="92B4918E">
      <w:start w:val="3"/>
      <w:numFmt w:val="bullet"/>
      <w:lvlText w:val=""/>
      <w:lvlJc w:val="left"/>
      <w:pPr>
        <w:ind w:left="360" w:hanging="360"/>
      </w:pPr>
      <w:rPr>
        <w:rFonts w:ascii="Symbol" w:eastAsia="Times New Roman" w:hAnsi="Symbol" w:cs="Calibri" w:hint="default"/>
        <w:color w:val="000000"/>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7" w15:restartNumberingAfterBreak="0">
    <w:nsid w:val="2F796E3A"/>
    <w:multiLevelType w:val="multilevel"/>
    <w:tmpl w:val="E5FEFC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308C2710"/>
    <w:multiLevelType w:val="multilevel"/>
    <w:tmpl w:val="7F402170"/>
    <w:styleLink w:val="BulletedList"/>
    <w:lvl w:ilvl="0">
      <w:start w:val="1"/>
      <w:numFmt w:val="bullet"/>
      <w:lvlRestart w:val="0"/>
      <w:lvlText w:val="•"/>
      <w:lvlJc w:val="left"/>
      <w:pPr>
        <w:tabs>
          <w:tab w:val="num" w:pos="283"/>
        </w:tabs>
        <w:ind w:left="284" w:hanging="284"/>
      </w:pPr>
      <w:rPr>
        <w:rFonts w:ascii="Times New Roman" w:hAnsi="Times New Roman" w:cs="Times New Roman" w:hint="default"/>
        <w:b w:val="0"/>
        <w:i w:val="0"/>
      </w:rPr>
    </w:lvl>
    <w:lvl w:ilvl="1">
      <w:start w:val="1"/>
      <w:numFmt w:val="bullet"/>
      <w:lvlText w:val="–"/>
      <w:lvlJc w:val="left"/>
      <w:pPr>
        <w:tabs>
          <w:tab w:val="num" w:pos="567"/>
        </w:tabs>
        <w:ind w:left="568" w:hanging="284"/>
      </w:pPr>
      <w:rPr>
        <w:rFonts w:ascii="Times New Roman" w:hAnsi="Times New Roman" w:cs="Times New Roman" w:hint="default"/>
        <w:b w:val="0"/>
        <w:i w:val="0"/>
      </w:rPr>
    </w:lvl>
    <w:lvl w:ilvl="2">
      <w:start w:val="1"/>
      <w:numFmt w:val="bullet"/>
      <w:lvlText w:val=":"/>
      <w:lvlJc w:val="left"/>
      <w:pPr>
        <w:tabs>
          <w:tab w:val="num" w:pos="851"/>
        </w:tabs>
        <w:ind w:left="852" w:hanging="284"/>
      </w:pPr>
      <w:rPr>
        <w:rFonts w:ascii="Times New Roman" w:hAnsi="Times New Roman" w:cs="Times New Roman" w:hint="default"/>
        <w:b w:val="0"/>
        <w:i w:val="0"/>
      </w:rPr>
    </w:lvl>
    <w:lvl w:ilvl="3">
      <w:start w:val="1"/>
      <w:numFmt w:val="decimal"/>
      <w:lvlText w:val="(%4)"/>
      <w:lvlJc w:val="left"/>
      <w:pPr>
        <w:tabs>
          <w:tab w:val="num" w:pos="1135"/>
        </w:tabs>
        <w:ind w:left="1136" w:hanging="284"/>
      </w:pPr>
      <w:rPr>
        <w:rFonts w:hint="default"/>
        <w:b w:val="0"/>
        <w:i w:val="0"/>
      </w:rPr>
    </w:lvl>
    <w:lvl w:ilvl="4">
      <w:start w:val="1"/>
      <w:numFmt w:val="lowerLetter"/>
      <w:lvlText w:val="(%5)"/>
      <w:lvlJc w:val="left"/>
      <w:pPr>
        <w:tabs>
          <w:tab w:val="num" w:pos="1419"/>
        </w:tabs>
        <w:ind w:left="1420" w:hanging="284"/>
      </w:pPr>
      <w:rPr>
        <w:rFonts w:hint="default"/>
        <w:b w:val="0"/>
        <w:i w:val="0"/>
      </w:rPr>
    </w:lvl>
    <w:lvl w:ilvl="5">
      <w:start w:val="1"/>
      <w:numFmt w:val="lowerRoman"/>
      <w:lvlText w:val="(%6)"/>
      <w:lvlJc w:val="left"/>
      <w:pPr>
        <w:tabs>
          <w:tab w:val="num" w:pos="1703"/>
        </w:tabs>
        <w:ind w:left="1704" w:hanging="284"/>
      </w:pPr>
      <w:rPr>
        <w:rFonts w:hint="default"/>
        <w:b w:val="0"/>
        <w:i w:val="0"/>
      </w:rPr>
    </w:lvl>
    <w:lvl w:ilvl="6">
      <w:start w:val="1"/>
      <w:numFmt w:val="decimal"/>
      <w:lvlText w:val="%7."/>
      <w:lvlJc w:val="left"/>
      <w:pPr>
        <w:tabs>
          <w:tab w:val="num" w:pos="1987"/>
        </w:tabs>
        <w:ind w:left="1988" w:hanging="284"/>
      </w:pPr>
      <w:rPr>
        <w:rFonts w:hint="default"/>
        <w:b w:val="0"/>
        <w:i w:val="0"/>
      </w:rPr>
    </w:lvl>
    <w:lvl w:ilvl="7">
      <w:start w:val="1"/>
      <w:numFmt w:val="lowerLetter"/>
      <w:lvlText w:val="%8."/>
      <w:lvlJc w:val="left"/>
      <w:pPr>
        <w:tabs>
          <w:tab w:val="num" w:pos="2271"/>
        </w:tabs>
        <w:ind w:left="2272" w:hanging="284"/>
      </w:pPr>
      <w:rPr>
        <w:rFonts w:hint="default"/>
        <w:b w:val="0"/>
        <w:i w:val="0"/>
      </w:rPr>
    </w:lvl>
    <w:lvl w:ilvl="8">
      <w:start w:val="1"/>
      <w:numFmt w:val="lowerRoman"/>
      <w:lvlText w:val="%9."/>
      <w:lvlJc w:val="left"/>
      <w:pPr>
        <w:tabs>
          <w:tab w:val="num" w:pos="2555"/>
        </w:tabs>
        <w:ind w:left="2556" w:hanging="284"/>
      </w:pPr>
      <w:rPr>
        <w:rFonts w:hint="default"/>
        <w:b w:val="0"/>
        <w:i w:val="0"/>
      </w:rPr>
    </w:lvl>
  </w:abstractNum>
  <w:abstractNum w:abstractNumId="19" w15:restartNumberingAfterBreak="0">
    <w:nsid w:val="3127663F"/>
    <w:multiLevelType w:val="multilevel"/>
    <w:tmpl w:val="B8AE99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3238442C"/>
    <w:multiLevelType w:val="multilevel"/>
    <w:tmpl w:val="34F627D2"/>
    <w:styleLink w:val="ChartandTableFootnoteAlphaList"/>
    <w:lvl w:ilvl="0">
      <w:start w:val="1"/>
      <w:numFmt w:val="lowerLetter"/>
      <w:pStyle w:val="ChartandTableFootnoteAlpha"/>
      <w:lvlText w:val="(%1)"/>
      <w:lvlJc w:val="left"/>
      <w:pPr>
        <w:tabs>
          <w:tab w:val="num" w:pos="284"/>
        </w:tabs>
        <w:ind w:left="284" w:hanging="284"/>
      </w:pPr>
      <w:rPr>
        <w:rFonts w:ascii="Arial" w:hAnsi="Arial" w:hint="default"/>
        <w:b w:val="0"/>
        <w:i w:val="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1" w15:restartNumberingAfterBreak="0">
    <w:nsid w:val="330C16AD"/>
    <w:multiLevelType w:val="multilevel"/>
    <w:tmpl w:val="D10E9CF6"/>
    <w:styleLink w:val="OneLevelList"/>
    <w:lvl w:ilvl="0">
      <w:start w:val="1"/>
      <w:numFmt w:val="decimal"/>
      <w:lvlText w:val="%1."/>
      <w:lvlJc w:val="left"/>
      <w:pPr>
        <w:tabs>
          <w:tab w:val="num" w:pos="284"/>
        </w:tabs>
        <w:ind w:left="284" w:hanging="284"/>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2" w15:restartNumberingAfterBreak="0">
    <w:nsid w:val="34253632"/>
    <w:multiLevelType w:val="multilevel"/>
    <w:tmpl w:val="9C6A091A"/>
    <w:lvl w:ilvl="0">
      <w:start w:val="2"/>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23" w15:restartNumberingAfterBreak="0">
    <w:nsid w:val="3BC64BAB"/>
    <w:multiLevelType w:val="multilevel"/>
    <w:tmpl w:val="50B6F0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3C096FF0"/>
    <w:multiLevelType w:val="multilevel"/>
    <w:tmpl w:val="2F5C35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490E607C"/>
    <w:multiLevelType w:val="multilevel"/>
    <w:tmpl w:val="6352BC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4F442373"/>
    <w:multiLevelType w:val="multilevel"/>
    <w:tmpl w:val="3B28E8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510D2021"/>
    <w:multiLevelType w:val="multilevel"/>
    <w:tmpl w:val="3A1A713E"/>
    <w:lvl w:ilvl="0">
      <w:start w:val="1"/>
      <w:numFmt w:val="decimal"/>
      <w:pStyle w:val="OutlineNumbered1"/>
      <w:lvlText w:val="%1."/>
      <w:lvlJc w:val="left"/>
      <w:pPr>
        <w:tabs>
          <w:tab w:val="num" w:pos="851"/>
        </w:tabs>
        <w:ind w:left="851" w:hanging="851"/>
      </w:pPr>
      <w:rPr>
        <w:rFonts w:hint="default"/>
      </w:rPr>
    </w:lvl>
    <w:lvl w:ilvl="1">
      <w:start w:val="1"/>
      <w:numFmt w:val="decimal"/>
      <w:pStyle w:val="OutlineNumbered2"/>
      <w:lvlText w:val="%1.%2"/>
      <w:lvlJc w:val="left"/>
      <w:pPr>
        <w:tabs>
          <w:tab w:val="num" w:pos="1134"/>
        </w:tabs>
        <w:ind w:left="1134" w:hanging="1134"/>
      </w:pPr>
      <w:rPr>
        <w:rFonts w:hint="default"/>
      </w:rPr>
    </w:lvl>
    <w:lvl w:ilvl="2">
      <w:start w:val="1"/>
      <w:numFmt w:val="decimal"/>
      <w:pStyle w:val="OutlineNumbered3"/>
      <w:lvlText w:val="%1.%2.%3"/>
      <w:lvlJc w:val="left"/>
      <w:pPr>
        <w:tabs>
          <w:tab w:val="num" w:pos="1418"/>
        </w:tabs>
        <w:ind w:left="1418" w:hanging="1418"/>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8" w15:restartNumberingAfterBreak="0">
    <w:nsid w:val="51D05648"/>
    <w:multiLevelType w:val="multilevel"/>
    <w:tmpl w:val="7CBE0C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555D0B64"/>
    <w:multiLevelType w:val="multilevel"/>
    <w:tmpl w:val="77EAD5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570E0392"/>
    <w:multiLevelType w:val="multilevel"/>
    <w:tmpl w:val="515CCA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587B21E7"/>
    <w:multiLevelType w:val="multilevel"/>
    <w:tmpl w:val="ADC4DC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59BD7DFF"/>
    <w:multiLevelType w:val="multilevel"/>
    <w:tmpl w:val="55D42826"/>
    <w:name w:val="StandardBulletedList2"/>
    <w:lvl w:ilvl="0">
      <w:start w:val="1"/>
      <w:numFmt w:val="bullet"/>
      <w:pStyle w:val="Boxbullet"/>
      <w:lvlText w:val="•"/>
      <w:lvlJc w:val="left"/>
      <w:pPr>
        <w:ind w:left="284" w:hanging="284"/>
      </w:pPr>
      <w:rPr>
        <w:rFonts w:ascii="Times New Roman" w:hAnsi="Times New Roman" w:cs="Times New Roman" w:hint="default"/>
        <w:color w:val="auto"/>
      </w:rPr>
    </w:lvl>
    <w:lvl w:ilvl="1">
      <w:start w:val="1"/>
      <w:numFmt w:val="bullet"/>
      <w:pStyle w:val="Boxdash"/>
      <w:lvlText w:val="–"/>
      <w:lvlJc w:val="left"/>
      <w:pPr>
        <w:ind w:left="568" w:hanging="284"/>
      </w:pPr>
      <w:rPr>
        <w:rFonts w:ascii="Times New Roman" w:hAnsi="Times New Roman" w:cs="Times New Roman" w:hint="default"/>
      </w:rPr>
    </w:lvl>
    <w:lvl w:ilvl="2">
      <w:start w:val="1"/>
      <w:numFmt w:val="bullet"/>
      <w:pStyle w:val="Boxdoubledot"/>
      <w:lvlText w:val=":"/>
      <w:lvlJc w:val="left"/>
      <w:pPr>
        <w:ind w:left="852" w:hanging="284"/>
      </w:pPr>
      <w:rPr>
        <w:rFonts w:ascii="Times New Roman" w:hAnsi="Times New Roman" w:cs="Times New Roman" w:hint="default"/>
      </w:rPr>
    </w:lvl>
    <w:lvl w:ilvl="3">
      <w:start w:val="1"/>
      <w:numFmt w:val="decimal"/>
      <w:lvlText w:val="(%4)"/>
      <w:lvlJc w:val="left"/>
      <w:pPr>
        <w:tabs>
          <w:tab w:val="num" w:pos="1372"/>
        </w:tabs>
        <w:ind w:left="1136" w:hanging="284"/>
      </w:pPr>
      <w:rPr>
        <w:rFonts w:hint="default"/>
      </w:rPr>
    </w:lvl>
    <w:lvl w:ilvl="4">
      <w:start w:val="1"/>
      <w:numFmt w:val="lowerLetter"/>
      <w:lvlText w:val="(%5)"/>
      <w:lvlJc w:val="left"/>
      <w:pPr>
        <w:tabs>
          <w:tab w:val="num" w:pos="1656"/>
        </w:tabs>
        <w:ind w:left="1420" w:hanging="284"/>
      </w:pPr>
      <w:rPr>
        <w:rFonts w:hint="default"/>
      </w:rPr>
    </w:lvl>
    <w:lvl w:ilvl="5">
      <w:start w:val="1"/>
      <w:numFmt w:val="lowerRoman"/>
      <w:lvlText w:val="(%6)"/>
      <w:lvlJc w:val="left"/>
      <w:pPr>
        <w:tabs>
          <w:tab w:val="num" w:pos="1940"/>
        </w:tabs>
        <w:ind w:left="1704" w:hanging="284"/>
      </w:pPr>
      <w:rPr>
        <w:rFonts w:hint="default"/>
      </w:rPr>
    </w:lvl>
    <w:lvl w:ilvl="6">
      <w:start w:val="1"/>
      <w:numFmt w:val="decimal"/>
      <w:lvlText w:val="%7."/>
      <w:lvlJc w:val="left"/>
      <w:pPr>
        <w:tabs>
          <w:tab w:val="num" w:pos="2224"/>
        </w:tabs>
        <w:ind w:left="1988" w:hanging="284"/>
      </w:pPr>
      <w:rPr>
        <w:rFonts w:hint="default"/>
      </w:rPr>
    </w:lvl>
    <w:lvl w:ilvl="7">
      <w:start w:val="1"/>
      <w:numFmt w:val="lowerLetter"/>
      <w:lvlText w:val="%8."/>
      <w:lvlJc w:val="left"/>
      <w:pPr>
        <w:tabs>
          <w:tab w:val="num" w:pos="2508"/>
        </w:tabs>
        <w:ind w:left="2272" w:hanging="284"/>
      </w:pPr>
      <w:rPr>
        <w:rFonts w:hint="default"/>
      </w:rPr>
    </w:lvl>
    <w:lvl w:ilvl="8">
      <w:start w:val="1"/>
      <w:numFmt w:val="lowerRoman"/>
      <w:lvlText w:val="%9."/>
      <w:lvlJc w:val="left"/>
      <w:pPr>
        <w:tabs>
          <w:tab w:val="num" w:pos="2792"/>
        </w:tabs>
        <w:ind w:left="2556" w:hanging="284"/>
      </w:pPr>
      <w:rPr>
        <w:rFonts w:hint="default"/>
      </w:rPr>
    </w:lvl>
  </w:abstractNum>
  <w:abstractNum w:abstractNumId="33" w15:restartNumberingAfterBreak="0">
    <w:nsid w:val="5B255300"/>
    <w:multiLevelType w:val="multilevel"/>
    <w:tmpl w:val="C17C268C"/>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34" w15:restartNumberingAfterBreak="0">
    <w:nsid w:val="6A725ED9"/>
    <w:multiLevelType w:val="multilevel"/>
    <w:tmpl w:val="E9A2B1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6DD25321"/>
    <w:multiLevelType w:val="multilevel"/>
    <w:tmpl w:val="A90A8F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6ED068E3"/>
    <w:multiLevelType w:val="multilevel"/>
    <w:tmpl w:val="3000F2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6F1C4445"/>
    <w:multiLevelType w:val="multilevel"/>
    <w:tmpl w:val="7CDC92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708D28B4"/>
    <w:multiLevelType w:val="hybridMultilevel"/>
    <w:tmpl w:val="5E8A4AB6"/>
    <w:lvl w:ilvl="0" w:tplc="93C0BC54">
      <w:start w:val="3"/>
      <w:numFmt w:val="bullet"/>
      <w:lvlText w:val=""/>
      <w:lvlJc w:val="left"/>
      <w:pPr>
        <w:ind w:left="360" w:hanging="360"/>
      </w:pPr>
      <w:rPr>
        <w:rFonts w:ascii="Symbol" w:eastAsia="Times New Roman" w:hAnsi="Symbol" w:cs="Calibri"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9" w15:restartNumberingAfterBreak="0">
    <w:nsid w:val="71337F54"/>
    <w:multiLevelType w:val="multilevel"/>
    <w:tmpl w:val="378694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15:restartNumberingAfterBreak="0">
    <w:nsid w:val="7652781D"/>
    <w:multiLevelType w:val="multilevel"/>
    <w:tmpl w:val="75C202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 w15:restartNumberingAfterBreak="0">
    <w:nsid w:val="7C20228C"/>
    <w:multiLevelType w:val="multilevel"/>
    <w:tmpl w:val="1D1647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15:restartNumberingAfterBreak="0">
    <w:nsid w:val="7D6B5224"/>
    <w:multiLevelType w:val="multilevel"/>
    <w:tmpl w:val="BB1CD81A"/>
    <w:name w:val="StandardBulletedList"/>
    <w:lvl w:ilvl="0">
      <w:start w:val="1"/>
      <w:numFmt w:val="bullet"/>
      <w:pStyle w:val="Bullet"/>
      <w:lvlText w:val="•"/>
      <w:lvlJc w:val="left"/>
      <w:pPr>
        <w:tabs>
          <w:tab w:val="num" w:pos="520"/>
        </w:tabs>
        <w:ind w:left="520" w:hanging="520"/>
      </w:pPr>
      <w:rPr>
        <w:rFonts w:ascii="Times New Roman" w:hAnsi="Times New Roman" w:cs="Times New Roman" w:hint="default"/>
        <w:color w:val="auto"/>
      </w:rPr>
    </w:lvl>
    <w:lvl w:ilvl="1">
      <w:start w:val="1"/>
      <w:numFmt w:val="bullet"/>
      <w:pStyle w:val="Dash"/>
      <w:lvlText w:val="–"/>
      <w:lvlJc w:val="left"/>
      <w:pPr>
        <w:tabs>
          <w:tab w:val="num" w:pos="1040"/>
        </w:tabs>
        <w:ind w:left="1040" w:hanging="520"/>
      </w:pPr>
      <w:rPr>
        <w:rFonts w:ascii="Times New Roman" w:hAnsi="Times New Roman" w:cs="Times New Roman" w:hint="default"/>
      </w:rPr>
    </w:lvl>
    <w:lvl w:ilvl="2">
      <w:start w:val="1"/>
      <w:numFmt w:val="bullet"/>
      <w:pStyle w:val="DoubleDot"/>
      <w:lvlText w:val=":"/>
      <w:lvlJc w:val="left"/>
      <w:pPr>
        <w:tabs>
          <w:tab w:val="num" w:pos="1560"/>
        </w:tabs>
        <w:ind w:left="1560" w:hanging="520"/>
      </w:pPr>
      <w:rPr>
        <w:rFonts w:ascii="Times New Roman" w:hAnsi="Times New Roman" w:cs="Times New Roman" w:hint="default"/>
      </w:rPr>
    </w:lvl>
    <w:lvl w:ilvl="3">
      <w:start w:val="1"/>
      <w:numFmt w:val="decimal"/>
      <w:lvlText w:val="(%4)"/>
      <w:lvlJc w:val="left"/>
      <w:pPr>
        <w:tabs>
          <w:tab w:val="num" w:pos="1372"/>
        </w:tabs>
        <w:ind w:left="1136" w:hanging="284"/>
      </w:pPr>
      <w:rPr>
        <w:rFonts w:hint="default"/>
      </w:rPr>
    </w:lvl>
    <w:lvl w:ilvl="4">
      <w:start w:val="1"/>
      <w:numFmt w:val="lowerLetter"/>
      <w:lvlText w:val="(%5)"/>
      <w:lvlJc w:val="left"/>
      <w:pPr>
        <w:tabs>
          <w:tab w:val="num" w:pos="1656"/>
        </w:tabs>
        <w:ind w:left="1420" w:hanging="284"/>
      </w:pPr>
      <w:rPr>
        <w:rFonts w:hint="default"/>
      </w:rPr>
    </w:lvl>
    <w:lvl w:ilvl="5">
      <w:start w:val="1"/>
      <w:numFmt w:val="lowerRoman"/>
      <w:lvlText w:val="(%6)"/>
      <w:lvlJc w:val="left"/>
      <w:pPr>
        <w:tabs>
          <w:tab w:val="num" w:pos="1940"/>
        </w:tabs>
        <w:ind w:left="1704" w:hanging="284"/>
      </w:pPr>
      <w:rPr>
        <w:rFonts w:hint="default"/>
      </w:rPr>
    </w:lvl>
    <w:lvl w:ilvl="6">
      <w:start w:val="1"/>
      <w:numFmt w:val="decimal"/>
      <w:lvlText w:val="%7."/>
      <w:lvlJc w:val="left"/>
      <w:pPr>
        <w:tabs>
          <w:tab w:val="num" w:pos="2224"/>
        </w:tabs>
        <w:ind w:left="1988" w:hanging="284"/>
      </w:pPr>
      <w:rPr>
        <w:rFonts w:hint="default"/>
      </w:rPr>
    </w:lvl>
    <w:lvl w:ilvl="7">
      <w:start w:val="1"/>
      <w:numFmt w:val="lowerLetter"/>
      <w:lvlText w:val="%8."/>
      <w:lvlJc w:val="left"/>
      <w:pPr>
        <w:tabs>
          <w:tab w:val="num" w:pos="2508"/>
        </w:tabs>
        <w:ind w:left="2272" w:hanging="284"/>
      </w:pPr>
      <w:rPr>
        <w:rFonts w:hint="default"/>
      </w:rPr>
    </w:lvl>
    <w:lvl w:ilvl="8">
      <w:start w:val="1"/>
      <w:numFmt w:val="lowerRoman"/>
      <w:lvlText w:val="%9."/>
      <w:lvlJc w:val="left"/>
      <w:pPr>
        <w:tabs>
          <w:tab w:val="num" w:pos="2792"/>
        </w:tabs>
        <w:ind w:left="2556" w:hanging="284"/>
      </w:pPr>
      <w:rPr>
        <w:rFonts w:hint="default"/>
      </w:rPr>
    </w:lvl>
  </w:abstractNum>
  <w:num w:numId="1" w16cid:durableId="747112092">
    <w:abstractNumId w:val="18"/>
  </w:num>
  <w:num w:numId="2" w16cid:durableId="125392115">
    <w:abstractNumId w:val="2"/>
  </w:num>
  <w:num w:numId="3" w16cid:durableId="1138493796">
    <w:abstractNumId w:val="21"/>
  </w:num>
  <w:num w:numId="4" w16cid:durableId="697198535">
    <w:abstractNumId w:val="5"/>
  </w:num>
  <w:num w:numId="5" w16cid:durableId="1530605932">
    <w:abstractNumId w:val="27"/>
  </w:num>
  <w:num w:numId="6" w16cid:durableId="1334606905">
    <w:abstractNumId w:val="7"/>
  </w:num>
  <w:num w:numId="7" w16cid:durableId="732696603">
    <w:abstractNumId w:val="13"/>
  </w:num>
  <w:num w:numId="8" w16cid:durableId="1455251550">
    <w:abstractNumId w:val="42"/>
  </w:num>
  <w:num w:numId="9" w16cid:durableId="1065297974">
    <w:abstractNumId w:val="32"/>
  </w:num>
  <w:num w:numId="10" w16cid:durableId="801188230">
    <w:abstractNumId w:val="20"/>
    <w:lvlOverride w:ilvl="0">
      <w:startOverride w:val="1"/>
      <w:lvl w:ilvl="0">
        <w:start w:val="1"/>
        <w:numFmt w:val="lowerLetter"/>
        <w:pStyle w:val="ChartandTableFootnoteAlpha"/>
        <w:lvlText w:val="(%1)"/>
        <w:lvlJc w:val="left"/>
        <w:pPr>
          <w:tabs>
            <w:tab w:val="num" w:pos="284"/>
          </w:tabs>
          <w:ind w:left="284" w:hanging="284"/>
        </w:pPr>
        <w:rPr>
          <w:rFonts w:ascii="Arial" w:hAnsi="Arial" w:hint="default"/>
          <w:b w:val="0"/>
          <w:i w:val="0"/>
          <w:sz w:val="16"/>
        </w:rPr>
      </w:lvl>
    </w:lvlOverride>
    <w:lvlOverride w:ilvl="1">
      <w:startOverride w:val="1"/>
      <w:lvl w:ilvl="1">
        <w:start w:val="1"/>
        <w:numFmt w:val="lowerLetter"/>
        <w:lvlText w:val="%2)"/>
        <w:lvlJc w:val="left"/>
        <w:pPr>
          <w:ind w:left="720" w:hanging="360"/>
        </w:pPr>
        <w:rPr>
          <w:rFonts w:hint="default"/>
        </w:rPr>
      </w:lvl>
    </w:lvlOverride>
    <w:lvlOverride w:ilvl="2">
      <w:startOverride w:val="1"/>
      <w:lvl w:ilvl="2">
        <w:start w:val="1"/>
        <w:numFmt w:val="lowerRoman"/>
        <w:lvlText w:val="%3)"/>
        <w:lvlJc w:val="left"/>
        <w:pPr>
          <w:ind w:left="1080" w:hanging="360"/>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11" w16cid:durableId="353775701">
    <w:abstractNumId w:val="20"/>
    <w:lvlOverride w:ilvl="0">
      <w:startOverride w:val="1"/>
      <w:lvl w:ilvl="0">
        <w:start w:val="1"/>
        <w:numFmt w:val="lowerLetter"/>
        <w:pStyle w:val="ChartandTableFootnoteAlpha"/>
        <w:lvlText w:val="(%1)"/>
        <w:lvlJc w:val="left"/>
        <w:pPr>
          <w:tabs>
            <w:tab w:val="num" w:pos="284"/>
          </w:tabs>
          <w:ind w:left="284" w:hanging="284"/>
        </w:pPr>
        <w:rPr>
          <w:rFonts w:ascii="Arial" w:hAnsi="Arial" w:hint="default"/>
          <w:b w:val="0"/>
          <w:i w:val="0"/>
          <w:sz w:val="16"/>
        </w:rPr>
      </w:lvl>
    </w:lvlOverride>
    <w:lvlOverride w:ilvl="1">
      <w:startOverride w:val="1"/>
      <w:lvl w:ilvl="1">
        <w:start w:val="1"/>
        <w:numFmt w:val="lowerLetter"/>
        <w:lvlText w:val="%2)"/>
        <w:lvlJc w:val="left"/>
        <w:pPr>
          <w:ind w:left="720" w:hanging="360"/>
        </w:pPr>
        <w:rPr>
          <w:rFonts w:hint="default"/>
        </w:rPr>
      </w:lvl>
    </w:lvlOverride>
    <w:lvlOverride w:ilvl="2">
      <w:startOverride w:val="1"/>
      <w:lvl w:ilvl="2">
        <w:start w:val="1"/>
        <w:numFmt w:val="lowerRoman"/>
        <w:lvlText w:val="%3)"/>
        <w:lvlJc w:val="left"/>
        <w:pPr>
          <w:ind w:left="1080" w:hanging="360"/>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12" w16cid:durableId="375473772">
    <w:abstractNumId w:val="20"/>
    <w:lvlOverride w:ilvl="0">
      <w:startOverride w:val="1"/>
      <w:lvl w:ilvl="0">
        <w:start w:val="1"/>
        <w:numFmt w:val="lowerLetter"/>
        <w:pStyle w:val="ChartandTableFootnoteAlpha"/>
        <w:lvlText w:val="(%1)"/>
        <w:lvlJc w:val="left"/>
        <w:pPr>
          <w:tabs>
            <w:tab w:val="num" w:pos="284"/>
          </w:tabs>
          <w:ind w:left="284" w:hanging="284"/>
        </w:pPr>
        <w:rPr>
          <w:rFonts w:ascii="Arial" w:hAnsi="Arial" w:hint="default"/>
          <w:b w:val="0"/>
          <w:i w:val="0"/>
          <w:sz w:val="16"/>
        </w:rPr>
      </w:lvl>
    </w:lvlOverride>
    <w:lvlOverride w:ilvl="1">
      <w:startOverride w:val="1"/>
      <w:lvl w:ilvl="1">
        <w:start w:val="1"/>
        <w:numFmt w:val="lowerLetter"/>
        <w:lvlText w:val="%2)"/>
        <w:lvlJc w:val="left"/>
        <w:pPr>
          <w:ind w:left="720" w:hanging="360"/>
        </w:pPr>
        <w:rPr>
          <w:rFonts w:hint="default"/>
        </w:rPr>
      </w:lvl>
    </w:lvlOverride>
    <w:lvlOverride w:ilvl="2">
      <w:startOverride w:val="1"/>
      <w:lvl w:ilvl="2">
        <w:start w:val="1"/>
        <w:numFmt w:val="lowerRoman"/>
        <w:lvlText w:val="%3)"/>
        <w:lvlJc w:val="left"/>
        <w:pPr>
          <w:ind w:left="1080" w:hanging="360"/>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13" w16cid:durableId="946741772">
    <w:abstractNumId w:val="20"/>
    <w:lvlOverride w:ilvl="0">
      <w:startOverride w:val="1"/>
      <w:lvl w:ilvl="0">
        <w:start w:val="1"/>
        <w:numFmt w:val="lowerLetter"/>
        <w:pStyle w:val="ChartandTableFootnoteAlpha"/>
        <w:lvlText w:val="(%1)"/>
        <w:lvlJc w:val="left"/>
        <w:pPr>
          <w:tabs>
            <w:tab w:val="num" w:pos="284"/>
          </w:tabs>
          <w:ind w:left="284" w:hanging="284"/>
        </w:pPr>
        <w:rPr>
          <w:rFonts w:ascii="Arial" w:hAnsi="Arial" w:hint="default"/>
          <w:b w:val="0"/>
          <w:i w:val="0"/>
          <w:sz w:val="16"/>
        </w:rPr>
      </w:lvl>
    </w:lvlOverride>
    <w:lvlOverride w:ilvl="1">
      <w:startOverride w:val="1"/>
      <w:lvl w:ilvl="1">
        <w:start w:val="1"/>
        <w:numFmt w:val="lowerLetter"/>
        <w:lvlText w:val="%2)"/>
        <w:lvlJc w:val="left"/>
        <w:pPr>
          <w:ind w:left="720" w:hanging="360"/>
        </w:pPr>
        <w:rPr>
          <w:rFonts w:hint="default"/>
        </w:rPr>
      </w:lvl>
    </w:lvlOverride>
    <w:lvlOverride w:ilvl="2">
      <w:startOverride w:val="1"/>
      <w:lvl w:ilvl="2">
        <w:start w:val="1"/>
        <w:numFmt w:val="lowerRoman"/>
        <w:lvlText w:val="%3)"/>
        <w:lvlJc w:val="left"/>
        <w:pPr>
          <w:ind w:left="1080" w:hanging="360"/>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14" w16cid:durableId="483743185">
    <w:abstractNumId w:val="3"/>
  </w:num>
  <w:num w:numId="15" w16cid:durableId="1346597378">
    <w:abstractNumId w:val="28"/>
  </w:num>
  <w:num w:numId="16" w16cid:durableId="601106661">
    <w:abstractNumId w:val="39"/>
  </w:num>
  <w:num w:numId="17" w16cid:durableId="716396265">
    <w:abstractNumId w:val="24"/>
  </w:num>
  <w:num w:numId="18" w16cid:durableId="2136676532">
    <w:abstractNumId w:val="26"/>
  </w:num>
  <w:num w:numId="19" w16cid:durableId="1077367137">
    <w:abstractNumId w:val="40"/>
  </w:num>
  <w:num w:numId="20" w16cid:durableId="1269703639">
    <w:abstractNumId w:val="6"/>
  </w:num>
  <w:num w:numId="21" w16cid:durableId="1194686307">
    <w:abstractNumId w:val="30"/>
  </w:num>
  <w:num w:numId="22" w16cid:durableId="2117677818">
    <w:abstractNumId w:val="23"/>
  </w:num>
  <w:num w:numId="23" w16cid:durableId="157624863">
    <w:abstractNumId w:val="20"/>
    <w:lvlOverride w:ilvl="0">
      <w:lvl w:ilvl="0">
        <w:start w:val="1"/>
        <w:numFmt w:val="lowerLetter"/>
        <w:pStyle w:val="ChartandTableFootnoteAlpha"/>
        <w:lvlText w:val="(%1)"/>
        <w:lvlJc w:val="left"/>
        <w:pPr>
          <w:tabs>
            <w:tab w:val="num" w:pos="284"/>
          </w:tabs>
          <w:ind w:left="284" w:hanging="284"/>
        </w:pPr>
        <w:rPr>
          <w:rFonts w:ascii="Arial" w:hAnsi="Arial" w:hint="default"/>
          <w:b w:val="0"/>
          <w:i w:val="0"/>
          <w:sz w:val="16"/>
        </w:rPr>
      </w:lvl>
    </w:lvlOverride>
    <w:lvlOverride w:ilvl="1">
      <w:lvl w:ilvl="1">
        <w:start w:val="1"/>
        <w:numFmt w:val="lowerLetter"/>
        <w:lvlText w:val="%2)"/>
        <w:lvlJc w:val="left"/>
        <w:pPr>
          <w:ind w:left="720" w:hanging="360"/>
        </w:pPr>
        <w:rPr>
          <w:rFonts w:hint="default"/>
        </w:rPr>
      </w:lvl>
    </w:lvlOverride>
    <w:lvlOverride w:ilvl="2">
      <w:lvl w:ilvl="2">
        <w:start w:val="1"/>
        <w:numFmt w:val="lowerRoman"/>
        <w:lvlText w:val="%3)"/>
        <w:lvlJc w:val="left"/>
        <w:pPr>
          <w:ind w:left="1080" w:hanging="360"/>
        </w:pPr>
        <w:rPr>
          <w:rFonts w:hint="default"/>
        </w:rPr>
      </w:lvl>
    </w:lvlOverride>
    <w:lvlOverride w:ilvl="3">
      <w:lvl w:ilvl="3">
        <w:start w:val="1"/>
        <w:numFmt w:val="decimal"/>
        <w:lvlText w:val="(%4)"/>
        <w:lvlJc w:val="left"/>
        <w:pPr>
          <w:ind w:left="1440" w:hanging="360"/>
        </w:pPr>
        <w:rPr>
          <w:rFonts w:hint="default"/>
        </w:rPr>
      </w:lvl>
    </w:lvlOverride>
    <w:lvlOverride w:ilvl="4">
      <w:lvl w:ilvl="4">
        <w:start w:val="1"/>
        <w:numFmt w:val="lowerLetter"/>
        <w:lvlText w:val="(%5)"/>
        <w:lvlJc w:val="left"/>
        <w:pPr>
          <w:ind w:left="1800" w:hanging="360"/>
        </w:pPr>
        <w:rPr>
          <w:rFonts w:hint="default"/>
        </w:rPr>
      </w:lvl>
    </w:lvlOverride>
    <w:lvlOverride w:ilvl="5">
      <w:lvl w:ilvl="5">
        <w:start w:val="1"/>
        <w:numFmt w:val="lowerRoman"/>
        <w:lvlText w:val="(%6)"/>
        <w:lvlJc w:val="left"/>
        <w:pPr>
          <w:ind w:left="2160" w:hanging="36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24" w16cid:durableId="1816799294">
    <w:abstractNumId w:val="34"/>
  </w:num>
  <w:num w:numId="25" w16cid:durableId="1590038997">
    <w:abstractNumId w:val="8"/>
  </w:num>
  <w:num w:numId="26" w16cid:durableId="313535970">
    <w:abstractNumId w:val="19"/>
  </w:num>
  <w:num w:numId="27" w16cid:durableId="518739920">
    <w:abstractNumId w:val="17"/>
  </w:num>
  <w:num w:numId="28" w16cid:durableId="18630885">
    <w:abstractNumId w:val="25"/>
  </w:num>
  <w:num w:numId="29" w16cid:durableId="2007240996">
    <w:abstractNumId w:val="41"/>
  </w:num>
  <w:num w:numId="30" w16cid:durableId="273755735">
    <w:abstractNumId w:val="33"/>
  </w:num>
  <w:num w:numId="31" w16cid:durableId="963463212">
    <w:abstractNumId w:val="22"/>
  </w:num>
  <w:num w:numId="32" w16cid:durableId="2138402079">
    <w:abstractNumId w:val="9"/>
  </w:num>
  <w:num w:numId="33" w16cid:durableId="833643192">
    <w:abstractNumId w:val="12"/>
  </w:num>
  <w:num w:numId="34" w16cid:durableId="1891771804">
    <w:abstractNumId w:val="10"/>
  </w:num>
  <w:num w:numId="35" w16cid:durableId="198402626">
    <w:abstractNumId w:val="36"/>
  </w:num>
  <w:num w:numId="36" w16cid:durableId="213928347">
    <w:abstractNumId w:val="29"/>
  </w:num>
  <w:num w:numId="37" w16cid:durableId="1328436050">
    <w:abstractNumId w:val="37"/>
  </w:num>
  <w:num w:numId="38" w16cid:durableId="1904439850">
    <w:abstractNumId w:val="31"/>
  </w:num>
  <w:num w:numId="39" w16cid:durableId="171335835">
    <w:abstractNumId w:val="15"/>
  </w:num>
  <w:num w:numId="40" w16cid:durableId="1646352702">
    <w:abstractNumId w:val="11"/>
  </w:num>
  <w:num w:numId="41" w16cid:durableId="762724607">
    <w:abstractNumId w:val="35"/>
  </w:num>
  <w:num w:numId="42" w16cid:durableId="1484468145">
    <w:abstractNumId w:val="4"/>
  </w:num>
  <w:num w:numId="43" w16cid:durableId="1578398789">
    <w:abstractNumId w:val="0"/>
  </w:num>
  <w:num w:numId="44" w16cid:durableId="1144082262">
    <w:abstractNumId w:val="38"/>
  </w:num>
  <w:num w:numId="45" w16cid:durableId="1087851089">
    <w:abstractNumId w:val="14"/>
  </w:num>
  <w:num w:numId="46" w16cid:durableId="1856534103">
    <w:abstractNumId w:val="16"/>
  </w:num>
  <w:num w:numId="47" w16cid:durableId="1246256598">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929237773">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1071462809">
    <w:abstractNumId w:val="20"/>
    <w:lvlOverride w:ilvl="0">
      <w:startOverride w:val="1"/>
      <w:lvl w:ilvl="0">
        <w:start w:val="1"/>
        <w:numFmt w:val="lowerLetter"/>
        <w:pStyle w:val="ChartandTableFootnoteAlpha"/>
        <w:lvlText w:val="(%1)"/>
        <w:lvlJc w:val="left"/>
        <w:pPr>
          <w:tabs>
            <w:tab w:val="num" w:pos="284"/>
          </w:tabs>
          <w:ind w:left="284" w:hanging="284"/>
        </w:pPr>
        <w:rPr>
          <w:rFonts w:ascii="Arial" w:hAnsi="Arial" w:hint="default"/>
          <w:b w:val="0"/>
          <w:i w:val="0"/>
          <w:sz w:val="16"/>
        </w:rPr>
      </w:lvl>
    </w:lvlOverride>
    <w:lvlOverride w:ilvl="1">
      <w:startOverride w:val="1"/>
      <w:lvl w:ilvl="1">
        <w:start w:val="1"/>
        <w:numFmt w:val="decimal"/>
        <w:lvlText w:val=""/>
        <w:lvlJc w:val="left"/>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50" w16cid:durableId="1211845537">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16cid:durableId="1828741537">
    <w:abstractNumId w:val="20"/>
    <w:lvlOverride w:ilvl="0">
      <w:startOverride w:val="1"/>
      <w:lvl w:ilvl="0">
        <w:start w:val="1"/>
        <w:numFmt w:val="lowerLetter"/>
        <w:pStyle w:val="ChartandTableFootnoteAlpha"/>
        <w:lvlText w:val="(%1)"/>
        <w:lvlJc w:val="left"/>
        <w:pPr>
          <w:tabs>
            <w:tab w:val="num" w:pos="284"/>
          </w:tabs>
          <w:ind w:left="284" w:hanging="284"/>
        </w:pPr>
        <w:rPr>
          <w:rFonts w:ascii="Arial" w:hAnsi="Arial" w:hint="default"/>
          <w:b w:val="0"/>
          <w:i w:val="0"/>
          <w:sz w:val="16"/>
        </w:rPr>
      </w:lvl>
    </w:lvlOverride>
    <w:lvlOverride w:ilvl="1">
      <w:startOverride w:val="1"/>
      <w:lvl w:ilvl="1">
        <w:start w:val="1"/>
        <w:numFmt w:val="lowerLetter"/>
        <w:lvlText w:val="%2)"/>
        <w:lvlJc w:val="left"/>
        <w:pPr>
          <w:ind w:left="720" w:hanging="360"/>
        </w:pPr>
        <w:rPr>
          <w:rFonts w:hint="default"/>
        </w:rPr>
      </w:lvl>
    </w:lvlOverride>
    <w:lvlOverride w:ilvl="2">
      <w:startOverride w:val="1"/>
      <w:lvl w:ilvl="2">
        <w:start w:val="1"/>
        <w:numFmt w:val="lowerRoman"/>
        <w:lvlText w:val="%3)"/>
        <w:lvlJc w:val="left"/>
        <w:pPr>
          <w:ind w:left="1080" w:hanging="360"/>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52" w16cid:durableId="372341199">
    <w:abstractNumId w:val="20"/>
    <w:lvlOverride w:ilvl="0">
      <w:startOverride w:val="1"/>
      <w:lvl w:ilvl="0">
        <w:start w:val="1"/>
        <w:numFmt w:val="lowerLetter"/>
        <w:pStyle w:val="ChartandTableFootnoteAlpha"/>
        <w:lvlText w:val="(%1)"/>
        <w:lvlJc w:val="left"/>
        <w:pPr>
          <w:tabs>
            <w:tab w:val="num" w:pos="284"/>
          </w:tabs>
          <w:ind w:left="284" w:hanging="284"/>
        </w:pPr>
        <w:rPr>
          <w:rFonts w:ascii="Arial" w:hAnsi="Arial" w:hint="default"/>
          <w:b w:val="0"/>
          <w:i w:val="0"/>
          <w:sz w:val="16"/>
        </w:rPr>
      </w:lvl>
    </w:lvlOverride>
    <w:lvlOverride w:ilvl="1">
      <w:startOverride w:val="1"/>
      <w:lvl w:ilvl="1">
        <w:start w:val="1"/>
        <w:numFmt w:val="lowerLetter"/>
        <w:lvlText w:val="%2)"/>
        <w:lvlJc w:val="left"/>
        <w:pPr>
          <w:ind w:left="720" w:hanging="360"/>
        </w:pPr>
        <w:rPr>
          <w:rFonts w:hint="default"/>
        </w:rPr>
      </w:lvl>
    </w:lvlOverride>
    <w:lvlOverride w:ilvl="2">
      <w:startOverride w:val="1"/>
      <w:lvl w:ilvl="2">
        <w:start w:val="1"/>
        <w:numFmt w:val="lowerRoman"/>
        <w:lvlText w:val="%3)"/>
        <w:lvlJc w:val="left"/>
        <w:pPr>
          <w:ind w:left="1080" w:hanging="360"/>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53" w16cid:durableId="949778956">
    <w:abstractNumId w:val="1"/>
  </w:num>
  <w:num w:numId="54" w16cid:durableId="608509272">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16cid:durableId="426073339">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16cid:durableId="1382290071">
    <w:abstractNumId w:val="20"/>
  </w:num>
  <w:num w:numId="57" w16cid:durableId="1237672237">
    <w:abstractNumId w:val="20"/>
    <w:lvlOverride w:ilvl="0">
      <w:startOverride w:val="1"/>
      <w:lvl w:ilvl="0">
        <w:start w:val="1"/>
        <w:numFmt w:val="lowerLetter"/>
        <w:pStyle w:val="ChartandTableFootnoteAlpha"/>
        <w:lvlText w:val="(%1)"/>
        <w:lvlJc w:val="left"/>
        <w:pPr>
          <w:tabs>
            <w:tab w:val="num" w:pos="284"/>
          </w:tabs>
          <w:ind w:left="284" w:hanging="284"/>
        </w:pPr>
        <w:rPr>
          <w:rFonts w:ascii="Arial" w:hAnsi="Arial" w:hint="default"/>
          <w:b w:val="0"/>
          <w:i w:val="0"/>
          <w:sz w:val="16"/>
        </w:rPr>
      </w:lvl>
    </w:lvlOverride>
    <w:lvlOverride w:ilvl="1">
      <w:startOverride w:val="1"/>
      <w:lvl w:ilvl="1">
        <w:start w:val="1"/>
        <w:numFmt w:val="lowerLetter"/>
        <w:lvlText w:val="%2)"/>
        <w:lvlJc w:val="left"/>
        <w:pPr>
          <w:ind w:left="720" w:hanging="360"/>
        </w:pPr>
        <w:rPr>
          <w:rFonts w:hint="default"/>
        </w:rPr>
      </w:lvl>
    </w:lvlOverride>
    <w:lvlOverride w:ilvl="2">
      <w:startOverride w:val="1"/>
      <w:lvl w:ilvl="2">
        <w:start w:val="1"/>
        <w:numFmt w:val="lowerRoman"/>
        <w:lvlText w:val="%3)"/>
        <w:lvlJc w:val="left"/>
        <w:pPr>
          <w:ind w:left="1080" w:hanging="360"/>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IdMacAtCleanup w:val="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removePersonalInformation/>
  <w:removeDateAndTime/>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284"/>
  <w:evenAndOddHeaders/>
  <w:characterSpacingControl w:val="doNotCompress"/>
  <w:hdrShapeDefaults>
    <o:shapedefaults v:ext="edit" spidmax="2050"/>
  </w:hdrShapeDefaults>
  <w:footnotePr>
    <w:footnote w:id="-1"/>
    <w:footnote w:id="0"/>
    <w:footnote w:id="1"/>
  </w:footnotePr>
  <w:endnotePr>
    <w:numFmt w:val="decimal"/>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00F6C"/>
    <w:rsid w:val="0000007A"/>
    <w:rsid w:val="0000009B"/>
    <w:rsid w:val="000000C4"/>
    <w:rsid w:val="000000ED"/>
    <w:rsid w:val="00000143"/>
    <w:rsid w:val="00000155"/>
    <w:rsid w:val="00000172"/>
    <w:rsid w:val="000001C7"/>
    <w:rsid w:val="0000026A"/>
    <w:rsid w:val="00000283"/>
    <w:rsid w:val="00000359"/>
    <w:rsid w:val="000003E3"/>
    <w:rsid w:val="0000044C"/>
    <w:rsid w:val="000004EF"/>
    <w:rsid w:val="00000568"/>
    <w:rsid w:val="00000574"/>
    <w:rsid w:val="000006B2"/>
    <w:rsid w:val="000006D3"/>
    <w:rsid w:val="00000737"/>
    <w:rsid w:val="00000754"/>
    <w:rsid w:val="000007C1"/>
    <w:rsid w:val="0000095D"/>
    <w:rsid w:val="00000977"/>
    <w:rsid w:val="000009E6"/>
    <w:rsid w:val="000009F7"/>
    <w:rsid w:val="00000A01"/>
    <w:rsid w:val="00000A95"/>
    <w:rsid w:val="00000B5C"/>
    <w:rsid w:val="00000B78"/>
    <w:rsid w:val="00000D2A"/>
    <w:rsid w:val="00000D3A"/>
    <w:rsid w:val="00000D4F"/>
    <w:rsid w:val="00000D86"/>
    <w:rsid w:val="00000D92"/>
    <w:rsid w:val="00000ECD"/>
    <w:rsid w:val="00000F3F"/>
    <w:rsid w:val="00000F84"/>
    <w:rsid w:val="00000FD9"/>
    <w:rsid w:val="000010FF"/>
    <w:rsid w:val="0000118F"/>
    <w:rsid w:val="000011C7"/>
    <w:rsid w:val="000011FF"/>
    <w:rsid w:val="000012AA"/>
    <w:rsid w:val="00001336"/>
    <w:rsid w:val="0000142C"/>
    <w:rsid w:val="0000147A"/>
    <w:rsid w:val="0000147B"/>
    <w:rsid w:val="0000147F"/>
    <w:rsid w:val="00001492"/>
    <w:rsid w:val="000014B9"/>
    <w:rsid w:val="0000153F"/>
    <w:rsid w:val="0000154F"/>
    <w:rsid w:val="000015B1"/>
    <w:rsid w:val="000015C2"/>
    <w:rsid w:val="000015F9"/>
    <w:rsid w:val="00001616"/>
    <w:rsid w:val="0000169C"/>
    <w:rsid w:val="00001720"/>
    <w:rsid w:val="00001770"/>
    <w:rsid w:val="000017A8"/>
    <w:rsid w:val="0000182A"/>
    <w:rsid w:val="0000187B"/>
    <w:rsid w:val="00001883"/>
    <w:rsid w:val="000018EC"/>
    <w:rsid w:val="0000193D"/>
    <w:rsid w:val="0000197D"/>
    <w:rsid w:val="000019E3"/>
    <w:rsid w:val="00001A36"/>
    <w:rsid w:val="00001A3A"/>
    <w:rsid w:val="00001A50"/>
    <w:rsid w:val="00001A5D"/>
    <w:rsid w:val="00001A5F"/>
    <w:rsid w:val="00001B39"/>
    <w:rsid w:val="00001BE7"/>
    <w:rsid w:val="00001CAB"/>
    <w:rsid w:val="00001CE4"/>
    <w:rsid w:val="00001E1E"/>
    <w:rsid w:val="00001E42"/>
    <w:rsid w:val="00001E78"/>
    <w:rsid w:val="00001F41"/>
    <w:rsid w:val="00001FA2"/>
    <w:rsid w:val="00002051"/>
    <w:rsid w:val="00002114"/>
    <w:rsid w:val="0000215C"/>
    <w:rsid w:val="000021C1"/>
    <w:rsid w:val="0000228F"/>
    <w:rsid w:val="000022BC"/>
    <w:rsid w:val="000022E4"/>
    <w:rsid w:val="000022E7"/>
    <w:rsid w:val="000022F3"/>
    <w:rsid w:val="0000243C"/>
    <w:rsid w:val="0000245E"/>
    <w:rsid w:val="0000247F"/>
    <w:rsid w:val="000024F8"/>
    <w:rsid w:val="00002563"/>
    <w:rsid w:val="00002574"/>
    <w:rsid w:val="0000260A"/>
    <w:rsid w:val="000028B9"/>
    <w:rsid w:val="000028FC"/>
    <w:rsid w:val="00002A53"/>
    <w:rsid w:val="00002A66"/>
    <w:rsid w:val="00002AC5"/>
    <w:rsid w:val="00002B1E"/>
    <w:rsid w:val="00002BA3"/>
    <w:rsid w:val="00002BFC"/>
    <w:rsid w:val="00002CA7"/>
    <w:rsid w:val="00002CBC"/>
    <w:rsid w:val="00002CEE"/>
    <w:rsid w:val="00002D16"/>
    <w:rsid w:val="00002D32"/>
    <w:rsid w:val="00002D47"/>
    <w:rsid w:val="00002D6E"/>
    <w:rsid w:val="00002DD4"/>
    <w:rsid w:val="00002E06"/>
    <w:rsid w:val="00002E13"/>
    <w:rsid w:val="00002E45"/>
    <w:rsid w:val="00002F20"/>
    <w:rsid w:val="00002FB3"/>
    <w:rsid w:val="00003029"/>
    <w:rsid w:val="0000305A"/>
    <w:rsid w:val="00003060"/>
    <w:rsid w:val="000030BF"/>
    <w:rsid w:val="00003157"/>
    <w:rsid w:val="00003158"/>
    <w:rsid w:val="00003253"/>
    <w:rsid w:val="00003286"/>
    <w:rsid w:val="000033CB"/>
    <w:rsid w:val="000035C7"/>
    <w:rsid w:val="000035E0"/>
    <w:rsid w:val="00003618"/>
    <w:rsid w:val="00003626"/>
    <w:rsid w:val="000037A4"/>
    <w:rsid w:val="00003803"/>
    <w:rsid w:val="0000380D"/>
    <w:rsid w:val="00003820"/>
    <w:rsid w:val="000038F5"/>
    <w:rsid w:val="00003974"/>
    <w:rsid w:val="00003C34"/>
    <w:rsid w:val="00003C58"/>
    <w:rsid w:val="00003CE4"/>
    <w:rsid w:val="00003D4A"/>
    <w:rsid w:val="00003DDA"/>
    <w:rsid w:val="00003DE2"/>
    <w:rsid w:val="00003E12"/>
    <w:rsid w:val="00003F00"/>
    <w:rsid w:val="0000403A"/>
    <w:rsid w:val="0000408E"/>
    <w:rsid w:val="00004097"/>
    <w:rsid w:val="0000411B"/>
    <w:rsid w:val="00004140"/>
    <w:rsid w:val="000041F1"/>
    <w:rsid w:val="000042AC"/>
    <w:rsid w:val="000042E1"/>
    <w:rsid w:val="000043AC"/>
    <w:rsid w:val="000044C7"/>
    <w:rsid w:val="000044FD"/>
    <w:rsid w:val="0000453B"/>
    <w:rsid w:val="00004567"/>
    <w:rsid w:val="0000464F"/>
    <w:rsid w:val="0000466F"/>
    <w:rsid w:val="000046AE"/>
    <w:rsid w:val="00004705"/>
    <w:rsid w:val="000047F6"/>
    <w:rsid w:val="00004900"/>
    <w:rsid w:val="00004964"/>
    <w:rsid w:val="00004A60"/>
    <w:rsid w:val="00004A8F"/>
    <w:rsid w:val="00004AB9"/>
    <w:rsid w:val="00004ABD"/>
    <w:rsid w:val="00004B80"/>
    <w:rsid w:val="00004B8C"/>
    <w:rsid w:val="00004BA2"/>
    <w:rsid w:val="00004C67"/>
    <w:rsid w:val="00004C70"/>
    <w:rsid w:val="00004CAA"/>
    <w:rsid w:val="00004D4D"/>
    <w:rsid w:val="00004D70"/>
    <w:rsid w:val="00004E5C"/>
    <w:rsid w:val="00004FB9"/>
    <w:rsid w:val="000050FC"/>
    <w:rsid w:val="0000520A"/>
    <w:rsid w:val="00005271"/>
    <w:rsid w:val="00005297"/>
    <w:rsid w:val="000052A4"/>
    <w:rsid w:val="000052D0"/>
    <w:rsid w:val="000052DA"/>
    <w:rsid w:val="00005339"/>
    <w:rsid w:val="000053B5"/>
    <w:rsid w:val="000053B6"/>
    <w:rsid w:val="0000556F"/>
    <w:rsid w:val="000055F7"/>
    <w:rsid w:val="00005600"/>
    <w:rsid w:val="0000571E"/>
    <w:rsid w:val="0000575F"/>
    <w:rsid w:val="000057AA"/>
    <w:rsid w:val="00005952"/>
    <w:rsid w:val="000059B7"/>
    <w:rsid w:val="00005AA5"/>
    <w:rsid w:val="00005ACD"/>
    <w:rsid w:val="00005B9F"/>
    <w:rsid w:val="00005BB8"/>
    <w:rsid w:val="00005D9E"/>
    <w:rsid w:val="00005DCC"/>
    <w:rsid w:val="00005EF9"/>
    <w:rsid w:val="00005F16"/>
    <w:rsid w:val="0000606D"/>
    <w:rsid w:val="00006073"/>
    <w:rsid w:val="000060EA"/>
    <w:rsid w:val="0000612E"/>
    <w:rsid w:val="0000618B"/>
    <w:rsid w:val="00006266"/>
    <w:rsid w:val="00006273"/>
    <w:rsid w:val="000062F2"/>
    <w:rsid w:val="0000641E"/>
    <w:rsid w:val="0000643D"/>
    <w:rsid w:val="0000645A"/>
    <w:rsid w:val="00006474"/>
    <w:rsid w:val="000064B1"/>
    <w:rsid w:val="0000655D"/>
    <w:rsid w:val="00006617"/>
    <w:rsid w:val="00006628"/>
    <w:rsid w:val="000066BB"/>
    <w:rsid w:val="000066F5"/>
    <w:rsid w:val="00006756"/>
    <w:rsid w:val="00006780"/>
    <w:rsid w:val="00006846"/>
    <w:rsid w:val="0000686A"/>
    <w:rsid w:val="000069CF"/>
    <w:rsid w:val="00006A26"/>
    <w:rsid w:val="00006A78"/>
    <w:rsid w:val="00006A94"/>
    <w:rsid w:val="00006AAD"/>
    <w:rsid w:val="00006AAE"/>
    <w:rsid w:val="00006B55"/>
    <w:rsid w:val="00006BA4"/>
    <w:rsid w:val="00006BB3"/>
    <w:rsid w:val="00006BF7"/>
    <w:rsid w:val="00006C9D"/>
    <w:rsid w:val="00006D5E"/>
    <w:rsid w:val="00006DBD"/>
    <w:rsid w:val="00006E64"/>
    <w:rsid w:val="00006E94"/>
    <w:rsid w:val="00006E9D"/>
    <w:rsid w:val="00007068"/>
    <w:rsid w:val="00007176"/>
    <w:rsid w:val="00007250"/>
    <w:rsid w:val="00007358"/>
    <w:rsid w:val="000073D9"/>
    <w:rsid w:val="000074DB"/>
    <w:rsid w:val="00007509"/>
    <w:rsid w:val="000075A4"/>
    <w:rsid w:val="00007601"/>
    <w:rsid w:val="00007689"/>
    <w:rsid w:val="00007699"/>
    <w:rsid w:val="00007866"/>
    <w:rsid w:val="00007874"/>
    <w:rsid w:val="000078A0"/>
    <w:rsid w:val="000079CB"/>
    <w:rsid w:val="000079F6"/>
    <w:rsid w:val="00007AB0"/>
    <w:rsid w:val="00007AFE"/>
    <w:rsid w:val="00007B45"/>
    <w:rsid w:val="00007C68"/>
    <w:rsid w:val="00007C95"/>
    <w:rsid w:val="00007CED"/>
    <w:rsid w:val="00007DC3"/>
    <w:rsid w:val="00007E0B"/>
    <w:rsid w:val="00007F64"/>
    <w:rsid w:val="00007F74"/>
    <w:rsid w:val="000080A8"/>
    <w:rsid w:val="0001006C"/>
    <w:rsid w:val="0001008B"/>
    <w:rsid w:val="000101FA"/>
    <w:rsid w:val="000102AE"/>
    <w:rsid w:val="0001039A"/>
    <w:rsid w:val="00010438"/>
    <w:rsid w:val="000104A8"/>
    <w:rsid w:val="00010510"/>
    <w:rsid w:val="000105AE"/>
    <w:rsid w:val="000106F5"/>
    <w:rsid w:val="00010725"/>
    <w:rsid w:val="00010829"/>
    <w:rsid w:val="00010860"/>
    <w:rsid w:val="000108E3"/>
    <w:rsid w:val="00010965"/>
    <w:rsid w:val="00010A8C"/>
    <w:rsid w:val="00010B4E"/>
    <w:rsid w:val="00010B7A"/>
    <w:rsid w:val="00010C52"/>
    <w:rsid w:val="00010C59"/>
    <w:rsid w:val="00010C83"/>
    <w:rsid w:val="00010D1C"/>
    <w:rsid w:val="00010D48"/>
    <w:rsid w:val="00010D96"/>
    <w:rsid w:val="00010E48"/>
    <w:rsid w:val="00010F31"/>
    <w:rsid w:val="00010F8F"/>
    <w:rsid w:val="00010FAE"/>
    <w:rsid w:val="0001105C"/>
    <w:rsid w:val="00011131"/>
    <w:rsid w:val="0001116A"/>
    <w:rsid w:val="00011173"/>
    <w:rsid w:val="0001128F"/>
    <w:rsid w:val="00011312"/>
    <w:rsid w:val="00011319"/>
    <w:rsid w:val="00011340"/>
    <w:rsid w:val="00011363"/>
    <w:rsid w:val="0001137A"/>
    <w:rsid w:val="000113E8"/>
    <w:rsid w:val="00011438"/>
    <w:rsid w:val="000114BB"/>
    <w:rsid w:val="000114DB"/>
    <w:rsid w:val="000114E0"/>
    <w:rsid w:val="00011579"/>
    <w:rsid w:val="00011725"/>
    <w:rsid w:val="000117A7"/>
    <w:rsid w:val="00011978"/>
    <w:rsid w:val="00011990"/>
    <w:rsid w:val="00011992"/>
    <w:rsid w:val="000119AE"/>
    <w:rsid w:val="00011A01"/>
    <w:rsid w:val="00011A85"/>
    <w:rsid w:val="00011B18"/>
    <w:rsid w:val="00011B9B"/>
    <w:rsid w:val="00011BBD"/>
    <w:rsid w:val="00011BC8"/>
    <w:rsid w:val="00011C8A"/>
    <w:rsid w:val="00011D0B"/>
    <w:rsid w:val="00011DD1"/>
    <w:rsid w:val="00011E18"/>
    <w:rsid w:val="00011E64"/>
    <w:rsid w:val="00011E78"/>
    <w:rsid w:val="00012050"/>
    <w:rsid w:val="00012093"/>
    <w:rsid w:val="00012113"/>
    <w:rsid w:val="0001217F"/>
    <w:rsid w:val="0001223C"/>
    <w:rsid w:val="000122B7"/>
    <w:rsid w:val="0001241F"/>
    <w:rsid w:val="00012465"/>
    <w:rsid w:val="000124D7"/>
    <w:rsid w:val="000125C6"/>
    <w:rsid w:val="0001265E"/>
    <w:rsid w:val="000126A4"/>
    <w:rsid w:val="00012700"/>
    <w:rsid w:val="00012733"/>
    <w:rsid w:val="00012AE0"/>
    <w:rsid w:val="00012B27"/>
    <w:rsid w:val="00012C36"/>
    <w:rsid w:val="00012C48"/>
    <w:rsid w:val="00012C62"/>
    <w:rsid w:val="00012C87"/>
    <w:rsid w:val="00012CA5"/>
    <w:rsid w:val="00012CC0"/>
    <w:rsid w:val="00012D1B"/>
    <w:rsid w:val="00012DBC"/>
    <w:rsid w:val="00012E77"/>
    <w:rsid w:val="00012F04"/>
    <w:rsid w:val="00012F18"/>
    <w:rsid w:val="00012FD9"/>
    <w:rsid w:val="00012FDC"/>
    <w:rsid w:val="000130BB"/>
    <w:rsid w:val="000130E3"/>
    <w:rsid w:val="000131DF"/>
    <w:rsid w:val="00013209"/>
    <w:rsid w:val="00013223"/>
    <w:rsid w:val="00013281"/>
    <w:rsid w:val="0001328C"/>
    <w:rsid w:val="000132B1"/>
    <w:rsid w:val="000132D9"/>
    <w:rsid w:val="00013332"/>
    <w:rsid w:val="00013389"/>
    <w:rsid w:val="00013442"/>
    <w:rsid w:val="00013594"/>
    <w:rsid w:val="00013672"/>
    <w:rsid w:val="0001369E"/>
    <w:rsid w:val="0001370C"/>
    <w:rsid w:val="00013765"/>
    <w:rsid w:val="000137DD"/>
    <w:rsid w:val="00013803"/>
    <w:rsid w:val="00013894"/>
    <w:rsid w:val="000138A7"/>
    <w:rsid w:val="000138A8"/>
    <w:rsid w:val="0001396A"/>
    <w:rsid w:val="0001399B"/>
    <w:rsid w:val="00013A45"/>
    <w:rsid w:val="00013ACA"/>
    <w:rsid w:val="00013B03"/>
    <w:rsid w:val="00013B59"/>
    <w:rsid w:val="00013B8F"/>
    <w:rsid w:val="00013C69"/>
    <w:rsid w:val="00013D40"/>
    <w:rsid w:val="00013D9D"/>
    <w:rsid w:val="00013DBE"/>
    <w:rsid w:val="00013DC1"/>
    <w:rsid w:val="00013E9A"/>
    <w:rsid w:val="00013EE5"/>
    <w:rsid w:val="00013EF5"/>
    <w:rsid w:val="00013F38"/>
    <w:rsid w:val="00013F4E"/>
    <w:rsid w:val="00013FED"/>
    <w:rsid w:val="00014092"/>
    <w:rsid w:val="00014101"/>
    <w:rsid w:val="00014136"/>
    <w:rsid w:val="0001416C"/>
    <w:rsid w:val="0001420E"/>
    <w:rsid w:val="00014237"/>
    <w:rsid w:val="00014281"/>
    <w:rsid w:val="0001436D"/>
    <w:rsid w:val="00014375"/>
    <w:rsid w:val="0001438E"/>
    <w:rsid w:val="000144FF"/>
    <w:rsid w:val="00014501"/>
    <w:rsid w:val="00014574"/>
    <w:rsid w:val="000145E1"/>
    <w:rsid w:val="0001480E"/>
    <w:rsid w:val="000148AC"/>
    <w:rsid w:val="00014962"/>
    <w:rsid w:val="000149A9"/>
    <w:rsid w:val="000149D8"/>
    <w:rsid w:val="00014A52"/>
    <w:rsid w:val="00014A5F"/>
    <w:rsid w:val="00014AB1"/>
    <w:rsid w:val="00014AB4"/>
    <w:rsid w:val="00014B66"/>
    <w:rsid w:val="00014B84"/>
    <w:rsid w:val="00014C78"/>
    <w:rsid w:val="00014C9C"/>
    <w:rsid w:val="00014CB9"/>
    <w:rsid w:val="00014D0D"/>
    <w:rsid w:val="00014D38"/>
    <w:rsid w:val="00014D60"/>
    <w:rsid w:val="00014E46"/>
    <w:rsid w:val="00014E85"/>
    <w:rsid w:val="00014EB6"/>
    <w:rsid w:val="00014F02"/>
    <w:rsid w:val="00014F8D"/>
    <w:rsid w:val="00014FB6"/>
    <w:rsid w:val="00014FF4"/>
    <w:rsid w:val="0001505E"/>
    <w:rsid w:val="0001510E"/>
    <w:rsid w:val="00015115"/>
    <w:rsid w:val="0001523F"/>
    <w:rsid w:val="000152A0"/>
    <w:rsid w:val="0001544D"/>
    <w:rsid w:val="00015597"/>
    <w:rsid w:val="00015638"/>
    <w:rsid w:val="00015651"/>
    <w:rsid w:val="000157A5"/>
    <w:rsid w:val="0001582A"/>
    <w:rsid w:val="000158E0"/>
    <w:rsid w:val="00015947"/>
    <w:rsid w:val="00015968"/>
    <w:rsid w:val="000159BE"/>
    <w:rsid w:val="000159CF"/>
    <w:rsid w:val="00015A2C"/>
    <w:rsid w:val="00015A46"/>
    <w:rsid w:val="00015CC5"/>
    <w:rsid w:val="00015DB3"/>
    <w:rsid w:val="00015E1B"/>
    <w:rsid w:val="00015E72"/>
    <w:rsid w:val="00015F2C"/>
    <w:rsid w:val="00015F97"/>
    <w:rsid w:val="00015F9B"/>
    <w:rsid w:val="00015FC3"/>
    <w:rsid w:val="00015FCA"/>
    <w:rsid w:val="0001608F"/>
    <w:rsid w:val="000160BE"/>
    <w:rsid w:val="0001615C"/>
    <w:rsid w:val="0001619B"/>
    <w:rsid w:val="000161A7"/>
    <w:rsid w:val="000161B6"/>
    <w:rsid w:val="000161D1"/>
    <w:rsid w:val="00016292"/>
    <w:rsid w:val="00016311"/>
    <w:rsid w:val="0001632C"/>
    <w:rsid w:val="00016354"/>
    <w:rsid w:val="00016469"/>
    <w:rsid w:val="00016575"/>
    <w:rsid w:val="000165A7"/>
    <w:rsid w:val="00016639"/>
    <w:rsid w:val="0001663C"/>
    <w:rsid w:val="0001667E"/>
    <w:rsid w:val="00016731"/>
    <w:rsid w:val="00016791"/>
    <w:rsid w:val="000167E4"/>
    <w:rsid w:val="00016828"/>
    <w:rsid w:val="00016886"/>
    <w:rsid w:val="000169CA"/>
    <w:rsid w:val="00016A1A"/>
    <w:rsid w:val="00016A67"/>
    <w:rsid w:val="00016A94"/>
    <w:rsid w:val="00016BA8"/>
    <w:rsid w:val="00016C7C"/>
    <w:rsid w:val="00016CB7"/>
    <w:rsid w:val="00016CDF"/>
    <w:rsid w:val="00016CED"/>
    <w:rsid w:val="00016F22"/>
    <w:rsid w:val="00016F5F"/>
    <w:rsid w:val="00017028"/>
    <w:rsid w:val="000170C0"/>
    <w:rsid w:val="000170D5"/>
    <w:rsid w:val="000171CF"/>
    <w:rsid w:val="0001723B"/>
    <w:rsid w:val="0001731F"/>
    <w:rsid w:val="00017327"/>
    <w:rsid w:val="00017379"/>
    <w:rsid w:val="00017442"/>
    <w:rsid w:val="00017455"/>
    <w:rsid w:val="0001757B"/>
    <w:rsid w:val="000175E9"/>
    <w:rsid w:val="000176B8"/>
    <w:rsid w:val="00017704"/>
    <w:rsid w:val="00017867"/>
    <w:rsid w:val="00017966"/>
    <w:rsid w:val="0001797D"/>
    <w:rsid w:val="00017A0B"/>
    <w:rsid w:val="00017AAC"/>
    <w:rsid w:val="00017AF6"/>
    <w:rsid w:val="00017C84"/>
    <w:rsid w:val="00017C8A"/>
    <w:rsid w:val="00017CB2"/>
    <w:rsid w:val="00017CBF"/>
    <w:rsid w:val="00017CC1"/>
    <w:rsid w:val="00017D2A"/>
    <w:rsid w:val="00017E09"/>
    <w:rsid w:val="00017EF1"/>
    <w:rsid w:val="00017FFE"/>
    <w:rsid w:val="00020015"/>
    <w:rsid w:val="0002004B"/>
    <w:rsid w:val="000200D9"/>
    <w:rsid w:val="000200DB"/>
    <w:rsid w:val="00020101"/>
    <w:rsid w:val="0002014B"/>
    <w:rsid w:val="0002019F"/>
    <w:rsid w:val="000201D8"/>
    <w:rsid w:val="000202C8"/>
    <w:rsid w:val="000202CA"/>
    <w:rsid w:val="000202D6"/>
    <w:rsid w:val="00020376"/>
    <w:rsid w:val="0002041D"/>
    <w:rsid w:val="00020469"/>
    <w:rsid w:val="0002049F"/>
    <w:rsid w:val="00020515"/>
    <w:rsid w:val="0002064C"/>
    <w:rsid w:val="000206C8"/>
    <w:rsid w:val="0002071A"/>
    <w:rsid w:val="0002077F"/>
    <w:rsid w:val="000207A2"/>
    <w:rsid w:val="000207B6"/>
    <w:rsid w:val="000208F5"/>
    <w:rsid w:val="0002099E"/>
    <w:rsid w:val="000209CE"/>
    <w:rsid w:val="00020A5D"/>
    <w:rsid w:val="00020B01"/>
    <w:rsid w:val="00020B22"/>
    <w:rsid w:val="00020BF6"/>
    <w:rsid w:val="00020CA3"/>
    <w:rsid w:val="00020CAF"/>
    <w:rsid w:val="00020D93"/>
    <w:rsid w:val="00020E07"/>
    <w:rsid w:val="00020E36"/>
    <w:rsid w:val="00020F09"/>
    <w:rsid w:val="00020F63"/>
    <w:rsid w:val="00021024"/>
    <w:rsid w:val="00021080"/>
    <w:rsid w:val="000210CE"/>
    <w:rsid w:val="00021127"/>
    <w:rsid w:val="00021157"/>
    <w:rsid w:val="0002119B"/>
    <w:rsid w:val="000211CB"/>
    <w:rsid w:val="000212CC"/>
    <w:rsid w:val="000212DA"/>
    <w:rsid w:val="000213AA"/>
    <w:rsid w:val="00021423"/>
    <w:rsid w:val="00021535"/>
    <w:rsid w:val="0002156C"/>
    <w:rsid w:val="00021632"/>
    <w:rsid w:val="00021641"/>
    <w:rsid w:val="00021673"/>
    <w:rsid w:val="00021725"/>
    <w:rsid w:val="00021760"/>
    <w:rsid w:val="00021819"/>
    <w:rsid w:val="00021826"/>
    <w:rsid w:val="00021827"/>
    <w:rsid w:val="0002184C"/>
    <w:rsid w:val="000218A3"/>
    <w:rsid w:val="00021950"/>
    <w:rsid w:val="000219B4"/>
    <w:rsid w:val="000219FC"/>
    <w:rsid w:val="00021A4E"/>
    <w:rsid w:val="00021A6F"/>
    <w:rsid w:val="00021AB7"/>
    <w:rsid w:val="00021B36"/>
    <w:rsid w:val="00021B3A"/>
    <w:rsid w:val="00021BBF"/>
    <w:rsid w:val="00021C4F"/>
    <w:rsid w:val="00021D3B"/>
    <w:rsid w:val="00021D5B"/>
    <w:rsid w:val="00021ED3"/>
    <w:rsid w:val="00021FB0"/>
    <w:rsid w:val="00022009"/>
    <w:rsid w:val="00022058"/>
    <w:rsid w:val="00022158"/>
    <w:rsid w:val="0002222D"/>
    <w:rsid w:val="00022299"/>
    <w:rsid w:val="00022400"/>
    <w:rsid w:val="00022416"/>
    <w:rsid w:val="00022438"/>
    <w:rsid w:val="00022503"/>
    <w:rsid w:val="00022662"/>
    <w:rsid w:val="0002269B"/>
    <w:rsid w:val="000226D5"/>
    <w:rsid w:val="00022710"/>
    <w:rsid w:val="00022764"/>
    <w:rsid w:val="00022768"/>
    <w:rsid w:val="0002279A"/>
    <w:rsid w:val="00022807"/>
    <w:rsid w:val="00022906"/>
    <w:rsid w:val="00022A09"/>
    <w:rsid w:val="00022A1B"/>
    <w:rsid w:val="00022A30"/>
    <w:rsid w:val="00022B3E"/>
    <w:rsid w:val="00022B4E"/>
    <w:rsid w:val="00022B70"/>
    <w:rsid w:val="00022B95"/>
    <w:rsid w:val="00022BAD"/>
    <w:rsid w:val="00022BF5"/>
    <w:rsid w:val="00022C4D"/>
    <w:rsid w:val="00022C96"/>
    <w:rsid w:val="00022DDC"/>
    <w:rsid w:val="00022DFC"/>
    <w:rsid w:val="00022E0C"/>
    <w:rsid w:val="00022E43"/>
    <w:rsid w:val="00022F1F"/>
    <w:rsid w:val="00022FED"/>
    <w:rsid w:val="00022FFA"/>
    <w:rsid w:val="00023024"/>
    <w:rsid w:val="000230C4"/>
    <w:rsid w:val="0002316C"/>
    <w:rsid w:val="0002321D"/>
    <w:rsid w:val="00023255"/>
    <w:rsid w:val="00023273"/>
    <w:rsid w:val="00023287"/>
    <w:rsid w:val="000232E4"/>
    <w:rsid w:val="0002332D"/>
    <w:rsid w:val="0002336C"/>
    <w:rsid w:val="000233F3"/>
    <w:rsid w:val="00023433"/>
    <w:rsid w:val="0002344F"/>
    <w:rsid w:val="00023611"/>
    <w:rsid w:val="00023655"/>
    <w:rsid w:val="0002368D"/>
    <w:rsid w:val="0002383D"/>
    <w:rsid w:val="000238B5"/>
    <w:rsid w:val="000238BA"/>
    <w:rsid w:val="000238E6"/>
    <w:rsid w:val="00023916"/>
    <w:rsid w:val="00023976"/>
    <w:rsid w:val="00023A4F"/>
    <w:rsid w:val="00023ABB"/>
    <w:rsid w:val="00023B8F"/>
    <w:rsid w:val="00023DA4"/>
    <w:rsid w:val="00023DF1"/>
    <w:rsid w:val="00023E6B"/>
    <w:rsid w:val="00023EDE"/>
    <w:rsid w:val="00024009"/>
    <w:rsid w:val="00024038"/>
    <w:rsid w:val="00024086"/>
    <w:rsid w:val="000241A6"/>
    <w:rsid w:val="00024212"/>
    <w:rsid w:val="00024269"/>
    <w:rsid w:val="0002426A"/>
    <w:rsid w:val="000242F0"/>
    <w:rsid w:val="00024354"/>
    <w:rsid w:val="00024356"/>
    <w:rsid w:val="00024367"/>
    <w:rsid w:val="000243E8"/>
    <w:rsid w:val="00024428"/>
    <w:rsid w:val="0002444A"/>
    <w:rsid w:val="00024473"/>
    <w:rsid w:val="000244EB"/>
    <w:rsid w:val="00024536"/>
    <w:rsid w:val="000245FC"/>
    <w:rsid w:val="0002471C"/>
    <w:rsid w:val="00024777"/>
    <w:rsid w:val="000247FF"/>
    <w:rsid w:val="00024821"/>
    <w:rsid w:val="0002483D"/>
    <w:rsid w:val="0002486B"/>
    <w:rsid w:val="000248EC"/>
    <w:rsid w:val="000249AD"/>
    <w:rsid w:val="00024A1C"/>
    <w:rsid w:val="00024A29"/>
    <w:rsid w:val="00024A9D"/>
    <w:rsid w:val="00024C8D"/>
    <w:rsid w:val="00024DA3"/>
    <w:rsid w:val="00024E00"/>
    <w:rsid w:val="00024E55"/>
    <w:rsid w:val="00024EBC"/>
    <w:rsid w:val="00024EE3"/>
    <w:rsid w:val="00024FF8"/>
    <w:rsid w:val="000251C4"/>
    <w:rsid w:val="0002521C"/>
    <w:rsid w:val="00025235"/>
    <w:rsid w:val="0002527C"/>
    <w:rsid w:val="00025285"/>
    <w:rsid w:val="000252DE"/>
    <w:rsid w:val="000253A0"/>
    <w:rsid w:val="0002544D"/>
    <w:rsid w:val="0002545D"/>
    <w:rsid w:val="0002547E"/>
    <w:rsid w:val="0002551A"/>
    <w:rsid w:val="00025546"/>
    <w:rsid w:val="00025586"/>
    <w:rsid w:val="00025624"/>
    <w:rsid w:val="0002562E"/>
    <w:rsid w:val="000256AF"/>
    <w:rsid w:val="000256DA"/>
    <w:rsid w:val="000257D3"/>
    <w:rsid w:val="000257FB"/>
    <w:rsid w:val="00025893"/>
    <w:rsid w:val="00025937"/>
    <w:rsid w:val="000259AE"/>
    <w:rsid w:val="000259D4"/>
    <w:rsid w:val="00025AB5"/>
    <w:rsid w:val="00025B34"/>
    <w:rsid w:val="00025C1D"/>
    <w:rsid w:val="00025C43"/>
    <w:rsid w:val="00025C66"/>
    <w:rsid w:val="00025C87"/>
    <w:rsid w:val="00025CD2"/>
    <w:rsid w:val="00025D2B"/>
    <w:rsid w:val="00025DBA"/>
    <w:rsid w:val="00025E17"/>
    <w:rsid w:val="00025F53"/>
    <w:rsid w:val="00026092"/>
    <w:rsid w:val="000261D3"/>
    <w:rsid w:val="000262FB"/>
    <w:rsid w:val="0002639E"/>
    <w:rsid w:val="000263D7"/>
    <w:rsid w:val="00026455"/>
    <w:rsid w:val="000264DC"/>
    <w:rsid w:val="000264FF"/>
    <w:rsid w:val="00026510"/>
    <w:rsid w:val="0002659E"/>
    <w:rsid w:val="00026642"/>
    <w:rsid w:val="00026648"/>
    <w:rsid w:val="00026734"/>
    <w:rsid w:val="00026766"/>
    <w:rsid w:val="00026777"/>
    <w:rsid w:val="000267D2"/>
    <w:rsid w:val="0002681B"/>
    <w:rsid w:val="0002685D"/>
    <w:rsid w:val="000268C0"/>
    <w:rsid w:val="00026AA1"/>
    <w:rsid w:val="00026B12"/>
    <w:rsid w:val="00026B63"/>
    <w:rsid w:val="00026B80"/>
    <w:rsid w:val="00026BC2"/>
    <w:rsid w:val="00026C82"/>
    <w:rsid w:val="00026D61"/>
    <w:rsid w:val="00026E3A"/>
    <w:rsid w:val="00026E89"/>
    <w:rsid w:val="00026E98"/>
    <w:rsid w:val="00026EF3"/>
    <w:rsid w:val="00026FEF"/>
    <w:rsid w:val="00027046"/>
    <w:rsid w:val="000271C0"/>
    <w:rsid w:val="00027250"/>
    <w:rsid w:val="00027266"/>
    <w:rsid w:val="0002727B"/>
    <w:rsid w:val="0002733F"/>
    <w:rsid w:val="00027387"/>
    <w:rsid w:val="00027573"/>
    <w:rsid w:val="0002769D"/>
    <w:rsid w:val="00027725"/>
    <w:rsid w:val="00027748"/>
    <w:rsid w:val="0002789C"/>
    <w:rsid w:val="000278B6"/>
    <w:rsid w:val="00027958"/>
    <w:rsid w:val="000279E9"/>
    <w:rsid w:val="00027A6D"/>
    <w:rsid w:val="00027A7A"/>
    <w:rsid w:val="00027AC1"/>
    <w:rsid w:val="00027B36"/>
    <w:rsid w:val="00027B73"/>
    <w:rsid w:val="00027B9D"/>
    <w:rsid w:val="00027C34"/>
    <w:rsid w:val="00027C59"/>
    <w:rsid w:val="00027D13"/>
    <w:rsid w:val="00027D86"/>
    <w:rsid w:val="00027E82"/>
    <w:rsid w:val="00027F28"/>
    <w:rsid w:val="00027FA0"/>
    <w:rsid w:val="00027FA9"/>
    <w:rsid w:val="00027FB8"/>
    <w:rsid w:val="00030060"/>
    <w:rsid w:val="0003007B"/>
    <w:rsid w:val="000300E6"/>
    <w:rsid w:val="00030104"/>
    <w:rsid w:val="00030269"/>
    <w:rsid w:val="0003037D"/>
    <w:rsid w:val="000303C1"/>
    <w:rsid w:val="00030430"/>
    <w:rsid w:val="00030452"/>
    <w:rsid w:val="0003045D"/>
    <w:rsid w:val="000305CF"/>
    <w:rsid w:val="000306AF"/>
    <w:rsid w:val="0003079D"/>
    <w:rsid w:val="0003081A"/>
    <w:rsid w:val="0003083C"/>
    <w:rsid w:val="000308F3"/>
    <w:rsid w:val="00030A02"/>
    <w:rsid w:val="00030AE3"/>
    <w:rsid w:val="00030B62"/>
    <w:rsid w:val="00030B83"/>
    <w:rsid w:val="00030C4C"/>
    <w:rsid w:val="00030D6C"/>
    <w:rsid w:val="00030D89"/>
    <w:rsid w:val="00030DF0"/>
    <w:rsid w:val="00030EA4"/>
    <w:rsid w:val="00030FE4"/>
    <w:rsid w:val="00031035"/>
    <w:rsid w:val="00031126"/>
    <w:rsid w:val="000311DA"/>
    <w:rsid w:val="00031299"/>
    <w:rsid w:val="000312AF"/>
    <w:rsid w:val="000312BF"/>
    <w:rsid w:val="000312F8"/>
    <w:rsid w:val="00031350"/>
    <w:rsid w:val="0003138F"/>
    <w:rsid w:val="00031413"/>
    <w:rsid w:val="00031462"/>
    <w:rsid w:val="000315B9"/>
    <w:rsid w:val="0003160F"/>
    <w:rsid w:val="00031614"/>
    <w:rsid w:val="00031668"/>
    <w:rsid w:val="00031699"/>
    <w:rsid w:val="00031726"/>
    <w:rsid w:val="00031753"/>
    <w:rsid w:val="00031818"/>
    <w:rsid w:val="00031824"/>
    <w:rsid w:val="00031890"/>
    <w:rsid w:val="000318BE"/>
    <w:rsid w:val="000318FE"/>
    <w:rsid w:val="00031960"/>
    <w:rsid w:val="0003197D"/>
    <w:rsid w:val="00031982"/>
    <w:rsid w:val="00031A0F"/>
    <w:rsid w:val="00031AA7"/>
    <w:rsid w:val="00031AE9"/>
    <w:rsid w:val="00031C36"/>
    <w:rsid w:val="00031CDA"/>
    <w:rsid w:val="00031D17"/>
    <w:rsid w:val="00031D49"/>
    <w:rsid w:val="00031E0E"/>
    <w:rsid w:val="00031E6E"/>
    <w:rsid w:val="00031F0D"/>
    <w:rsid w:val="00031F1E"/>
    <w:rsid w:val="00031F65"/>
    <w:rsid w:val="0003205C"/>
    <w:rsid w:val="0003221A"/>
    <w:rsid w:val="0003221F"/>
    <w:rsid w:val="00032276"/>
    <w:rsid w:val="00032295"/>
    <w:rsid w:val="000322F4"/>
    <w:rsid w:val="0003249E"/>
    <w:rsid w:val="0003257F"/>
    <w:rsid w:val="000325A7"/>
    <w:rsid w:val="0003260D"/>
    <w:rsid w:val="00032679"/>
    <w:rsid w:val="00032697"/>
    <w:rsid w:val="000327E7"/>
    <w:rsid w:val="000327F5"/>
    <w:rsid w:val="0003284C"/>
    <w:rsid w:val="0003289C"/>
    <w:rsid w:val="00032960"/>
    <w:rsid w:val="0003298F"/>
    <w:rsid w:val="00032A6E"/>
    <w:rsid w:val="00032AB8"/>
    <w:rsid w:val="00032AF7"/>
    <w:rsid w:val="00032B72"/>
    <w:rsid w:val="00032B77"/>
    <w:rsid w:val="00032C00"/>
    <w:rsid w:val="00032D38"/>
    <w:rsid w:val="00032DBB"/>
    <w:rsid w:val="00032DDF"/>
    <w:rsid w:val="00032E22"/>
    <w:rsid w:val="00032EC9"/>
    <w:rsid w:val="00032F4D"/>
    <w:rsid w:val="00033094"/>
    <w:rsid w:val="000330E1"/>
    <w:rsid w:val="000330EC"/>
    <w:rsid w:val="000330F3"/>
    <w:rsid w:val="00033116"/>
    <w:rsid w:val="00033122"/>
    <w:rsid w:val="0003314E"/>
    <w:rsid w:val="00033184"/>
    <w:rsid w:val="000331DC"/>
    <w:rsid w:val="000331F9"/>
    <w:rsid w:val="0003320B"/>
    <w:rsid w:val="0003326C"/>
    <w:rsid w:val="00033344"/>
    <w:rsid w:val="00033371"/>
    <w:rsid w:val="000333B9"/>
    <w:rsid w:val="00033442"/>
    <w:rsid w:val="0003354A"/>
    <w:rsid w:val="00033626"/>
    <w:rsid w:val="00033633"/>
    <w:rsid w:val="00033648"/>
    <w:rsid w:val="0003371E"/>
    <w:rsid w:val="0003372C"/>
    <w:rsid w:val="00033739"/>
    <w:rsid w:val="00033777"/>
    <w:rsid w:val="0003377D"/>
    <w:rsid w:val="000338B3"/>
    <w:rsid w:val="00033A3C"/>
    <w:rsid w:val="00033BE2"/>
    <w:rsid w:val="00033C62"/>
    <w:rsid w:val="00033C6E"/>
    <w:rsid w:val="00033C83"/>
    <w:rsid w:val="00033D17"/>
    <w:rsid w:val="00033D24"/>
    <w:rsid w:val="00033D80"/>
    <w:rsid w:val="00033DDD"/>
    <w:rsid w:val="00033EC8"/>
    <w:rsid w:val="00033ED2"/>
    <w:rsid w:val="00033FC8"/>
    <w:rsid w:val="0003401C"/>
    <w:rsid w:val="000340A4"/>
    <w:rsid w:val="00034111"/>
    <w:rsid w:val="00034166"/>
    <w:rsid w:val="000341B3"/>
    <w:rsid w:val="0003422C"/>
    <w:rsid w:val="00034274"/>
    <w:rsid w:val="000342B5"/>
    <w:rsid w:val="000342DB"/>
    <w:rsid w:val="00034351"/>
    <w:rsid w:val="00034457"/>
    <w:rsid w:val="00034497"/>
    <w:rsid w:val="00034570"/>
    <w:rsid w:val="00034603"/>
    <w:rsid w:val="00034607"/>
    <w:rsid w:val="0003464D"/>
    <w:rsid w:val="0003482E"/>
    <w:rsid w:val="0003485F"/>
    <w:rsid w:val="00034947"/>
    <w:rsid w:val="00034AD3"/>
    <w:rsid w:val="00034B5C"/>
    <w:rsid w:val="00034C6D"/>
    <w:rsid w:val="00034C99"/>
    <w:rsid w:val="00034CB8"/>
    <w:rsid w:val="00034D77"/>
    <w:rsid w:val="00034DCB"/>
    <w:rsid w:val="00034E2C"/>
    <w:rsid w:val="00034E2D"/>
    <w:rsid w:val="00034EF4"/>
    <w:rsid w:val="00034FBA"/>
    <w:rsid w:val="00034FDD"/>
    <w:rsid w:val="00035002"/>
    <w:rsid w:val="0003503C"/>
    <w:rsid w:val="00035243"/>
    <w:rsid w:val="00035258"/>
    <w:rsid w:val="0003530B"/>
    <w:rsid w:val="0003536D"/>
    <w:rsid w:val="0003540B"/>
    <w:rsid w:val="000354B9"/>
    <w:rsid w:val="0003550C"/>
    <w:rsid w:val="0003552B"/>
    <w:rsid w:val="000355AA"/>
    <w:rsid w:val="0003562F"/>
    <w:rsid w:val="000356C8"/>
    <w:rsid w:val="00035731"/>
    <w:rsid w:val="000357D6"/>
    <w:rsid w:val="00035830"/>
    <w:rsid w:val="00035A76"/>
    <w:rsid w:val="00035AE1"/>
    <w:rsid w:val="00035B07"/>
    <w:rsid w:val="00035BBA"/>
    <w:rsid w:val="00035D3D"/>
    <w:rsid w:val="00035D59"/>
    <w:rsid w:val="00035DAF"/>
    <w:rsid w:val="00035FE5"/>
    <w:rsid w:val="00036073"/>
    <w:rsid w:val="000360FB"/>
    <w:rsid w:val="0003617B"/>
    <w:rsid w:val="000361D4"/>
    <w:rsid w:val="000361E3"/>
    <w:rsid w:val="0003623A"/>
    <w:rsid w:val="000362F4"/>
    <w:rsid w:val="0003631A"/>
    <w:rsid w:val="0003636A"/>
    <w:rsid w:val="00036444"/>
    <w:rsid w:val="000366F3"/>
    <w:rsid w:val="000366F7"/>
    <w:rsid w:val="0003670D"/>
    <w:rsid w:val="00036906"/>
    <w:rsid w:val="0003697D"/>
    <w:rsid w:val="00036982"/>
    <w:rsid w:val="000369A1"/>
    <w:rsid w:val="000369EB"/>
    <w:rsid w:val="00036B9C"/>
    <w:rsid w:val="00036BDE"/>
    <w:rsid w:val="00036BEF"/>
    <w:rsid w:val="00036BFD"/>
    <w:rsid w:val="00036CEC"/>
    <w:rsid w:val="00036D70"/>
    <w:rsid w:val="00036DF1"/>
    <w:rsid w:val="00036E56"/>
    <w:rsid w:val="00036E77"/>
    <w:rsid w:val="00036F3B"/>
    <w:rsid w:val="00036F5A"/>
    <w:rsid w:val="00036F6B"/>
    <w:rsid w:val="00036FC1"/>
    <w:rsid w:val="00036FD9"/>
    <w:rsid w:val="00037032"/>
    <w:rsid w:val="000370A8"/>
    <w:rsid w:val="00037170"/>
    <w:rsid w:val="000371BD"/>
    <w:rsid w:val="000372A3"/>
    <w:rsid w:val="000372F1"/>
    <w:rsid w:val="0003737E"/>
    <w:rsid w:val="000373B2"/>
    <w:rsid w:val="000374F0"/>
    <w:rsid w:val="00037512"/>
    <w:rsid w:val="00037513"/>
    <w:rsid w:val="000375A9"/>
    <w:rsid w:val="0003767B"/>
    <w:rsid w:val="00037711"/>
    <w:rsid w:val="00037794"/>
    <w:rsid w:val="000377BF"/>
    <w:rsid w:val="000377CA"/>
    <w:rsid w:val="00037828"/>
    <w:rsid w:val="0003782A"/>
    <w:rsid w:val="000378C0"/>
    <w:rsid w:val="000378DD"/>
    <w:rsid w:val="00037908"/>
    <w:rsid w:val="000379C0"/>
    <w:rsid w:val="00037ACB"/>
    <w:rsid w:val="00037AEA"/>
    <w:rsid w:val="00037AF9"/>
    <w:rsid w:val="00037B2A"/>
    <w:rsid w:val="00037B9B"/>
    <w:rsid w:val="00037BDA"/>
    <w:rsid w:val="00037C02"/>
    <w:rsid w:val="00037CB5"/>
    <w:rsid w:val="00037E5F"/>
    <w:rsid w:val="00037F01"/>
    <w:rsid w:val="00037F6F"/>
    <w:rsid w:val="00037FE0"/>
    <w:rsid w:val="00040078"/>
    <w:rsid w:val="00040155"/>
    <w:rsid w:val="00040208"/>
    <w:rsid w:val="00040334"/>
    <w:rsid w:val="00040375"/>
    <w:rsid w:val="000403D9"/>
    <w:rsid w:val="00040405"/>
    <w:rsid w:val="00040435"/>
    <w:rsid w:val="00040629"/>
    <w:rsid w:val="0004063E"/>
    <w:rsid w:val="00040748"/>
    <w:rsid w:val="000407AE"/>
    <w:rsid w:val="000407E6"/>
    <w:rsid w:val="0004084C"/>
    <w:rsid w:val="000408C7"/>
    <w:rsid w:val="000408E1"/>
    <w:rsid w:val="0004092D"/>
    <w:rsid w:val="00040988"/>
    <w:rsid w:val="0004098C"/>
    <w:rsid w:val="000409D6"/>
    <w:rsid w:val="00040A70"/>
    <w:rsid w:val="00040B6A"/>
    <w:rsid w:val="00040BFA"/>
    <w:rsid w:val="00040C26"/>
    <w:rsid w:val="00040C91"/>
    <w:rsid w:val="00040D56"/>
    <w:rsid w:val="00040D81"/>
    <w:rsid w:val="00040DAA"/>
    <w:rsid w:val="00040DD7"/>
    <w:rsid w:val="00040E2A"/>
    <w:rsid w:val="00040EDC"/>
    <w:rsid w:val="00040F3B"/>
    <w:rsid w:val="00040F40"/>
    <w:rsid w:val="00040FDF"/>
    <w:rsid w:val="00041005"/>
    <w:rsid w:val="0004100E"/>
    <w:rsid w:val="0004106D"/>
    <w:rsid w:val="00041081"/>
    <w:rsid w:val="000410AB"/>
    <w:rsid w:val="000410B6"/>
    <w:rsid w:val="0004110E"/>
    <w:rsid w:val="000411B9"/>
    <w:rsid w:val="000411DE"/>
    <w:rsid w:val="00041243"/>
    <w:rsid w:val="000412CA"/>
    <w:rsid w:val="000413A9"/>
    <w:rsid w:val="000413D9"/>
    <w:rsid w:val="00041497"/>
    <w:rsid w:val="000414A0"/>
    <w:rsid w:val="000414EC"/>
    <w:rsid w:val="0004151A"/>
    <w:rsid w:val="00041562"/>
    <w:rsid w:val="00041572"/>
    <w:rsid w:val="00041577"/>
    <w:rsid w:val="000415A8"/>
    <w:rsid w:val="00041669"/>
    <w:rsid w:val="00041736"/>
    <w:rsid w:val="00041766"/>
    <w:rsid w:val="00041770"/>
    <w:rsid w:val="0004177E"/>
    <w:rsid w:val="000417F6"/>
    <w:rsid w:val="000417FA"/>
    <w:rsid w:val="000417FE"/>
    <w:rsid w:val="0004182F"/>
    <w:rsid w:val="00041892"/>
    <w:rsid w:val="0004198B"/>
    <w:rsid w:val="0004199D"/>
    <w:rsid w:val="000419D9"/>
    <w:rsid w:val="00041B34"/>
    <w:rsid w:val="00041B53"/>
    <w:rsid w:val="00041B5C"/>
    <w:rsid w:val="00041B92"/>
    <w:rsid w:val="00041C17"/>
    <w:rsid w:val="00041C31"/>
    <w:rsid w:val="00041E44"/>
    <w:rsid w:val="00041E50"/>
    <w:rsid w:val="00041F1A"/>
    <w:rsid w:val="00041FD0"/>
    <w:rsid w:val="000420BE"/>
    <w:rsid w:val="00042141"/>
    <w:rsid w:val="000421AC"/>
    <w:rsid w:val="00042271"/>
    <w:rsid w:val="00042274"/>
    <w:rsid w:val="000422D9"/>
    <w:rsid w:val="000422E1"/>
    <w:rsid w:val="000423FB"/>
    <w:rsid w:val="0004244B"/>
    <w:rsid w:val="00042476"/>
    <w:rsid w:val="000424AB"/>
    <w:rsid w:val="0004266F"/>
    <w:rsid w:val="00042673"/>
    <w:rsid w:val="00042693"/>
    <w:rsid w:val="000426F8"/>
    <w:rsid w:val="0004274D"/>
    <w:rsid w:val="000427CF"/>
    <w:rsid w:val="000428F6"/>
    <w:rsid w:val="0004292D"/>
    <w:rsid w:val="00042AA7"/>
    <w:rsid w:val="00042ABF"/>
    <w:rsid w:val="00042AF6"/>
    <w:rsid w:val="00042BEC"/>
    <w:rsid w:val="00042C0E"/>
    <w:rsid w:val="00042C12"/>
    <w:rsid w:val="00042D8D"/>
    <w:rsid w:val="00042DD6"/>
    <w:rsid w:val="00042E5F"/>
    <w:rsid w:val="00042EAD"/>
    <w:rsid w:val="00042EC7"/>
    <w:rsid w:val="00043018"/>
    <w:rsid w:val="00043075"/>
    <w:rsid w:val="000430C9"/>
    <w:rsid w:val="00043109"/>
    <w:rsid w:val="00043203"/>
    <w:rsid w:val="0004322D"/>
    <w:rsid w:val="000432A7"/>
    <w:rsid w:val="000432C2"/>
    <w:rsid w:val="00043348"/>
    <w:rsid w:val="00043405"/>
    <w:rsid w:val="0004346A"/>
    <w:rsid w:val="00043523"/>
    <w:rsid w:val="00043539"/>
    <w:rsid w:val="000435DF"/>
    <w:rsid w:val="00043603"/>
    <w:rsid w:val="0004365C"/>
    <w:rsid w:val="000436C5"/>
    <w:rsid w:val="00043707"/>
    <w:rsid w:val="00043946"/>
    <w:rsid w:val="0004399D"/>
    <w:rsid w:val="000439EE"/>
    <w:rsid w:val="000439FC"/>
    <w:rsid w:val="00043AEC"/>
    <w:rsid w:val="00043AEF"/>
    <w:rsid w:val="00043B8C"/>
    <w:rsid w:val="00043BD9"/>
    <w:rsid w:val="00043CB3"/>
    <w:rsid w:val="00043CB6"/>
    <w:rsid w:val="00043CF2"/>
    <w:rsid w:val="00043D0F"/>
    <w:rsid w:val="00043D8D"/>
    <w:rsid w:val="00043DA0"/>
    <w:rsid w:val="00043DAE"/>
    <w:rsid w:val="00043DC9"/>
    <w:rsid w:val="00043E4E"/>
    <w:rsid w:val="00043E6B"/>
    <w:rsid w:val="00044057"/>
    <w:rsid w:val="000440B2"/>
    <w:rsid w:val="00044134"/>
    <w:rsid w:val="0004418E"/>
    <w:rsid w:val="00044195"/>
    <w:rsid w:val="000441FD"/>
    <w:rsid w:val="00044394"/>
    <w:rsid w:val="000443E0"/>
    <w:rsid w:val="00044421"/>
    <w:rsid w:val="00044435"/>
    <w:rsid w:val="000444B3"/>
    <w:rsid w:val="00044530"/>
    <w:rsid w:val="00044535"/>
    <w:rsid w:val="00044590"/>
    <w:rsid w:val="00044634"/>
    <w:rsid w:val="00044638"/>
    <w:rsid w:val="0004466F"/>
    <w:rsid w:val="00044759"/>
    <w:rsid w:val="00044781"/>
    <w:rsid w:val="000447D5"/>
    <w:rsid w:val="00044802"/>
    <w:rsid w:val="0004483D"/>
    <w:rsid w:val="0004483F"/>
    <w:rsid w:val="0004492B"/>
    <w:rsid w:val="0004498C"/>
    <w:rsid w:val="000449F1"/>
    <w:rsid w:val="00044A37"/>
    <w:rsid w:val="00044BF0"/>
    <w:rsid w:val="00044C20"/>
    <w:rsid w:val="00044C71"/>
    <w:rsid w:val="00044D4E"/>
    <w:rsid w:val="00044DFC"/>
    <w:rsid w:val="00044E29"/>
    <w:rsid w:val="00044E44"/>
    <w:rsid w:val="00044EAA"/>
    <w:rsid w:val="00044F0B"/>
    <w:rsid w:val="00044F3E"/>
    <w:rsid w:val="00045166"/>
    <w:rsid w:val="00045294"/>
    <w:rsid w:val="000452CB"/>
    <w:rsid w:val="000452FE"/>
    <w:rsid w:val="00045637"/>
    <w:rsid w:val="00045679"/>
    <w:rsid w:val="00045681"/>
    <w:rsid w:val="000456F2"/>
    <w:rsid w:val="00045700"/>
    <w:rsid w:val="0004589C"/>
    <w:rsid w:val="000458E8"/>
    <w:rsid w:val="00045A04"/>
    <w:rsid w:val="00045A4D"/>
    <w:rsid w:val="00045B6E"/>
    <w:rsid w:val="00045BD1"/>
    <w:rsid w:val="00045BFE"/>
    <w:rsid w:val="00045C04"/>
    <w:rsid w:val="00045CA8"/>
    <w:rsid w:val="00045DDD"/>
    <w:rsid w:val="00045F7A"/>
    <w:rsid w:val="00045F98"/>
    <w:rsid w:val="00045F9D"/>
    <w:rsid w:val="00045FA1"/>
    <w:rsid w:val="00046031"/>
    <w:rsid w:val="00046050"/>
    <w:rsid w:val="000460DF"/>
    <w:rsid w:val="000461A4"/>
    <w:rsid w:val="00046200"/>
    <w:rsid w:val="00046585"/>
    <w:rsid w:val="0004660C"/>
    <w:rsid w:val="0004664E"/>
    <w:rsid w:val="00046656"/>
    <w:rsid w:val="00046755"/>
    <w:rsid w:val="000467B4"/>
    <w:rsid w:val="000467CE"/>
    <w:rsid w:val="000468F4"/>
    <w:rsid w:val="00046916"/>
    <w:rsid w:val="0004697B"/>
    <w:rsid w:val="00046983"/>
    <w:rsid w:val="0004698A"/>
    <w:rsid w:val="00046997"/>
    <w:rsid w:val="000469B9"/>
    <w:rsid w:val="000469F7"/>
    <w:rsid w:val="00046A3E"/>
    <w:rsid w:val="00046A68"/>
    <w:rsid w:val="00046B01"/>
    <w:rsid w:val="00046B10"/>
    <w:rsid w:val="00046B52"/>
    <w:rsid w:val="00046B73"/>
    <w:rsid w:val="00046C81"/>
    <w:rsid w:val="00046CB4"/>
    <w:rsid w:val="00046CC7"/>
    <w:rsid w:val="00046D93"/>
    <w:rsid w:val="00046DD8"/>
    <w:rsid w:val="00046E02"/>
    <w:rsid w:val="00046E6A"/>
    <w:rsid w:val="00046E9B"/>
    <w:rsid w:val="00046EAC"/>
    <w:rsid w:val="00047090"/>
    <w:rsid w:val="000470F3"/>
    <w:rsid w:val="00047121"/>
    <w:rsid w:val="0004720A"/>
    <w:rsid w:val="0004723E"/>
    <w:rsid w:val="000472AD"/>
    <w:rsid w:val="0004739A"/>
    <w:rsid w:val="0004739D"/>
    <w:rsid w:val="000473E8"/>
    <w:rsid w:val="00047408"/>
    <w:rsid w:val="000474BF"/>
    <w:rsid w:val="000474CD"/>
    <w:rsid w:val="000474E3"/>
    <w:rsid w:val="00047792"/>
    <w:rsid w:val="0004780F"/>
    <w:rsid w:val="000478AB"/>
    <w:rsid w:val="000478B6"/>
    <w:rsid w:val="000478F3"/>
    <w:rsid w:val="00047998"/>
    <w:rsid w:val="00047A92"/>
    <w:rsid w:val="00047AAD"/>
    <w:rsid w:val="00047ABF"/>
    <w:rsid w:val="00047AFC"/>
    <w:rsid w:val="00047B3B"/>
    <w:rsid w:val="00047B61"/>
    <w:rsid w:val="00047D74"/>
    <w:rsid w:val="00047E0A"/>
    <w:rsid w:val="00047ECD"/>
    <w:rsid w:val="00047F23"/>
    <w:rsid w:val="00047F9B"/>
    <w:rsid w:val="0005012D"/>
    <w:rsid w:val="00050178"/>
    <w:rsid w:val="00050280"/>
    <w:rsid w:val="000502A9"/>
    <w:rsid w:val="00050338"/>
    <w:rsid w:val="000503BC"/>
    <w:rsid w:val="000503DC"/>
    <w:rsid w:val="000504D0"/>
    <w:rsid w:val="0005057A"/>
    <w:rsid w:val="000505C9"/>
    <w:rsid w:val="0005062D"/>
    <w:rsid w:val="000506AD"/>
    <w:rsid w:val="000506C3"/>
    <w:rsid w:val="00050703"/>
    <w:rsid w:val="00050896"/>
    <w:rsid w:val="000508AD"/>
    <w:rsid w:val="0005097B"/>
    <w:rsid w:val="00050A6E"/>
    <w:rsid w:val="00050AA5"/>
    <w:rsid w:val="00050B5F"/>
    <w:rsid w:val="00050BA7"/>
    <w:rsid w:val="00050C30"/>
    <w:rsid w:val="00050C5C"/>
    <w:rsid w:val="00050CA3"/>
    <w:rsid w:val="00050D70"/>
    <w:rsid w:val="00050E5F"/>
    <w:rsid w:val="00050EAB"/>
    <w:rsid w:val="00050F4E"/>
    <w:rsid w:val="00050F60"/>
    <w:rsid w:val="00050FC6"/>
    <w:rsid w:val="00051012"/>
    <w:rsid w:val="00051018"/>
    <w:rsid w:val="000510B0"/>
    <w:rsid w:val="000510C1"/>
    <w:rsid w:val="00051173"/>
    <w:rsid w:val="0005119D"/>
    <w:rsid w:val="000511D2"/>
    <w:rsid w:val="0005123E"/>
    <w:rsid w:val="0005127F"/>
    <w:rsid w:val="00051281"/>
    <w:rsid w:val="000512B1"/>
    <w:rsid w:val="00051327"/>
    <w:rsid w:val="00051367"/>
    <w:rsid w:val="0005138B"/>
    <w:rsid w:val="00051435"/>
    <w:rsid w:val="000514FD"/>
    <w:rsid w:val="000515B8"/>
    <w:rsid w:val="00051721"/>
    <w:rsid w:val="00051736"/>
    <w:rsid w:val="0005177C"/>
    <w:rsid w:val="000517C8"/>
    <w:rsid w:val="00051833"/>
    <w:rsid w:val="0005184C"/>
    <w:rsid w:val="0005186B"/>
    <w:rsid w:val="000518C3"/>
    <w:rsid w:val="000518D8"/>
    <w:rsid w:val="00051972"/>
    <w:rsid w:val="00051AEE"/>
    <w:rsid w:val="00051BF5"/>
    <w:rsid w:val="00051C9A"/>
    <w:rsid w:val="00051E4F"/>
    <w:rsid w:val="00051F38"/>
    <w:rsid w:val="00051F4D"/>
    <w:rsid w:val="00051F8C"/>
    <w:rsid w:val="0005200C"/>
    <w:rsid w:val="00052028"/>
    <w:rsid w:val="0005202B"/>
    <w:rsid w:val="000520BF"/>
    <w:rsid w:val="000520EF"/>
    <w:rsid w:val="00052117"/>
    <w:rsid w:val="0005214F"/>
    <w:rsid w:val="0005224A"/>
    <w:rsid w:val="0005228C"/>
    <w:rsid w:val="000522B5"/>
    <w:rsid w:val="000522B7"/>
    <w:rsid w:val="000522CE"/>
    <w:rsid w:val="000522D7"/>
    <w:rsid w:val="00052397"/>
    <w:rsid w:val="000523D8"/>
    <w:rsid w:val="000523DA"/>
    <w:rsid w:val="00052433"/>
    <w:rsid w:val="000524BB"/>
    <w:rsid w:val="00052546"/>
    <w:rsid w:val="000527F9"/>
    <w:rsid w:val="0005288C"/>
    <w:rsid w:val="00052AAD"/>
    <w:rsid w:val="00052B98"/>
    <w:rsid w:val="00052BFD"/>
    <w:rsid w:val="00052C32"/>
    <w:rsid w:val="00052CA9"/>
    <w:rsid w:val="00052CAD"/>
    <w:rsid w:val="00052D93"/>
    <w:rsid w:val="00052E16"/>
    <w:rsid w:val="00052E33"/>
    <w:rsid w:val="00052E54"/>
    <w:rsid w:val="00052F39"/>
    <w:rsid w:val="00052F3D"/>
    <w:rsid w:val="00052F6A"/>
    <w:rsid w:val="000530B2"/>
    <w:rsid w:val="0005311C"/>
    <w:rsid w:val="000531C1"/>
    <w:rsid w:val="00053220"/>
    <w:rsid w:val="00053288"/>
    <w:rsid w:val="0005338D"/>
    <w:rsid w:val="00053425"/>
    <w:rsid w:val="0005348F"/>
    <w:rsid w:val="000534ED"/>
    <w:rsid w:val="0005352A"/>
    <w:rsid w:val="00053717"/>
    <w:rsid w:val="00053798"/>
    <w:rsid w:val="000537D3"/>
    <w:rsid w:val="00053897"/>
    <w:rsid w:val="00053906"/>
    <w:rsid w:val="00053916"/>
    <w:rsid w:val="00053946"/>
    <w:rsid w:val="00053B18"/>
    <w:rsid w:val="00053B35"/>
    <w:rsid w:val="00053B40"/>
    <w:rsid w:val="00053BE2"/>
    <w:rsid w:val="00053C1E"/>
    <w:rsid w:val="00053C9C"/>
    <w:rsid w:val="00053CCA"/>
    <w:rsid w:val="00053D41"/>
    <w:rsid w:val="00053D5C"/>
    <w:rsid w:val="00053D7A"/>
    <w:rsid w:val="00053DCB"/>
    <w:rsid w:val="00053E40"/>
    <w:rsid w:val="00053F32"/>
    <w:rsid w:val="00053F42"/>
    <w:rsid w:val="00053FE0"/>
    <w:rsid w:val="00053FE8"/>
    <w:rsid w:val="00053FF7"/>
    <w:rsid w:val="00054051"/>
    <w:rsid w:val="0005410D"/>
    <w:rsid w:val="000541DF"/>
    <w:rsid w:val="0005421E"/>
    <w:rsid w:val="0005436B"/>
    <w:rsid w:val="000543B5"/>
    <w:rsid w:val="000543CA"/>
    <w:rsid w:val="000543CF"/>
    <w:rsid w:val="00054453"/>
    <w:rsid w:val="00054458"/>
    <w:rsid w:val="00054471"/>
    <w:rsid w:val="00054558"/>
    <w:rsid w:val="000545AC"/>
    <w:rsid w:val="0005465C"/>
    <w:rsid w:val="000546CD"/>
    <w:rsid w:val="00054750"/>
    <w:rsid w:val="000547BF"/>
    <w:rsid w:val="0005487C"/>
    <w:rsid w:val="000548E1"/>
    <w:rsid w:val="000548F4"/>
    <w:rsid w:val="000549D2"/>
    <w:rsid w:val="00054A06"/>
    <w:rsid w:val="00054A39"/>
    <w:rsid w:val="00054A56"/>
    <w:rsid w:val="00054A58"/>
    <w:rsid w:val="00054A68"/>
    <w:rsid w:val="00054A84"/>
    <w:rsid w:val="00054A8E"/>
    <w:rsid w:val="00054A96"/>
    <w:rsid w:val="00054AB0"/>
    <w:rsid w:val="00054AB3"/>
    <w:rsid w:val="00054AEF"/>
    <w:rsid w:val="00054B4C"/>
    <w:rsid w:val="00054C63"/>
    <w:rsid w:val="00054C84"/>
    <w:rsid w:val="00054CA8"/>
    <w:rsid w:val="00054D1A"/>
    <w:rsid w:val="00054D22"/>
    <w:rsid w:val="00054DCF"/>
    <w:rsid w:val="00054E27"/>
    <w:rsid w:val="00054E33"/>
    <w:rsid w:val="00054E4E"/>
    <w:rsid w:val="00054EED"/>
    <w:rsid w:val="00054F52"/>
    <w:rsid w:val="00054F8C"/>
    <w:rsid w:val="00054FBF"/>
    <w:rsid w:val="000550BE"/>
    <w:rsid w:val="000550F0"/>
    <w:rsid w:val="0005514C"/>
    <w:rsid w:val="00055177"/>
    <w:rsid w:val="000551DA"/>
    <w:rsid w:val="00055237"/>
    <w:rsid w:val="0005540A"/>
    <w:rsid w:val="00055439"/>
    <w:rsid w:val="00055476"/>
    <w:rsid w:val="00055512"/>
    <w:rsid w:val="0005571C"/>
    <w:rsid w:val="00055753"/>
    <w:rsid w:val="0005578B"/>
    <w:rsid w:val="000558A0"/>
    <w:rsid w:val="000558AD"/>
    <w:rsid w:val="00055A28"/>
    <w:rsid w:val="00055C07"/>
    <w:rsid w:val="00055C7B"/>
    <w:rsid w:val="00055F0D"/>
    <w:rsid w:val="00055F4B"/>
    <w:rsid w:val="00055F99"/>
    <w:rsid w:val="00056050"/>
    <w:rsid w:val="000560E5"/>
    <w:rsid w:val="0005637B"/>
    <w:rsid w:val="00056386"/>
    <w:rsid w:val="000564AC"/>
    <w:rsid w:val="000565F0"/>
    <w:rsid w:val="00056773"/>
    <w:rsid w:val="00056838"/>
    <w:rsid w:val="00056880"/>
    <w:rsid w:val="0005688E"/>
    <w:rsid w:val="000568D2"/>
    <w:rsid w:val="00056913"/>
    <w:rsid w:val="00056955"/>
    <w:rsid w:val="00056977"/>
    <w:rsid w:val="00056B10"/>
    <w:rsid w:val="00056B55"/>
    <w:rsid w:val="00056BAA"/>
    <w:rsid w:val="00056BF4"/>
    <w:rsid w:val="00056C6F"/>
    <w:rsid w:val="00056CA2"/>
    <w:rsid w:val="00056CA9"/>
    <w:rsid w:val="00056CDE"/>
    <w:rsid w:val="00056D3B"/>
    <w:rsid w:val="00056D56"/>
    <w:rsid w:val="00056D67"/>
    <w:rsid w:val="00056E07"/>
    <w:rsid w:val="00056E0A"/>
    <w:rsid w:val="00056E3F"/>
    <w:rsid w:val="000570BD"/>
    <w:rsid w:val="00057110"/>
    <w:rsid w:val="00057165"/>
    <w:rsid w:val="00057167"/>
    <w:rsid w:val="00057190"/>
    <w:rsid w:val="0005726D"/>
    <w:rsid w:val="0005728E"/>
    <w:rsid w:val="00057473"/>
    <w:rsid w:val="00057478"/>
    <w:rsid w:val="000574C9"/>
    <w:rsid w:val="00057557"/>
    <w:rsid w:val="000575C2"/>
    <w:rsid w:val="00057655"/>
    <w:rsid w:val="000576AB"/>
    <w:rsid w:val="00057722"/>
    <w:rsid w:val="0005772A"/>
    <w:rsid w:val="000577DB"/>
    <w:rsid w:val="000578E7"/>
    <w:rsid w:val="00057967"/>
    <w:rsid w:val="000579AF"/>
    <w:rsid w:val="000579FE"/>
    <w:rsid w:val="00057A43"/>
    <w:rsid w:val="00057AE6"/>
    <w:rsid w:val="00057B30"/>
    <w:rsid w:val="00057B5D"/>
    <w:rsid w:val="00057C58"/>
    <w:rsid w:val="00057D0F"/>
    <w:rsid w:val="00057DE8"/>
    <w:rsid w:val="00057E58"/>
    <w:rsid w:val="00057F67"/>
    <w:rsid w:val="00057F75"/>
    <w:rsid w:val="00060229"/>
    <w:rsid w:val="00060307"/>
    <w:rsid w:val="0006032B"/>
    <w:rsid w:val="000604B3"/>
    <w:rsid w:val="000604C2"/>
    <w:rsid w:val="00060588"/>
    <w:rsid w:val="000607D7"/>
    <w:rsid w:val="000608CB"/>
    <w:rsid w:val="0006093C"/>
    <w:rsid w:val="00060967"/>
    <w:rsid w:val="000609C1"/>
    <w:rsid w:val="00060A23"/>
    <w:rsid w:val="00060A97"/>
    <w:rsid w:val="00060B16"/>
    <w:rsid w:val="00060BD1"/>
    <w:rsid w:val="00060C3F"/>
    <w:rsid w:val="00060C46"/>
    <w:rsid w:val="00060E64"/>
    <w:rsid w:val="00060E99"/>
    <w:rsid w:val="00060F05"/>
    <w:rsid w:val="00060F1D"/>
    <w:rsid w:val="00060F4A"/>
    <w:rsid w:val="00060F65"/>
    <w:rsid w:val="00060F70"/>
    <w:rsid w:val="000612D6"/>
    <w:rsid w:val="00061371"/>
    <w:rsid w:val="00061513"/>
    <w:rsid w:val="00061542"/>
    <w:rsid w:val="00061588"/>
    <w:rsid w:val="000615A0"/>
    <w:rsid w:val="000615D1"/>
    <w:rsid w:val="0006164B"/>
    <w:rsid w:val="00061654"/>
    <w:rsid w:val="000616DB"/>
    <w:rsid w:val="00061740"/>
    <w:rsid w:val="000617CB"/>
    <w:rsid w:val="000617ED"/>
    <w:rsid w:val="000617EE"/>
    <w:rsid w:val="000617F6"/>
    <w:rsid w:val="00061842"/>
    <w:rsid w:val="0006188C"/>
    <w:rsid w:val="000618D3"/>
    <w:rsid w:val="000618F4"/>
    <w:rsid w:val="000618FE"/>
    <w:rsid w:val="000619D4"/>
    <w:rsid w:val="000619E8"/>
    <w:rsid w:val="00061A27"/>
    <w:rsid w:val="00061A7A"/>
    <w:rsid w:val="00061AC2"/>
    <w:rsid w:val="00061AFA"/>
    <w:rsid w:val="00061B30"/>
    <w:rsid w:val="00061B7C"/>
    <w:rsid w:val="00061C0A"/>
    <w:rsid w:val="00061CE9"/>
    <w:rsid w:val="00061E01"/>
    <w:rsid w:val="00061F10"/>
    <w:rsid w:val="00061F68"/>
    <w:rsid w:val="00061FCE"/>
    <w:rsid w:val="00061FF3"/>
    <w:rsid w:val="00062041"/>
    <w:rsid w:val="00062204"/>
    <w:rsid w:val="00062354"/>
    <w:rsid w:val="000623BA"/>
    <w:rsid w:val="000623FE"/>
    <w:rsid w:val="000624A7"/>
    <w:rsid w:val="00062563"/>
    <w:rsid w:val="0006258E"/>
    <w:rsid w:val="00062645"/>
    <w:rsid w:val="00062684"/>
    <w:rsid w:val="000626C4"/>
    <w:rsid w:val="0006294D"/>
    <w:rsid w:val="00062A55"/>
    <w:rsid w:val="00062B4C"/>
    <w:rsid w:val="00062BA3"/>
    <w:rsid w:val="00062BC2"/>
    <w:rsid w:val="00062C32"/>
    <w:rsid w:val="00062CE6"/>
    <w:rsid w:val="00062CED"/>
    <w:rsid w:val="00062D0C"/>
    <w:rsid w:val="00062D12"/>
    <w:rsid w:val="00062D45"/>
    <w:rsid w:val="00062D46"/>
    <w:rsid w:val="00062E08"/>
    <w:rsid w:val="00062E5B"/>
    <w:rsid w:val="00062F7A"/>
    <w:rsid w:val="00063016"/>
    <w:rsid w:val="0006305E"/>
    <w:rsid w:val="000630F2"/>
    <w:rsid w:val="00063111"/>
    <w:rsid w:val="000631B7"/>
    <w:rsid w:val="000631E5"/>
    <w:rsid w:val="0006323A"/>
    <w:rsid w:val="0006325A"/>
    <w:rsid w:val="00063321"/>
    <w:rsid w:val="00063325"/>
    <w:rsid w:val="000633CA"/>
    <w:rsid w:val="000634AE"/>
    <w:rsid w:val="000634F2"/>
    <w:rsid w:val="000634FA"/>
    <w:rsid w:val="00063505"/>
    <w:rsid w:val="00063596"/>
    <w:rsid w:val="00063769"/>
    <w:rsid w:val="00063786"/>
    <w:rsid w:val="00063873"/>
    <w:rsid w:val="000638A6"/>
    <w:rsid w:val="000638AB"/>
    <w:rsid w:val="00063996"/>
    <w:rsid w:val="00063998"/>
    <w:rsid w:val="000639A2"/>
    <w:rsid w:val="000639AA"/>
    <w:rsid w:val="00063A43"/>
    <w:rsid w:val="00063A6B"/>
    <w:rsid w:val="00063B70"/>
    <w:rsid w:val="00063C1C"/>
    <w:rsid w:val="00063C42"/>
    <w:rsid w:val="00063C64"/>
    <w:rsid w:val="00063C78"/>
    <w:rsid w:val="00063C91"/>
    <w:rsid w:val="00063CBC"/>
    <w:rsid w:val="00063D18"/>
    <w:rsid w:val="00063D6C"/>
    <w:rsid w:val="00063D82"/>
    <w:rsid w:val="00063DC0"/>
    <w:rsid w:val="00063E28"/>
    <w:rsid w:val="00063E5F"/>
    <w:rsid w:val="00063FB2"/>
    <w:rsid w:val="00063FF8"/>
    <w:rsid w:val="00064053"/>
    <w:rsid w:val="0006411E"/>
    <w:rsid w:val="0006414A"/>
    <w:rsid w:val="00064171"/>
    <w:rsid w:val="0006426F"/>
    <w:rsid w:val="00064285"/>
    <w:rsid w:val="000642B2"/>
    <w:rsid w:val="0006430E"/>
    <w:rsid w:val="00064387"/>
    <w:rsid w:val="00064425"/>
    <w:rsid w:val="000644E2"/>
    <w:rsid w:val="00064565"/>
    <w:rsid w:val="0006458D"/>
    <w:rsid w:val="000645C3"/>
    <w:rsid w:val="0006469D"/>
    <w:rsid w:val="00064793"/>
    <w:rsid w:val="0006479F"/>
    <w:rsid w:val="0006481E"/>
    <w:rsid w:val="00064845"/>
    <w:rsid w:val="0006489C"/>
    <w:rsid w:val="000648DB"/>
    <w:rsid w:val="0006493E"/>
    <w:rsid w:val="000649DF"/>
    <w:rsid w:val="00064A21"/>
    <w:rsid w:val="00064A8B"/>
    <w:rsid w:val="00064B4F"/>
    <w:rsid w:val="00064B73"/>
    <w:rsid w:val="00064BB2"/>
    <w:rsid w:val="00064C1F"/>
    <w:rsid w:val="00064C44"/>
    <w:rsid w:val="00064D39"/>
    <w:rsid w:val="00064D7C"/>
    <w:rsid w:val="00064D96"/>
    <w:rsid w:val="00064D97"/>
    <w:rsid w:val="00064DC4"/>
    <w:rsid w:val="00064DD5"/>
    <w:rsid w:val="00064EB3"/>
    <w:rsid w:val="00064ED3"/>
    <w:rsid w:val="00065008"/>
    <w:rsid w:val="00065034"/>
    <w:rsid w:val="00065043"/>
    <w:rsid w:val="000650EB"/>
    <w:rsid w:val="000650FE"/>
    <w:rsid w:val="0006511D"/>
    <w:rsid w:val="00065125"/>
    <w:rsid w:val="00065263"/>
    <w:rsid w:val="0006528B"/>
    <w:rsid w:val="00065298"/>
    <w:rsid w:val="00065310"/>
    <w:rsid w:val="00065315"/>
    <w:rsid w:val="0006536C"/>
    <w:rsid w:val="00065389"/>
    <w:rsid w:val="00065436"/>
    <w:rsid w:val="0006552A"/>
    <w:rsid w:val="00065545"/>
    <w:rsid w:val="0006556C"/>
    <w:rsid w:val="00065678"/>
    <w:rsid w:val="00065868"/>
    <w:rsid w:val="000658AE"/>
    <w:rsid w:val="0006593A"/>
    <w:rsid w:val="000659FD"/>
    <w:rsid w:val="00065A46"/>
    <w:rsid w:val="00065AAA"/>
    <w:rsid w:val="00065B1F"/>
    <w:rsid w:val="00065D0C"/>
    <w:rsid w:val="00065D3C"/>
    <w:rsid w:val="00065DAC"/>
    <w:rsid w:val="00065E48"/>
    <w:rsid w:val="00065E53"/>
    <w:rsid w:val="00065EAA"/>
    <w:rsid w:val="00065FC6"/>
    <w:rsid w:val="00065FC8"/>
    <w:rsid w:val="00065FF1"/>
    <w:rsid w:val="00066007"/>
    <w:rsid w:val="00066095"/>
    <w:rsid w:val="0006610D"/>
    <w:rsid w:val="00066114"/>
    <w:rsid w:val="00066195"/>
    <w:rsid w:val="000661DF"/>
    <w:rsid w:val="000662C2"/>
    <w:rsid w:val="00066341"/>
    <w:rsid w:val="00066365"/>
    <w:rsid w:val="0006641D"/>
    <w:rsid w:val="0006641E"/>
    <w:rsid w:val="00066505"/>
    <w:rsid w:val="0006665E"/>
    <w:rsid w:val="0006676E"/>
    <w:rsid w:val="00066772"/>
    <w:rsid w:val="000668F1"/>
    <w:rsid w:val="000668FA"/>
    <w:rsid w:val="00066A29"/>
    <w:rsid w:val="00066B43"/>
    <w:rsid w:val="00066C3F"/>
    <w:rsid w:val="00066D2D"/>
    <w:rsid w:val="00066D63"/>
    <w:rsid w:val="00066D90"/>
    <w:rsid w:val="00066ECE"/>
    <w:rsid w:val="00066F0E"/>
    <w:rsid w:val="00066F0F"/>
    <w:rsid w:val="0006703C"/>
    <w:rsid w:val="00067080"/>
    <w:rsid w:val="000670B0"/>
    <w:rsid w:val="0006726B"/>
    <w:rsid w:val="000673C0"/>
    <w:rsid w:val="00067407"/>
    <w:rsid w:val="000674BB"/>
    <w:rsid w:val="000674DF"/>
    <w:rsid w:val="00067511"/>
    <w:rsid w:val="00067584"/>
    <w:rsid w:val="000675C8"/>
    <w:rsid w:val="000675D1"/>
    <w:rsid w:val="000675D3"/>
    <w:rsid w:val="00067629"/>
    <w:rsid w:val="0006767E"/>
    <w:rsid w:val="000676FF"/>
    <w:rsid w:val="0006773C"/>
    <w:rsid w:val="000677E7"/>
    <w:rsid w:val="00067811"/>
    <w:rsid w:val="00067828"/>
    <w:rsid w:val="0006784B"/>
    <w:rsid w:val="0006788E"/>
    <w:rsid w:val="000678B1"/>
    <w:rsid w:val="00067930"/>
    <w:rsid w:val="00067935"/>
    <w:rsid w:val="0006793B"/>
    <w:rsid w:val="00067994"/>
    <w:rsid w:val="00067A4D"/>
    <w:rsid w:val="00067A52"/>
    <w:rsid w:val="00067B30"/>
    <w:rsid w:val="00067C0C"/>
    <w:rsid w:val="00067C7D"/>
    <w:rsid w:val="00067D24"/>
    <w:rsid w:val="00067DA0"/>
    <w:rsid w:val="00067E04"/>
    <w:rsid w:val="00067E0E"/>
    <w:rsid w:val="00067EA0"/>
    <w:rsid w:val="00067EF1"/>
    <w:rsid w:val="00067F29"/>
    <w:rsid w:val="00067F66"/>
    <w:rsid w:val="00070059"/>
    <w:rsid w:val="000700CC"/>
    <w:rsid w:val="00070132"/>
    <w:rsid w:val="000701DF"/>
    <w:rsid w:val="00070210"/>
    <w:rsid w:val="0007026C"/>
    <w:rsid w:val="00070339"/>
    <w:rsid w:val="00070390"/>
    <w:rsid w:val="000703E0"/>
    <w:rsid w:val="000703FC"/>
    <w:rsid w:val="000704EA"/>
    <w:rsid w:val="000705F6"/>
    <w:rsid w:val="00070681"/>
    <w:rsid w:val="0007068A"/>
    <w:rsid w:val="00070692"/>
    <w:rsid w:val="000706BE"/>
    <w:rsid w:val="000706EE"/>
    <w:rsid w:val="0007073C"/>
    <w:rsid w:val="0007078C"/>
    <w:rsid w:val="0007083F"/>
    <w:rsid w:val="00070882"/>
    <w:rsid w:val="000708A2"/>
    <w:rsid w:val="000708B0"/>
    <w:rsid w:val="00070928"/>
    <w:rsid w:val="0007094E"/>
    <w:rsid w:val="000709E1"/>
    <w:rsid w:val="00070ADC"/>
    <w:rsid w:val="00070B0A"/>
    <w:rsid w:val="00070BEC"/>
    <w:rsid w:val="00070C52"/>
    <w:rsid w:val="00070CF7"/>
    <w:rsid w:val="00070D9E"/>
    <w:rsid w:val="00070DD8"/>
    <w:rsid w:val="00070DF4"/>
    <w:rsid w:val="00070E83"/>
    <w:rsid w:val="00070EA4"/>
    <w:rsid w:val="00070F77"/>
    <w:rsid w:val="00070F89"/>
    <w:rsid w:val="00070F97"/>
    <w:rsid w:val="00070FD0"/>
    <w:rsid w:val="0007108C"/>
    <w:rsid w:val="000710DD"/>
    <w:rsid w:val="000710EE"/>
    <w:rsid w:val="00071216"/>
    <w:rsid w:val="00071324"/>
    <w:rsid w:val="0007137C"/>
    <w:rsid w:val="0007138F"/>
    <w:rsid w:val="000713CE"/>
    <w:rsid w:val="0007145B"/>
    <w:rsid w:val="0007148F"/>
    <w:rsid w:val="000714A4"/>
    <w:rsid w:val="0007150B"/>
    <w:rsid w:val="00071554"/>
    <w:rsid w:val="0007157B"/>
    <w:rsid w:val="00071611"/>
    <w:rsid w:val="00071689"/>
    <w:rsid w:val="000716A0"/>
    <w:rsid w:val="00071733"/>
    <w:rsid w:val="00071734"/>
    <w:rsid w:val="0007176C"/>
    <w:rsid w:val="000717E6"/>
    <w:rsid w:val="00071825"/>
    <w:rsid w:val="0007183A"/>
    <w:rsid w:val="000718D4"/>
    <w:rsid w:val="000718DC"/>
    <w:rsid w:val="00071996"/>
    <w:rsid w:val="00071B15"/>
    <w:rsid w:val="00071B22"/>
    <w:rsid w:val="00071CE4"/>
    <w:rsid w:val="00071D11"/>
    <w:rsid w:val="00071E2B"/>
    <w:rsid w:val="00071F62"/>
    <w:rsid w:val="00071F67"/>
    <w:rsid w:val="0007201C"/>
    <w:rsid w:val="000720F5"/>
    <w:rsid w:val="00072107"/>
    <w:rsid w:val="000721E9"/>
    <w:rsid w:val="000722A4"/>
    <w:rsid w:val="000723F8"/>
    <w:rsid w:val="0007242C"/>
    <w:rsid w:val="000725C0"/>
    <w:rsid w:val="0007261B"/>
    <w:rsid w:val="000726E2"/>
    <w:rsid w:val="00072798"/>
    <w:rsid w:val="000727DF"/>
    <w:rsid w:val="0007289B"/>
    <w:rsid w:val="000728F4"/>
    <w:rsid w:val="0007293F"/>
    <w:rsid w:val="000729AB"/>
    <w:rsid w:val="000729DC"/>
    <w:rsid w:val="000729F4"/>
    <w:rsid w:val="00072A88"/>
    <w:rsid w:val="00072A9A"/>
    <w:rsid w:val="00072B11"/>
    <w:rsid w:val="00072B8D"/>
    <w:rsid w:val="00072C0F"/>
    <w:rsid w:val="00072C18"/>
    <w:rsid w:val="00072C2A"/>
    <w:rsid w:val="00072C5B"/>
    <w:rsid w:val="00072CB1"/>
    <w:rsid w:val="00072CEC"/>
    <w:rsid w:val="00072D15"/>
    <w:rsid w:val="00072D2C"/>
    <w:rsid w:val="00072D36"/>
    <w:rsid w:val="00072D9F"/>
    <w:rsid w:val="00072DF0"/>
    <w:rsid w:val="00072F04"/>
    <w:rsid w:val="00072F4F"/>
    <w:rsid w:val="00072F7B"/>
    <w:rsid w:val="00073006"/>
    <w:rsid w:val="0007303B"/>
    <w:rsid w:val="00073081"/>
    <w:rsid w:val="0007309D"/>
    <w:rsid w:val="000730AB"/>
    <w:rsid w:val="00073144"/>
    <w:rsid w:val="0007316F"/>
    <w:rsid w:val="000731AF"/>
    <w:rsid w:val="0007320C"/>
    <w:rsid w:val="00073214"/>
    <w:rsid w:val="0007321B"/>
    <w:rsid w:val="0007322A"/>
    <w:rsid w:val="0007326C"/>
    <w:rsid w:val="000732DB"/>
    <w:rsid w:val="000732F5"/>
    <w:rsid w:val="0007351A"/>
    <w:rsid w:val="00073521"/>
    <w:rsid w:val="000735E9"/>
    <w:rsid w:val="00073600"/>
    <w:rsid w:val="00073633"/>
    <w:rsid w:val="000736E4"/>
    <w:rsid w:val="000737AB"/>
    <w:rsid w:val="000737F7"/>
    <w:rsid w:val="0007381C"/>
    <w:rsid w:val="000738C7"/>
    <w:rsid w:val="000738D7"/>
    <w:rsid w:val="000738E6"/>
    <w:rsid w:val="0007392F"/>
    <w:rsid w:val="00073AAD"/>
    <w:rsid w:val="00073B1E"/>
    <w:rsid w:val="00073B22"/>
    <w:rsid w:val="00073B57"/>
    <w:rsid w:val="00073BD5"/>
    <w:rsid w:val="00073C7F"/>
    <w:rsid w:val="00073C90"/>
    <w:rsid w:val="00073CB3"/>
    <w:rsid w:val="00073D24"/>
    <w:rsid w:val="00073E1D"/>
    <w:rsid w:val="00073E5C"/>
    <w:rsid w:val="00073EFD"/>
    <w:rsid w:val="00074023"/>
    <w:rsid w:val="00074084"/>
    <w:rsid w:val="0007409A"/>
    <w:rsid w:val="00074166"/>
    <w:rsid w:val="000741B0"/>
    <w:rsid w:val="000741E5"/>
    <w:rsid w:val="0007421E"/>
    <w:rsid w:val="0007424B"/>
    <w:rsid w:val="000742BB"/>
    <w:rsid w:val="00074342"/>
    <w:rsid w:val="00074357"/>
    <w:rsid w:val="000743D5"/>
    <w:rsid w:val="000744C5"/>
    <w:rsid w:val="0007450B"/>
    <w:rsid w:val="0007453D"/>
    <w:rsid w:val="000745B8"/>
    <w:rsid w:val="00074665"/>
    <w:rsid w:val="00074808"/>
    <w:rsid w:val="0007480D"/>
    <w:rsid w:val="000748A3"/>
    <w:rsid w:val="00074938"/>
    <w:rsid w:val="0007493C"/>
    <w:rsid w:val="0007493D"/>
    <w:rsid w:val="000749B8"/>
    <w:rsid w:val="00074A21"/>
    <w:rsid w:val="00074B38"/>
    <w:rsid w:val="00074BD5"/>
    <w:rsid w:val="00074BFF"/>
    <w:rsid w:val="00074C16"/>
    <w:rsid w:val="00074C1A"/>
    <w:rsid w:val="00074C94"/>
    <w:rsid w:val="00074CA4"/>
    <w:rsid w:val="00074D0F"/>
    <w:rsid w:val="00074E13"/>
    <w:rsid w:val="00074EB1"/>
    <w:rsid w:val="00074FCD"/>
    <w:rsid w:val="00075022"/>
    <w:rsid w:val="0007506C"/>
    <w:rsid w:val="0007508C"/>
    <w:rsid w:val="00075146"/>
    <w:rsid w:val="000751A6"/>
    <w:rsid w:val="000752D2"/>
    <w:rsid w:val="00075327"/>
    <w:rsid w:val="00075375"/>
    <w:rsid w:val="000753AF"/>
    <w:rsid w:val="000753EA"/>
    <w:rsid w:val="0007540E"/>
    <w:rsid w:val="0007541A"/>
    <w:rsid w:val="00075438"/>
    <w:rsid w:val="000754EB"/>
    <w:rsid w:val="000754F2"/>
    <w:rsid w:val="000755AB"/>
    <w:rsid w:val="00075654"/>
    <w:rsid w:val="000756D7"/>
    <w:rsid w:val="0007574A"/>
    <w:rsid w:val="00075765"/>
    <w:rsid w:val="000758E3"/>
    <w:rsid w:val="00075913"/>
    <w:rsid w:val="0007592B"/>
    <w:rsid w:val="00075973"/>
    <w:rsid w:val="0007598D"/>
    <w:rsid w:val="000759CF"/>
    <w:rsid w:val="00075A05"/>
    <w:rsid w:val="00075AB2"/>
    <w:rsid w:val="00075B7B"/>
    <w:rsid w:val="00075BCA"/>
    <w:rsid w:val="00075C05"/>
    <w:rsid w:val="00075E6F"/>
    <w:rsid w:val="00075EDF"/>
    <w:rsid w:val="00075FC4"/>
    <w:rsid w:val="00075FE6"/>
    <w:rsid w:val="00076063"/>
    <w:rsid w:val="000760BE"/>
    <w:rsid w:val="0007611C"/>
    <w:rsid w:val="00076260"/>
    <w:rsid w:val="0007639D"/>
    <w:rsid w:val="000763E5"/>
    <w:rsid w:val="00076491"/>
    <w:rsid w:val="00076647"/>
    <w:rsid w:val="00076674"/>
    <w:rsid w:val="000766BD"/>
    <w:rsid w:val="00076741"/>
    <w:rsid w:val="000767E8"/>
    <w:rsid w:val="0007687E"/>
    <w:rsid w:val="00076887"/>
    <w:rsid w:val="000769AE"/>
    <w:rsid w:val="00076ACD"/>
    <w:rsid w:val="00076B08"/>
    <w:rsid w:val="00076B7A"/>
    <w:rsid w:val="00076BD2"/>
    <w:rsid w:val="00076C49"/>
    <w:rsid w:val="00076C5A"/>
    <w:rsid w:val="00076C77"/>
    <w:rsid w:val="00076CAE"/>
    <w:rsid w:val="00076DA0"/>
    <w:rsid w:val="00076DB5"/>
    <w:rsid w:val="00076DE5"/>
    <w:rsid w:val="00076E34"/>
    <w:rsid w:val="00076E6D"/>
    <w:rsid w:val="00076FB3"/>
    <w:rsid w:val="00076FDD"/>
    <w:rsid w:val="00077084"/>
    <w:rsid w:val="000770F9"/>
    <w:rsid w:val="000770FF"/>
    <w:rsid w:val="0007713E"/>
    <w:rsid w:val="00077258"/>
    <w:rsid w:val="00077286"/>
    <w:rsid w:val="000772F3"/>
    <w:rsid w:val="0007730F"/>
    <w:rsid w:val="00077359"/>
    <w:rsid w:val="000773C5"/>
    <w:rsid w:val="0007740F"/>
    <w:rsid w:val="0007741F"/>
    <w:rsid w:val="00077425"/>
    <w:rsid w:val="000774DE"/>
    <w:rsid w:val="00077528"/>
    <w:rsid w:val="000775DE"/>
    <w:rsid w:val="00077606"/>
    <w:rsid w:val="000776B8"/>
    <w:rsid w:val="0007780C"/>
    <w:rsid w:val="00077946"/>
    <w:rsid w:val="00077985"/>
    <w:rsid w:val="00077A9D"/>
    <w:rsid w:val="00077BBF"/>
    <w:rsid w:val="00077C17"/>
    <w:rsid w:val="00077D8E"/>
    <w:rsid w:val="00077E6A"/>
    <w:rsid w:val="00077EA0"/>
    <w:rsid w:val="00077EC3"/>
    <w:rsid w:val="00077F2E"/>
    <w:rsid w:val="00077FE1"/>
    <w:rsid w:val="00077FFE"/>
    <w:rsid w:val="00080037"/>
    <w:rsid w:val="00080045"/>
    <w:rsid w:val="0008006C"/>
    <w:rsid w:val="000800A7"/>
    <w:rsid w:val="000800AA"/>
    <w:rsid w:val="0008011C"/>
    <w:rsid w:val="00080141"/>
    <w:rsid w:val="0008019B"/>
    <w:rsid w:val="00080212"/>
    <w:rsid w:val="00080282"/>
    <w:rsid w:val="000803CB"/>
    <w:rsid w:val="000803F1"/>
    <w:rsid w:val="00080498"/>
    <w:rsid w:val="000804AE"/>
    <w:rsid w:val="0008051E"/>
    <w:rsid w:val="0008057D"/>
    <w:rsid w:val="00080601"/>
    <w:rsid w:val="00080659"/>
    <w:rsid w:val="0008065A"/>
    <w:rsid w:val="0008078B"/>
    <w:rsid w:val="00080830"/>
    <w:rsid w:val="00080885"/>
    <w:rsid w:val="000808AF"/>
    <w:rsid w:val="00080965"/>
    <w:rsid w:val="00080A3C"/>
    <w:rsid w:val="00080A93"/>
    <w:rsid w:val="00080B38"/>
    <w:rsid w:val="00080B49"/>
    <w:rsid w:val="00080BFE"/>
    <w:rsid w:val="00080CCD"/>
    <w:rsid w:val="00080CE8"/>
    <w:rsid w:val="00080CF8"/>
    <w:rsid w:val="00080D90"/>
    <w:rsid w:val="00080E1E"/>
    <w:rsid w:val="00080E96"/>
    <w:rsid w:val="00081108"/>
    <w:rsid w:val="00081126"/>
    <w:rsid w:val="0008118D"/>
    <w:rsid w:val="000812DE"/>
    <w:rsid w:val="00081304"/>
    <w:rsid w:val="0008135B"/>
    <w:rsid w:val="00081384"/>
    <w:rsid w:val="000813AE"/>
    <w:rsid w:val="00081411"/>
    <w:rsid w:val="00081463"/>
    <w:rsid w:val="00081556"/>
    <w:rsid w:val="00081591"/>
    <w:rsid w:val="0008159A"/>
    <w:rsid w:val="000815A0"/>
    <w:rsid w:val="000815CE"/>
    <w:rsid w:val="00081609"/>
    <w:rsid w:val="0008161A"/>
    <w:rsid w:val="00081796"/>
    <w:rsid w:val="000817BB"/>
    <w:rsid w:val="000817BE"/>
    <w:rsid w:val="000817C0"/>
    <w:rsid w:val="000817E1"/>
    <w:rsid w:val="0008184F"/>
    <w:rsid w:val="00081860"/>
    <w:rsid w:val="00081867"/>
    <w:rsid w:val="000818B9"/>
    <w:rsid w:val="000818BB"/>
    <w:rsid w:val="000818BD"/>
    <w:rsid w:val="000818D4"/>
    <w:rsid w:val="00081914"/>
    <w:rsid w:val="000819EE"/>
    <w:rsid w:val="00081AE6"/>
    <w:rsid w:val="00081AF7"/>
    <w:rsid w:val="00081B0F"/>
    <w:rsid w:val="00081B19"/>
    <w:rsid w:val="00081BBA"/>
    <w:rsid w:val="00081BD6"/>
    <w:rsid w:val="00081C0E"/>
    <w:rsid w:val="00081C4D"/>
    <w:rsid w:val="00081C70"/>
    <w:rsid w:val="00081CA0"/>
    <w:rsid w:val="00081CEA"/>
    <w:rsid w:val="00081DF5"/>
    <w:rsid w:val="00081E57"/>
    <w:rsid w:val="00081E9F"/>
    <w:rsid w:val="00081EC3"/>
    <w:rsid w:val="00081F05"/>
    <w:rsid w:val="00081FE1"/>
    <w:rsid w:val="0008204F"/>
    <w:rsid w:val="00082079"/>
    <w:rsid w:val="00082144"/>
    <w:rsid w:val="000821A2"/>
    <w:rsid w:val="000821B6"/>
    <w:rsid w:val="00082245"/>
    <w:rsid w:val="000822A7"/>
    <w:rsid w:val="000822B0"/>
    <w:rsid w:val="000822B4"/>
    <w:rsid w:val="00082300"/>
    <w:rsid w:val="00082393"/>
    <w:rsid w:val="000823C5"/>
    <w:rsid w:val="000823F0"/>
    <w:rsid w:val="000823FD"/>
    <w:rsid w:val="0008242C"/>
    <w:rsid w:val="00082569"/>
    <w:rsid w:val="000825BD"/>
    <w:rsid w:val="000825E6"/>
    <w:rsid w:val="00082673"/>
    <w:rsid w:val="0008269A"/>
    <w:rsid w:val="000826B4"/>
    <w:rsid w:val="00082786"/>
    <w:rsid w:val="0008281F"/>
    <w:rsid w:val="000828C0"/>
    <w:rsid w:val="000829D5"/>
    <w:rsid w:val="00082A3B"/>
    <w:rsid w:val="00082A90"/>
    <w:rsid w:val="00082BA6"/>
    <w:rsid w:val="00082D09"/>
    <w:rsid w:val="00082D33"/>
    <w:rsid w:val="00082DB5"/>
    <w:rsid w:val="00082DB8"/>
    <w:rsid w:val="00082E98"/>
    <w:rsid w:val="00082EB2"/>
    <w:rsid w:val="00082FA0"/>
    <w:rsid w:val="00083027"/>
    <w:rsid w:val="0008310B"/>
    <w:rsid w:val="000831F8"/>
    <w:rsid w:val="00083256"/>
    <w:rsid w:val="000832B4"/>
    <w:rsid w:val="00083337"/>
    <w:rsid w:val="00083391"/>
    <w:rsid w:val="000833A5"/>
    <w:rsid w:val="000833AB"/>
    <w:rsid w:val="000835BA"/>
    <w:rsid w:val="000835CF"/>
    <w:rsid w:val="000835FB"/>
    <w:rsid w:val="0008360B"/>
    <w:rsid w:val="00083666"/>
    <w:rsid w:val="0008367F"/>
    <w:rsid w:val="00083773"/>
    <w:rsid w:val="000837DF"/>
    <w:rsid w:val="00083818"/>
    <w:rsid w:val="00083A62"/>
    <w:rsid w:val="00083AAD"/>
    <w:rsid w:val="00083AD4"/>
    <w:rsid w:val="00083ADE"/>
    <w:rsid w:val="00083B47"/>
    <w:rsid w:val="00083BCB"/>
    <w:rsid w:val="00083CA7"/>
    <w:rsid w:val="00083DD3"/>
    <w:rsid w:val="00083DF5"/>
    <w:rsid w:val="00083E90"/>
    <w:rsid w:val="00083EBF"/>
    <w:rsid w:val="00083EC4"/>
    <w:rsid w:val="00083ECE"/>
    <w:rsid w:val="00083ED9"/>
    <w:rsid w:val="00083F82"/>
    <w:rsid w:val="00083F87"/>
    <w:rsid w:val="00083F98"/>
    <w:rsid w:val="00083FDF"/>
    <w:rsid w:val="00083FFA"/>
    <w:rsid w:val="0008400E"/>
    <w:rsid w:val="000840B3"/>
    <w:rsid w:val="000840E6"/>
    <w:rsid w:val="00084156"/>
    <w:rsid w:val="000841B2"/>
    <w:rsid w:val="000841C2"/>
    <w:rsid w:val="000841E0"/>
    <w:rsid w:val="000841EA"/>
    <w:rsid w:val="000842F6"/>
    <w:rsid w:val="00084396"/>
    <w:rsid w:val="000844C8"/>
    <w:rsid w:val="000845D4"/>
    <w:rsid w:val="00084619"/>
    <w:rsid w:val="000847EC"/>
    <w:rsid w:val="000848FE"/>
    <w:rsid w:val="00084933"/>
    <w:rsid w:val="00084A89"/>
    <w:rsid w:val="00084AE1"/>
    <w:rsid w:val="00084B72"/>
    <w:rsid w:val="00084C7D"/>
    <w:rsid w:val="00084C81"/>
    <w:rsid w:val="00084C9B"/>
    <w:rsid w:val="00084E1B"/>
    <w:rsid w:val="00084E4B"/>
    <w:rsid w:val="00084E99"/>
    <w:rsid w:val="00084F2E"/>
    <w:rsid w:val="00084FAD"/>
    <w:rsid w:val="00084FE4"/>
    <w:rsid w:val="0008502F"/>
    <w:rsid w:val="000850A2"/>
    <w:rsid w:val="000850DD"/>
    <w:rsid w:val="0008515F"/>
    <w:rsid w:val="0008518D"/>
    <w:rsid w:val="000851B3"/>
    <w:rsid w:val="000851EC"/>
    <w:rsid w:val="00085258"/>
    <w:rsid w:val="00085290"/>
    <w:rsid w:val="0008529E"/>
    <w:rsid w:val="00085333"/>
    <w:rsid w:val="00085373"/>
    <w:rsid w:val="0008537F"/>
    <w:rsid w:val="0008543E"/>
    <w:rsid w:val="0008550A"/>
    <w:rsid w:val="0008552B"/>
    <w:rsid w:val="00085577"/>
    <w:rsid w:val="00085681"/>
    <w:rsid w:val="000857FB"/>
    <w:rsid w:val="0008580A"/>
    <w:rsid w:val="00085871"/>
    <w:rsid w:val="00085888"/>
    <w:rsid w:val="0008597B"/>
    <w:rsid w:val="000859CD"/>
    <w:rsid w:val="00085A37"/>
    <w:rsid w:val="00085A43"/>
    <w:rsid w:val="00085A57"/>
    <w:rsid w:val="00085A70"/>
    <w:rsid w:val="00085AAE"/>
    <w:rsid w:val="00085AB8"/>
    <w:rsid w:val="00085ACB"/>
    <w:rsid w:val="00085AF6"/>
    <w:rsid w:val="00085B36"/>
    <w:rsid w:val="00085B5E"/>
    <w:rsid w:val="00085B81"/>
    <w:rsid w:val="00085B93"/>
    <w:rsid w:val="00085BD4"/>
    <w:rsid w:val="00085C11"/>
    <w:rsid w:val="00085C89"/>
    <w:rsid w:val="00085CB7"/>
    <w:rsid w:val="00085D46"/>
    <w:rsid w:val="00085DD8"/>
    <w:rsid w:val="00085E44"/>
    <w:rsid w:val="00085EB3"/>
    <w:rsid w:val="00086033"/>
    <w:rsid w:val="00086051"/>
    <w:rsid w:val="00086074"/>
    <w:rsid w:val="0008608D"/>
    <w:rsid w:val="00086118"/>
    <w:rsid w:val="00086140"/>
    <w:rsid w:val="000862A5"/>
    <w:rsid w:val="000862C8"/>
    <w:rsid w:val="00086346"/>
    <w:rsid w:val="000863AB"/>
    <w:rsid w:val="000863AE"/>
    <w:rsid w:val="000863F9"/>
    <w:rsid w:val="00086496"/>
    <w:rsid w:val="00086499"/>
    <w:rsid w:val="0008649D"/>
    <w:rsid w:val="0008651C"/>
    <w:rsid w:val="00086524"/>
    <w:rsid w:val="00086570"/>
    <w:rsid w:val="00086578"/>
    <w:rsid w:val="0008664B"/>
    <w:rsid w:val="00086663"/>
    <w:rsid w:val="000866B1"/>
    <w:rsid w:val="000866B2"/>
    <w:rsid w:val="00086749"/>
    <w:rsid w:val="0008677B"/>
    <w:rsid w:val="0008677E"/>
    <w:rsid w:val="0008678C"/>
    <w:rsid w:val="00086814"/>
    <w:rsid w:val="000868B9"/>
    <w:rsid w:val="00086928"/>
    <w:rsid w:val="00086935"/>
    <w:rsid w:val="00086955"/>
    <w:rsid w:val="00086A1F"/>
    <w:rsid w:val="00086AA9"/>
    <w:rsid w:val="00086ABD"/>
    <w:rsid w:val="00086AF8"/>
    <w:rsid w:val="00086B85"/>
    <w:rsid w:val="00086B9B"/>
    <w:rsid w:val="00086C5B"/>
    <w:rsid w:val="00086C75"/>
    <w:rsid w:val="00086D5C"/>
    <w:rsid w:val="00086D85"/>
    <w:rsid w:val="00086D94"/>
    <w:rsid w:val="00086E4C"/>
    <w:rsid w:val="00086E6F"/>
    <w:rsid w:val="00086E8E"/>
    <w:rsid w:val="00086EAD"/>
    <w:rsid w:val="00086F0B"/>
    <w:rsid w:val="0008708C"/>
    <w:rsid w:val="000870A1"/>
    <w:rsid w:val="000870B1"/>
    <w:rsid w:val="000870D4"/>
    <w:rsid w:val="000871FA"/>
    <w:rsid w:val="00087241"/>
    <w:rsid w:val="00087287"/>
    <w:rsid w:val="000872C8"/>
    <w:rsid w:val="00087312"/>
    <w:rsid w:val="0008731B"/>
    <w:rsid w:val="00087355"/>
    <w:rsid w:val="0008768E"/>
    <w:rsid w:val="000876FE"/>
    <w:rsid w:val="00087742"/>
    <w:rsid w:val="0008785F"/>
    <w:rsid w:val="000878B1"/>
    <w:rsid w:val="000878B9"/>
    <w:rsid w:val="0008797E"/>
    <w:rsid w:val="000879FD"/>
    <w:rsid w:val="00087B68"/>
    <w:rsid w:val="00087C51"/>
    <w:rsid w:val="00087C82"/>
    <w:rsid w:val="00087CA0"/>
    <w:rsid w:val="00087D38"/>
    <w:rsid w:val="00087E06"/>
    <w:rsid w:val="00087E74"/>
    <w:rsid w:val="00087F0A"/>
    <w:rsid w:val="00087F78"/>
    <w:rsid w:val="00087FAF"/>
    <w:rsid w:val="00090032"/>
    <w:rsid w:val="00090089"/>
    <w:rsid w:val="000900AD"/>
    <w:rsid w:val="0009010E"/>
    <w:rsid w:val="00090177"/>
    <w:rsid w:val="00090195"/>
    <w:rsid w:val="00090346"/>
    <w:rsid w:val="0009034D"/>
    <w:rsid w:val="000903B1"/>
    <w:rsid w:val="0009040C"/>
    <w:rsid w:val="00090452"/>
    <w:rsid w:val="00090485"/>
    <w:rsid w:val="00090536"/>
    <w:rsid w:val="00090539"/>
    <w:rsid w:val="000906A1"/>
    <w:rsid w:val="000906B9"/>
    <w:rsid w:val="000906CF"/>
    <w:rsid w:val="00090789"/>
    <w:rsid w:val="0009078C"/>
    <w:rsid w:val="000908A5"/>
    <w:rsid w:val="000909D8"/>
    <w:rsid w:val="00090AC1"/>
    <w:rsid w:val="00090B3B"/>
    <w:rsid w:val="00090D3F"/>
    <w:rsid w:val="00090E0A"/>
    <w:rsid w:val="00090E12"/>
    <w:rsid w:val="00090E8E"/>
    <w:rsid w:val="00090ECA"/>
    <w:rsid w:val="0009103D"/>
    <w:rsid w:val="0009106A"/>
    <w:rsid w:val="00091090"/>
    <w:rsid w:val="00091097"/>
    <w:rsid w:val="000910B1"/>
    <w:rsid w:val="0009110C"/>
    <w:rsid w:val="0009116B"/>
    <w:rsid w:val="000911BE"/>
    <w:rsid w:val="00091251"/>
    <w:rsid w:val="00091295"/>
    <w:rsid w:val="000912D1"/>
    <w:rsid w:val="0009132E"/>
    <w:rsid w:val="00091353"/>
    <w:rsid w:val="00091370"/>
    <w:rsid w:val="000914C8"/>
    <w:rsid w:val="000914E4"/>
    <w:rsid w:val="00091552"/>
    <w:rsid w:val="00091579"/>
    <w:rsid w:val="000916D1"/>
    <w:rsid w:val="00091797"/>
    <w:rsid w:val="0009179A"/>
    <w:rsid w:val="0009189F"/>
    <w:rsid w:val="000918AC"/>
    <w:rsid w:val="000918DF"/>
    <w:rsid w:val="000918E3"/>
    <w:rsid w:val="00091900"/>
    <w:rsid w:val="00091965"/>
    <w:rsid w:val="00091966"/>
    <w:rsid w:val="00091A24"/>
    <w:rsid w:val="00091A5E"/>
    <w:rsid w:val="00091AB3"/>
    <w:rsid w:val="00091AD9"/>
    <w:rsid w:val="00091C0C"/>
    <w:rsid w:val="00091C21"/>
    <w:rsid w:val="00091C85"/>
    <w:rsid w:val="00091C98"/>
    <w:rsid w:val="00091DE5"/>
    <w:rsid w:val="00091DEA"/>
    <w:rsid w:val="00091E0B"/>
    <w:rsid w:val="00091E39"/>
    <w:rsid w:val="00091E90"/>
    <w:rsid w:val="00091EE0"/>
    <w:rsid w:val="00091F4C"/>
    <w:rsid w:val="00091FAD"/>
    <w:rsid w:val="00091FFF"/>
    <w:rsid w:val="0009202E"/>
    <w:rsid w:val="00092033"/>
    <w:rsid w:val="0009203F"/>
    <w:rsid w:val="0009205F"/>
    <w:rsid w:val="0009208A"/>
    <w:rsid w:val="000920FF"/>
    <w:rsid w:val="0009212A"/>
    <w:rsid w:val="00092159"/>
    <w:rsid w:val="000921C4"/>
    <w:rsid w:val="00092211"/>
    <w:rsid w:val="00092235"/>
    <w:rsid w:val="00092343"/>
    <w:rsid w:val="000923D3"/>
    <w:rsid w:val="000925C9"/>
    <w:rsid w:val="000925D2"/>
    <w:rsid w:val="0009265A"/>
    <w:rsid w:val="0009279D"/>
    <w:rsid w:val="000927D0"/>
    <w:rsid w:val="00092824"/>
    <w:rsid w:val="00092874"/>
    <w:rsid w:val="000928B6"/>
    <w:rsid w:val="00092922"/>
    <w:rsid w:val="00092973"/>
    <w:rsid w:val="000929B2"/>
    <w:rsid w:val="00092A2E"/>
    <w:rsid w:val="00092AEB"/>
    <w:rsid w:val="00092C93"/>
    <w:rsid w:val="00092ECF"/>
    <w:rsid w:val="00093026"/>
    <w:rsid w:val="00093039"/>
    <w:rsid w:val="0009309A"/>
    <w:rsid w:val="000930C3"/>
    <w:rsid w:val="000930DB"/>
    <w:rsid w:val="000933C8"/>
    <w:rsid w:val="00093420"/>
    <w:rsid w:val="000934B0"/>
    <w:rsid w:val="00093553"/>
    <w:rsid w:val="000935AE"/>
    <w:rsid w:val="000935FC"/>
    <w:rsid w:val="0009361D"/>
    <w:rsid w:val="000936D4"/>
    <w:rsid w:val="000938FC"/>
    <w:rsid w:val="000939BA"/>
    <w:rsid w:val="000939F3"/>
    <w:rsid w:val="00093A06"/>
    <w:rsid w:val="00093A1D"/>
    <w:rsid w:val="00093A8B"/>
    <w:rsid w:val="00093A9D"/>
    <w:rsid w:val="00093AEE"/>
    <w:rsid w:val="00093B26"/>
    <w:rsid w:val="00093B67"/>
    <w:rsid w:val="00093C16"/>
    <w:rsid w:val="00093C37"/>
    <w:rsid w:val="00093DDB"/>
    <w:rsid w:val="00093E1D"/>
    <w:rsid w:val="00093E2A"/>
    <w:rsid w:val="00093EB8"/>
    <w:rsid w:val="00093EC8"/>
    <w:rsid w:val="00093EFA"/>
    <w:rsid w:val="00093F15"/>
    <w:rsid w:val="00093FE1"/>
    <w:rsid w:val="00093FF7"/>
    <w:rsid w:val="00094180"/>
    <w:rsid w:val="0009418C"/>
    <w:rsid w:val="00094251"/>
    <w:rsid w:val="0009429D"/>
    <w:rsid w:val="00094427"/>
    <w:rsid w:val="0009450F"/>
    <w:rsid w:val="00094534"/>
    <w:rsid w:val="00094565"/>
    <w:rsid w:val="00094588"/>
    <w:rsid w:val="0009458B"/>
    <w:rsid w:val="00094590"/>
    <w:rsid w:val="0009467A"/>
    <w:rsid w:val="000946C7"/>
    <w:rsid w:val="0009470B"/>
    <w:rsid w:val="00094739"/>
    <w:rsid w:val="00094793"/>
    <w:rsid w:val="00094905"/>
    <w:rsid w:val="0009490F"/>
    <w:rsid w:val="00094A0F"/>
    <w:rsid w:val="00094A17"/>
    <w:rsid w:val="00094A6A"/>
    <w:rsid w:val="00094B0B"/>
    <w:rsid w:val="00094B97"/>
    <w:rsid w:val="00094BC9"/>
    <w:rsid w:val="00094BE7"/>
    <w:rsid w:val="00094C0B"/>
    <w:rsid w:val="00094CAB"/>
    <w:rsid w:val="00094CE3"/>
    <w:rsid w:val="00094EED"/>
    <w:rsid w:val="00094F45"/>
    <w:rsid w:val="00094F6F"/>
    <w:rsid w:val="00094F78"/>
    <w:rsid w:val="00094F97"/>
    <w:rsid w:val="00094FCD"/>
    <w:rsid w:val="0009502D"/>
    <w:rsid w:val="00095043"/>
    <w:rsid w:val="0009505E"/>
    <w:rsid w:val="000950F7"/>
    <w:rsid w:val="0009512E"/>
    <w:rsid w:val="00095141"/>
    <w:rsid w:val="0009523F"/>
    <w:rsid w:val="000952FE"/>
    <w:rsid w:val="00095319"/>
    <w:rsid w:val="000953E8"/>
    <w:rsid w:val="0009541D"/>
    <w:rsid w:val="0009542B"/>
    <w:rsid w:val="0009545F"/>
    <w:rsid w:val="00095493"/>
    <w:rsid w:val="00095502"/>
    <w:rsid w:val="00095504"/>
    <w:rsid w:val="000955C4"/>
    <w:rsid w:val="00095635"/>
    <w:rsid w:val="0009567A"/>
    <w:rsid w:val="00095704"/>
    <w:rsid w:val="0009572E"/>
    <w:rsid w:val="0009575E"/>
    <w:rsid w:val="000957C0"/>
    <w:rsid w:val="000957E3"/>
    <w:rsid w:val="000958E3"/>
    <w:rsid w:val="000959D3"/>
    <w:rsid w:val="00095A46"/>
    <w:rsid w:val="00095C19"/>
    <w:rsid w:val="00095C4B"/>
    <w:rsid w:val="00095CDF"/>
    <w:rsid w:val="00095D0A"/>
    <w:rsid w:val="00095D17"/>
    <w:rsid w:val="00095D18"/>
    <w:rsid w:val="00095D39"/>
    <w:rsid w:val="00095D4E"/>
    <w:rsid w:val="00095E47"/>
    <w:rsid w:val="00095E91"/>
    <w:rsid w:val="00095EBD"/>
    <w:rsid w:val="00096037"/>
    <w:rsid w:val="00096092"/>
    <w:rsid w:val="000960DB"/>
    <w:rsid w:val="00096260"/>
    <w:rsid w:val="00096318"/>
    <w:rsid w:val="0009636A"/>
    <w:rsid w:val="00096530"/>
    <w:rsid w:val="00096611"/>
    <w:rsid w:val="00096648"/>
    <w:rsid w:val="000966B9"/>
    <w:rsid w:val="000967C2"/>
    <w:rsid w:val="000967DF"/>
    <w:rsid w:val="00096888"/>
    <w:rsid w:val="000968F5"/>
    <w:rsid w:val="0009690F"/>
    <w:rsid w:val="0009699D"/>
    <w:rsid w:val="00096A24"/>
    <w:rsid w:val="00096B7E"/>
    <w:rsid w:val="00096B9F"/>
    <w:rsid w:val="00096C38"/>
    <w:rsid w:val="00096C5B"/>
    <w:rsid w:val="00096D17"/>
    <w:rsid w:val="00096D52"/>
    <w:rsid w:val="00096DB8"/>
    <w:rsid w:val="00096DCD"/>
    <w:rsid w:val="00096EA4"/>
    <w:rsid w:val="00097037"/>
    <w:rsid w:val="0009707A"/>
    <w:rsid w:val="000970DD"/>
    <w:rsid w:val="000970F5"/>
    <w:rsid w:val="0009710C"/>
    <w:rsid w:val="0009719F"/>
    <w:rsid w:val="0009723B"/>
    <w:rsid w:val="00097286"/>
    <w:rsid w:val="0009732A"/>
    <w:rsid w:val="00097355"/>
    <w:rsid w:val="00097398"/>
    <w:rsid w:val="000973B3"/>
    <w:rsid w:val="000973E4"/>
    <w:rsid w:val="00097432"/>
    <w:rsid w:val="00097482"/>
    <w:rsid w:val="0009748F"/>
    <w:rsid w:val="0009749A"/>
    <w:rsid w:val="00097511"/>
    <w:rsid w:val="00097554"/>
    <w:rsid w:val="00097596"/>
    <w:rsid w:val="000975BF"/>
    <w:rsid w:val="00097617"/>
    <w:rsid w:val="000976B1"/>
    <w:rsid w:val="000976B9"/>
    <w:rsid w:val="0009792E"/>
    <w:rsid w:val="00097A08"/>
    <w:rsid w:val="00097A18"/>
    <w:rsid w:val="00097A85"/>
    <w:rsid w:val="00097A9D"/>
    <w:rsid w:val="00097AA4"/>
    <w:rsid w:val="00097AC1"/>
    <w:rsid w:val="00097B64"/>
    <w:rsid w:val="00097BB4"/>
    <w:rsid w:val="00097C69"/>
    <w:rsid w:val="00097C90"/>
    <w:rsid w:val="00097D9D"/>
    <w:rsid w:val="00097DA4"/>
    <w:rsid w:val="00097F58"/>
    <w:rsid w:val="000A001F"/>
    <w:rsid w:val="000A0067"/>
    <w:rsid w:val="000A01A6"/>
    <w:rsid w:val="000A020A"/>
    <w:rsid w:val="000A0232"/>
    <w:rsid w:val="000A0234"/>
    <w:rsid w:val="000A02B9"/>
    <w:rsid w:val="000A03A0"/>
    <w:rsid w:val="000A045C"/>
    <w:rsid w:val="000A04DC"/>
    <w:rsid w:val="000A054C"/>
    <w:rsid w:val="000A0569"/>
    <w:rsid w:val="000A05F9"/>
    <w:rsid w:val="000A0626"/>
    <w:rsid w:val="000A0684"/>
    <w:rsid w:val="000A06CA"/>
    <w:rsid w:val="000A070C"/>
    <w:rsid w:val="000A071B"/>
    <w:rsid w:val="000A0755"/>
    <w:rsid w:val="000A08AB"/>
    <w:rsid w:val="000A0A26"/>
    <w:rsid w:val="000A0A3F"/>
    <w:rsid w:val="000A0A57"/>
    <w:rsid w:val="000A0BB2"/>
    <w:rsid w:val="000A0CEE"/>
    <w:rsid w:val="000A0D2C"/>
    <w:rsid w:val="000A0DA2"/>
    <w:rsid w:val="000A0DC4"/>
    <w:rsid w:val="000A0DCB"/>
    <w:rsid w:val="000A0EA8"/>
    <w:rsid w:val="000A0EE8"/>
    <w:rsid w:val="000A0EF1"/>
    <w:rsid w:val="000A0F40"/>
    <w:rsid w:val="000A0F69"/>
    <w:rsid w:val="000A0FA0"/>
    <w:rsid w:val="000A1084"/>
    <w:rsid w:val="000A1085"/>
    <w:rsid w:val="000A11CF"/>
    <w:rsid w:val="000A11DC"/>
    <w:rsid w:val="000A120D"/>
    <w:rsid w:val="000A129D"/>
    <w:rsid w:val="000A12F1"/>
    <w:rsid w:val="000A131C"/>
    <w:rsid w:val="000A1335"/>
    <w:rsid w:val="000A13B7"/>
    <w:rsid w:val="000A1430"/>
    <w:rsid w:val="000A1486"/>
    <w:rsid w:val="000A1506"/>
    <w:rsid w:val="000A1513"/>
    <w:rsid w:val="000A1530"/>
    <w:rsid w:val="000A15BA"/>
    <w:rsid w:val="000A164D"/>
    <w:rsid w:val="000A1719"/>
    <w:rsid w:val="000A1749"/>
    <w:rsid w:val="000A177B"/>
    <w:rsid w:val="000A1826"/>
    <w:rsid w:val="000A18AC"/>
    <w:rsid w:val="000A18BB"/>
    <w:rsid w:val="000A19A8"/>
    <w:rsid w:val="000A19BB"/>
    <w:rsid w:val="000A1A4B"/>
    <w:rsid w:val="000A1A82"/>
    <w:rsid w:val="000A1AC4"/>
    <w:rsid w:val="000A1BB2"/>
    <w:rsid w:val="000A1BD8"/>
    <w:rsid w:val="000A1CC6"/>
    <w:rsid w:val="000A1CF7"/>
    <w:rsid w:val="000A1D68"/>
    <w:rsid w:val="000A1DF1"/>
    <w:rsid w:val="000A1E49"/>
    <w:rsid w:val="000A1E8B"/>
    <w:rsid w:val="000A1E9A"/>
    <w:rsid w:val="000A1E9E"/>
    <w:rsid w:val="000A1EA1"/>
    <w:rsid w:val="000A1F3A"/>
    <w:rsid w:val="000A1F55"/>
    <w:rsid w:val="000A200B"/>
    <w:rsid w:val="000A2031"/>
    <w:rsid w:val="000A208F"/>
    <w:rsid w:val="000A217B"/>
    <w:rsid w:val="000A2203"/>
    <w:rsid w:val="000A2303"/>
    <w:rsid w:val="000A2322"/>
    <w:rsid w:val="000A2390"/>
    <w:rsid w:val="000A23C9"/>
    <w:rsid w:val="000A245D"/>
    <w:rsid w:val="000A2470"/>
    <w:rsid w:val="000A2476"/>
    <w:rsid w:val="000A263E"/>
    <w:rsid w:val="000A2641"/>
    <w:rsid w:val="000A2693"/>
    <w:rsid w:val="000A274C"/>
    <w:rsid w:val="000A275C"/>
    <w:rsid w:val="000A281E"/>
    <w:rsid w:val="000A28E4"/>
    <w:rsid w:val="000A28F5"/>
    <w:rsid w:val="000A296F"/>
    <w:rsid w:val="000A29CF"/>
    <w:rsid w:val="000A2A92"/>
    <w:rsid w:val="000A2AB1"/>
    <w:rsid w:val="000A2AB8"/>
    <w:rsid w:val="000A2AF1"/>
    <w:rsid w:val="000A2AF6"/>
    <w:rsid w:val="000A2B0B"/>
    <w:rsid w:val="000A2D4C"/>
    <w:rsid w:val="000A2D9B"/>
    <w:rsid w:val="000A2DEA"/>
    <w:rsid w:val="000A2E6C"/>
    <w:rsid w:val="000A2EE5"/>
    <w:rsid w:val="000A2EE7"/>
    <w:rsid w:val="000A2F32"/>
    <w:rsid w:val="000A2F3A"/>
    <w:rsid w:val="000A30A0"/>
    <w:rsid w:val="000A30A7"/>
    <w:rsid w:val="000A3182"/>
    <w:rsid w:val="000A3237"/>
    <w:rsid w:val="000A3260"/>
    <w:rsid w:val="000A3283"/>
    <w:rsid w:val="000A3326"/>
    <w:rsid w:val="000A3347"/>
    <w:rsid w:val="000A3504"/>
    <w:rsid w:val="000A3660"/>
    <w:rsid w:val="000A3670"/>
    <w:rsid w:val="000A3675"/>
    <w:rsid w:val="000A36DA"/>
    <w:rsid w:val="000A36FC"/>
    <w:rsid w:val="000A3727"/>
    <w:rsid w:val="000A376F"/>
    <w:rsid w:val="000A3786"/>
    <w:rsid w:val="000A3791"/>
    <w:rsid w:val="000A3890"/>
    <w:rsid w:val="000A38AC"/>
    <w:rsid w:val="000A390C"/>
    <w:rsid w:val="000A3914"/>
    <w:rsid w:val="000A393C"/>
    <w:rsid w:val="000A3A0B"/>
    <w:rsid w:val="000A3A5D"/>
    <w:rsid w:val="000A3AE0"/>
    <w:rsid w:val="000A3AFA"/>
    <w:rsid w:val="000A3CC6"/>
    <w:rsid w:val="000A3D63"/>
    <w:rsid w:val="000A3DB6"/>
    <w:rsid w:val="000A3E43"/>
    <w:rsid w:val="000A3EB3"/>
    <w:rsid w:val="000A3ED9"/>
    <w:rsid w:val="000A3F16"/>
    <w:rsid w:val="000A3F35"/>
    <w:rsid w:val="000A3F84"/>
    <w:rsid w:val="000A4011"/>
    <w:rsid w:val="000A402B"/>
    <w:rsid w:val="000A4059"/>
    <w:rsid w:val="000A409E"/>
    <w:rsid w:val="000A40DA"/>
    <w:rsid w:val="000A4104"/>
    <w:rsid w:val="000A41A2"/>
    <w:rsid w:val="000A41AB"/>
    <w:rsid w:val="000A41E9"/>
    <w:rsid w:val="000A426A"/>
    <w:rsid w:val="000A428D"/>
    <w:rsid w:val="000A42D4"/>
    <w:rsid w:val="000A43AD"/>
    <w:rsid w:val="000A4401"/>
    <w:rsid w:val="000A4430"/>
    <w:rsid w:val="000A444B"/>
    <w:rsid w:val="000A4493"/>
    <w:rsid w:val="000A45BE"/>
    <w:rsid w:val="000A45CA"/>
    <w:rsid w:val="000A463D"/>
    <w:rsid w:val="000A46D5"/>
    <w:rsid w:val="000A4785"/>
    <w:rsid w:val="000A4865"/>
    <w:rsid w:val="000A487A"/>
    <w:rsid w:val="000A4913"/>
    <w:rsid w:val="000A497D"/>
    <w:rsid w:val="000A4987"/>
    <w:rsid w:val="000A4A32"/>
    <w:rsid w:val="000A4A75"/>
    <w:rsid w:val="000A4B43"/>
    <w:rsid w:val="000A4CF5"/>
    <w:rsid w:val="000A4DB4"/>
    <w:rsid w:val="000A4E0B"/>
    <w:rsid w:val="000A4E61"/>
    <w:rsid w:val="000A4E93"/>
    <w:rsid w:val="000A4F68"/>
    <w:rsid w:val="000A4F92"/>
    <w:rsid w:val="000A4F9C"/>
    <w:rsid w:val="000A5087"/>
    <w:rsid w:val="000A5171"/>
    <w:rsid w:val="000A5289"/>
    <w:rsid w:val="000A531E"/>
    <w:rsid w:val="000A5430"/>
    <w:rsid w:val="000A5560"/>
    <w:rsid w:val="000A5591"/>
    <w:rsid w:val="000A5595"/>
    <w:rsid w:val="000A55DB"/>
    <w:rsid w:val="000A574D"/>
    <w:rsid w:val="000A57AD"/>
    <w:rsid w:val="000A57EB"/>
    <w:rsid w:val="000A58F6"/>
    <w:rsid w:val="000A5995"/>
    <w:rsid w:val="000A5A24"/>
    <w:rsid w:val="000A5B05"/>
    <w:rsid w:val="000A5B35"/>
    <w:rsid w:val="000A5B69"/>
    <w:rsid w:val="000A5BC3"/>
    <w:rsid w:val="000A5BC4"/>
    <w:rsid w:val="000A5BFF"/>
    <w:rsid w:val="000A5C65"/>
    <w:rsid w:val="000A5C97"/>
    <w:rsid w:val="000A5CCB"/>
    <w:rsid w:val="000A5CD2"/>
    <w:rsid w:val="000A5CD6"/>
    <w:rsid w:val="000A5E43"/>
    <w:rsid w:val="000A5E48"/>
    <w:rsid w:val="000A5E50"/>
    <w:rsid w:val="000A5F3F"/>
    <w:rsid w:val="000A5FAC"/>
    <w:rsid w:val="000A5FB8"/>
    <w:rsid w:val="000A6021"/>
    <w:rsid w:val="000A608A"/>
    <w:rsid w:val="000A60C6"/>
    <w:rsid w:val="000A6115"/>
    <w:rsid w:val="000A61EE"/>
    <w:rsid w:val="000A6210"/>
    <w:rsid w:val="000A6297"/>
    <w:rsid w:val="000A62ED"/>
    <w:rsid w:val="000A62F2"/>
    <w:rsid w:val="000A639C"/>
    <w:rsid w:val="000A63F8"/>
    <w:rsid w:val="000A640F"/>
    <w:rsid w:val="000A6487"/>
    <w:rsid w:val="000A6547"/>
    <w:rsid w:val="000A655F"/>
    <w:rsid w:val="000A6564"/>
    <w:rsid w:val="000A6577"/>
    <w:rsid w:val="000A659D"/>
    <w:rsid w:val="000A65DD"/>
    <w:rsid w:val="000A65EB"/>
    <w:rsid w:val="000A678D"/>
    <w:rsid w:val="000A68F6"/>
    <w:rsid w:val="000A6908"/>
    <w:rsid w:val="000A692B"/>
    <w:rsid w:val="000A6970"/>
    <w:rsid w:val="000A69E9"/>
    <w:rsid w:val="000A69FD"/>
    <w:rsid w:val="000A6A62"/>
    <w:rsid w:val="000A6A6E"/>
    <w:rsid w:val="000A6B20"/>
    <w:rsid w:val="000A6B2A"/>
    <w:rsid w:val="000A6BDE"/>
    <w:rsid w:val="000A6C08"/>
    <w:rsid w:val="000A6C49"/>
    <w:rsid w:val="000A6C50"/>
    <w:rsid w:val="000A6C5F"/>
    <w:rsid w:val="000A6C6D"/>
    <w:rsid w:val="000A6CA5"/>
    <w:rsid w:val="000A6CAC"/>
    <w:rsid w:val="000A6D2D"/>
    <w:rsid w:val="000A6D74"/>
    <w:rsid w:val="000A6DB8"/>
    <w:rsid w:val="000A6DE2"/>
    <w:rsid w:val="000A6E46"/>
    <w:rsid w:val="000A6EAE"/>
    <w:rsid w:val="000A6EEE"/>
    <w:rsid w:val="000A6FC4"/>
    <w:rsid w:val="000A702F"/>
    <w:rsid w:val="000A7070"/>
    <w:rsid w:val="000A70A5"/>
    <w:rsid w:val="000A70C8"/>
    <w:rsid w:val="000A70DB"/>
    <w:rsid w:val="000A71D7"/>
    <w:rsid w:val="000A71EB"/>
    <w:rsid w:val="000A7363"/>
    <w:rsid w:val="000A7371"/>
    <w:rsid w:val="000A73B2"/>
    <w:rsid w:val="000A73F7"/>
    <w:rsid w:val="000A74B4"/>
    <w:rsid w:val="000A75A1"/>
    <w:rsid w:val="000A75C7"/>
    <w:rsid w:val="000A76DA"/>
    <w:rsid w:val="000A7724"/>
    <w:rsid w:val="000A7878"/>
    <w:rsid w:val="000A79E6"/>
    <w:rsid w:val="000A7A53"/>
    <w:rsid w:val="000A7BF4"/>
    <w:rsid w:val="000A7CB5"/>
    <w:rsid w:val="000A7D12"/>
    <w:rsid w:val="000A7D2B"/>
    <w:rsid w:val="000A7ECA"/>
    <w:rsid w:val="000A7EDA"/>
    <w:rsid w:val="000A7F84"/>
    <w:rsid w:val="000A7FC4"/>
    <w:rsid w:val="000B0033"/>
    <w:rsid w:val="000B004A"/>
    <w:rsid w:val="000B0133"/>
    <w:rsid w:val="000B02B3"/>
    <w:rsid w:val="000B02F0"/>
    <w:rsid w:val="000B0318"/>
    <w:rsid w:val="000B0367"/>
    <w:rsid w:val="000B03BE"/>
    <w:rsid w:val="000B04A2"/>
    <w:rsid w:val="000B05E9"/>
    <w:rsid w:val="000B064D"/>
    <w:rsid w:val="000B078D"/>
    <w:rsid w:val="000B079D"/>
    <w:rsid w:val="000B080C"/>
    <w:rsid w:val="000B0826"/>
    <w:rsid w:val="000B0878"/>
    <w:rsid w:val="000B0919"/>
    <w:rsid w:val="000B093F"/>
    <w:rsid w:val="000B094B"/>
    <w:rsid w:val="000B0B18"/>
    <w:rsid w:val="000B0B2F"/>
    <w:rsid w:val="000B0CA6"/>
    <w:rsid w:val="000B0D45"/>
    <w:rsid w:val="000B0E4F"/>
    <w:rsid w:val="000B0E64"/>
    <w:rsid w:val="000B0F9C"/>
    <w:rsid w:val="000B0FE6"/>
    <w:rsid w:val="000B10EB"/>
    <w:rsid w:val="000B1158"/>
    <w:rsid w:val="000B1280"/>
    <w:rsid w:val="000B128F"/>
    <w:rsid w:val="000B1291"/>
    <w:rsid w:val="000B12EF"/>
    <w:rsid w:val="000B1330"/>
    <w:rsid w:val="000B1370"/>
    <w:rsid w:val="000B13C0"/>
    <w:rsid w:val="000B1451"/>
    <w:rsid w:val="000B1525"/>
    <w:rsid w:val="000B152D"/>
    <w:rsid w:val="000B1543"/>
    <w:rsid w:val="000B1582"/>
    <w:rsid w:val="000B1605"/>
    <w:rsid w:val="000B1615"/>
    <w:rsid w:val="000B163C"/>
    <w:rsid w:val="000B171E"/>
    <w:rsid w:val="000B1757"/>
    <w:rsid w:val="000B1806"/>
    <w:rsid w:val="000B1885"/>
    <w:rsid w:val="000B1952"/>
    <w:rsid w:val="000B19A3"/>
    <w:rsid w:val="000B19C1"/>
    <w:rsid w:val="000B1A40"/>
    <w:rsid w:val="000B1AA5"/>
    <w:rsid w:val="000B1AB1"/>
    <w:rsid w:val="000B1BD4"/>
    <w:rsid w:val="000B1CA0"/>
    <w:rsid w:val="000B1CC2"/>
    <w:rsid w:val="000B1D5F"/>
    <w:rsid w:val="000B1E6E"/>
    <w:rsid w:val="000B1F43"/>
    <w:rsid w:val="000B1F67"/>
    <w:rsid w:val="000B203A"/>
    <w:rsid w:val="000B215C"/>
    <w:rsid w:val="000B21AC"/>
    <w:rsid w:val="000B222B"/>
    <w:rsid w:val="000B2241"/>
    <w:rsid w:val="000B2263"/>
    <w:rsid w:val="000B2265"/>
    <w:rsid w:val="000B226F"/>
    <w:rsid w:val="000B22B8"/>
    <w:rsid w:val="000B2311"/>
    <w:rsid w:val="000B233F"/>
    <w:rsid w:val="000B237D"/>
    <w:rsid w:val="000B24BD"/>
    <w:rsid w:val="000B25C6"/>
    <w:rsid w:val="000B25CF"/>
    <w:rsid w:val="000B2624"/>
    <w:rsid w:val="000B2664"/>
    <w:rsid w:val="000B26EC"/>
    <w:rsid w:val="000B26F6"/>
    <w:rsid w:val="000B2724"/>
    <w:rsid w:val="000B273D"/>
    <w:rsid w:val="000B27C7"/>
    <w:rsid w:val="000B27CC"/>
    <w:rsid w:val="000B27F0"/>
    <w:rsid w:val="000B2821"/>
    <w:rsid w:val="000B28AF"/>
    <w:rsid w:val="000B28F6"/>
    <w:rsid w:val="000B29B2"/>
    <w:rsid w:val="000B2A13"/>
    <w:rsid w:val="000B2A28"/>
    <w:rsid w:val="000B2AEC"/>
    <w:rsid w:val="000B2B16"/>
    <w:rsid w:val="000B2B56"/>
    <w:rsid w:val="000B2BA2"/>
    <w:rsid w:val="000B2BE3"/>
    <w:rsid w:val="000B2C51"/>
    <w:rsid w:val="000B2D8A"/>
    <w:rsid w:val="000B2D9F"/>
    <w:rsid w:val="000B2DE4"/>
    <w:rsid w:val="000B2E34"/>
    <w:rsid w:val="000B2E46"/>
    <w:rsid w:val="000B2E54"/>
    <w:rsid w:val="000B2E98"/>
    <w:rsid w:val="000B2EAC"/>
    <w:rsid w:val="000B2F6F"/>
    <w:rsid w:val="000B302A"/>
    <w:rsid w:val="000B3072"/>
    <w:rsid w:val="000B309A"/>
    <w:rsid w:val="000B30FC"/>
    <w:rsid w:val="000B310F"/>
    <w:rsid w:val="000B31AF"/>
    <w:rsid w:val="000B32FD"/>
    <w:rsid w:val="000B3305"/>
    <w:rsid w:val="000B3370"/>
    <w:rsid w:val="000B337F"/>
    <w:rsid w:val="000B33F0"/>
    <w:rsid w:val="000B341B"/>
    <w:rsid w:val="000B349D"/>
    <w:rsid w:val="000B34BF"/>
    <w:rsid w:val="000B354E"/>
    <w:rsid w:val="000B358D"/>
    <w:rsid w:val="000B3646"/>
    <w:rsid w:val="000B3681"/>
    <w:rsid w:val="000B36B8"/>
    <w:rsid w:val="000B36BE"/>
    <w:rsid w:val="000B3764"/>
    <w:rsid w:val="000B378E"/>
    <w:rsid w:val="000B3809"/>
    <w:rsid w:val="000B386B"/>
    <w:rsid w:val="000B389B"/>
    <w:rsid w:val="000B389E"/>
    <w:rsid w:val="000B394A"/>
    <w:rsid w:val="000B3A11"/>
    <w:rsid w:val="000B3A6B"/>
    <w:rsid w:val="000B3B99"/>
    <w:rsid w:val="000B3BB0"/>
    <w:rsid w:val="000B3CA1"/>
    <w:rsid w:val="000B3CB0"/>
    <w:rsid w:val="000B3CE0"/>
    <w:rsid w:val="000B3D87"/>
    <w:rsid w:val="000B3E55"/>
    <w:rsid w:val="000B3F8A"/>
    <w:rsid w:val="000B4022"/>
    <w:rsid w:val="000B416E"/>
    <w:rsid w:val="000B41A2"/>
    <w:rsid w:val="000B41FA"/>
    <w:rsid w:val="000B42D8"/>
    <w:rsid w:val="000B430F"/>
    <w:rsid w:val="000B4398"/>
    <w:rsid w:val="000B43C3"/>
    <w:rsid w:val="000B43E8"/>
    <w:rsid w:val="000B458C"/>
    <w:rsid w:val="000B45AA"/>
    <w:rsid w:val="000B45E6"/>
    <w:rsid w:val="000B4609"/>
    <w:rsid w:val="000B460C"/>
    <w:rsid w:val="000B460D"/>
    <w:rsid w:val="000B4629"/>
    <w:rsid w:val="000B4680"/>
    <w:rsid w:val="000B46B6"/>
    <w:rsid w:val="000B46BF"/>
    <w:rsid w:val="000B46E2"/>
    <w:rsid w:val="000B46FB"/>
    <w:rsid w:val="000B47A3"/>
    <w:rsid w:val="000B4821"/>
    <w:rsid w:val="000B4B5D"/>
    <w:rsid w:val="000B4B8D"/>
    <w:rsid w:val="000B4BE8"/>
    <w:rsid w:val="000B4C21"/>
    <w:rsid w:val="000B4CE5"/>
    <w:rsid w:val="000B4D17"/>
    <w:rsid w:val="000B4D25"/>
    <w:rsid w:val="000B4D6F"/>
    <w:rsid w:val="000B4DAF"/>
    <w:rsid w:val="000B4F25"/>
    <w:rsid w:val="000B4FE0"/>
    <w:rsid w:val="000B5116"/>
    <w:rsid w:val="000B5120"/>
    <w:rsid w:val="000B51F1"/>
    <w:rsid w:val="000B5383"/>
    <w:rsid w:val="000B5480"/>
    <w:rsid w:val="000B55A5"/>
    <w:rsid w:val="000B55EC"/>
    <w:rsid w:val="000B55FE"/>
    <w:rsid w:val="000B5602"/>
    <w:rsid w:val="000B56F6"/>
    <w:rsid w:val="000B5710"/>
    <w:rsid w:val="000B575F"/>
    <w:rsid w:val="000B57E9"/>
    <w:rsid w:val="000B5844"/>
    <w:rsid w:val="000B58D4"/>
    <w:rsid w:val="000B58D8"/>
    <w:rsid w:val="000B58E8"/>
    <w:rsid w:val="000B592B"/>
    <w:rsid w:val="000B59F2"/>
    <w:rsid w:val="000B5AA7"/>
    <w:rsid w:val="000B5AE5"/>
    <w:rsid w:val="000B5B03"/>
    <w:rsid w:val="000B5D61"/>
    <w:rsid w:val="000B5E26"/>
    <w:rsid w:val="000B5F77"/>
    <w:rsid w:val="000B608D"/>
    <w:rsid w:val="000B618F"/>
    <w:rsid w:val="000B6198"/>
    <w:rsid w:val="000B61F6"/>
    <w:rsid w:val="000B622A"/>
    <w:rsid w:val="000B6284"/>
    <w:rsid w:val="000B62F5"/>
    <w:rsid w:val="000B6319"/>
    <w:rsid w:val="000B6392"/>
    <w:rsid w:val="000B643B"/>
    <w:rsid w:val="000B646A"/>
    <w:rsid w:val="000B65D7"/>
    <w:rsid w:val="000B6653"/>
    <w:rsid w:val="000B6750"/>
    <w:rsid w:val="000B682E"/>
    <w:rsid w:val="000B689B"/>
    <w:rsid w:val="000B68B9"/>
    <w:rsid w:val="000B69A0"/>
    <w:rsid w:val="000B6AF3"/>
    <w:rsid w:val="000B6AFB"/>
    <w:rsid w:val="000B6B0B"/>
    <w:rsid w:val="000B6BF9"/>
    <w:rsid w:val="000B6CB7"/>
    <w:rsid w:val="000B6DDE"/>
    <w:rsid w:val="000B6DFE"/>
    <w:rsid w:val="000B6E0D"/>
    <w:rsid w:val="000B6EE8"/>
    <w:rsid w:val="000B6F03"/>
    <w:rsid w:val="000B6F44"/>
    <w:rsid w:val="000B6F8D"/>
    <w:rsid w:val="000B7025"/>
    <w:rsid w:val="000B72C8"/>
    <w:rsid w:val="000B7300"/>
    <w:rsid w:val="000B73B4"/>
    <w:rsid w:val="000B73D2"/>
    <w:rsid w:val="000B7490"/>
    <w:rsid w:val="000B74B9"/>
    <w:rsid w:val="000B753F"/>
    <w:rsid w:val="000B75E2"/>
    <w:rsid w:val="000B761D"/>
    <w:rsid w:val="000B76FB"/>
    <w:rsid w:val="000B7725"/>
    <w:rsid w:val="000B7743"/>
    <w:rsid w:val="000B796C"/>
    <w:rsid w:val="000B7987"/>
    <w:rsid w:val="000B7A57"/>
    <w:rsid w:val="000B7A58"/>
    <w:rsid w:val="000B7A64"/>
    <w:rsid w:val="000B7ACD"/>
    <w:rsid w:val="000B7AFF"/>
    <w:rsid w:val="000B7B9C"/>
    <w:rsid w:val="000B7B9D"/>
    <w:rsid w:val="000B7C11"/>
    <w:rsid w:val="000B7CC6"/>
    <w:rsid w:val="000B7DB9"/>
    <w:rsid w:val="000B7FE5"/>
    <w:rsid w:val="000C0010"/>
    <w:rsid w:val="000C0029"/>
    <w:rsid w:val="000C0041"/>
    <w:rsid w:val="000C005D"/>
    <w:rsid w:val="000C0108"/>
    <w:rsid w:val="000C0115"/>
    <w:rsid w:val="000C025A"/>
    <w:rsid w:val="000C02A2"/>
    <w:rsid w:val="000C02E5"/>
    <w:rsid w:val="000C0424"/>
    <w:rsid w:val="000C0487"/>
    <w:rsid w:val="000C05E7"/>
    <w:rsid w:val="000C064A"/>
    <w:rsid w:val="000C06A2"/>
    <w:rsid w:val="000C0790"/>
    <w:rsid w:val="000C07D1"/>
    <w:rsid w:val="000C0816"/>
    <w:rsid w:val="000C081B"/>
    <w:rsid w:val="000C098A"/>
    <w:rsid w:val="000C09D6"/>
    <w:rsid w:val="000C0A7D"/>
    <w:rsid w:val="000C0AF2"/>
    <w:rsid w:val="000C0BBB"/>
    <w:rsid w:val="000C0C4F"/>
    <w:rsid w:val="000C0CBC"/>
    <w:rsid w:val="000C0CE5"/>
    <w:rsid w:val="000C0D02"/>
    <w:rsid w:val="000C0D54"/>
    <w:rsid w:val="000C0E85"/>
    <w:rsid w:val="000C0FB2"/>
    <w:rsid w:val="000C0FD5"/>
    <w:rsid w:val="000C0FDA"/>
    <w:rsid w:val="000C123C"/>
    <w:rsid w:val="000C126F"/>
    <w:rsid w:val="000C1315"/>
    <w:rsid w:val="000C13C8"/>
    <w:rsid w:val="000C1456"/>
    <w:rsid w:val="000C146B"/>
    <w:rsid w:val="000C1545"/>
    <w:rsid w:val="000C1569"/>
    <w:rsid w:val="000C15CC"/>
    <w:rsid w:val="000C160E"/>
    <w:rsid w:val="000C1631"/>
    <w:rsid w:val="000C1665"/>
    <w:rsid w:val="000C1686"/>
    <w:rsid w:val="000C1692"/>
    <w:rsid w:val="000C16BA"/>
    <w:rsid w:val="000C173E"/>
    <w:rsid w:val="000C17B4"/>
    <w:rsid w:val="000C17B5"/>
    <w:rsid w:val="000C19C8"/>
    <w:rsid w:val="000C1A5D"/>
    <w:rsid w:val="000C1AA4"/>
    <w:rsid w:val="000C1B6F"/>
    <w:rsid w:val="000C1C08"/>
    <w:rsid w:val="000C1C64"/>
    <w:rsid w:val="000C1D48"/>
    <w:rsid w:val="000C1DDA"/>
    <w:rsid w:val="000C1DDF"/>
    <w:rsid w:val="000C1F10"/>
    <w:rsid w:val="000C1F15"/>
    <w:rsid w:val="000C1F5D"/>
    <w:rsid w:val="000C1F84"/>
    <w:rsid w:val="000C2094"/>
    <w:rsid w:val="000C2265"/>
    <w:rsid w:val="000C232B"/>
    <w:rsid w:val="000C23A0"/>
    <w:rsid w:val="000C2413"/>
    <w:rsid w:val="000C2431"/>
    <w:rsid w:val="000C2497"/>
    <w:rsid w:val="000C2560"/>
    <w:rsid w:val="000C2577"/>
    <w:rsid w:val="000C25A7"/>
    <w:rsid w:val="000C25B7"/>
    <w:rsid w:val="000C2683"/>
    <w:rsid w:val="000C270F"/>
    <w:rsid w:val="000C2893"/>
    <w:rsid w:val="000C2904"/>
    <w:rsid w:val="000C290D"/>
    <w:rsid w:val="000C2987"/>
    <w:rsid w:val="000C2998"/>
    <w:rsid w:val="000C29D6"/>
    <w:rsid w:val="000C2A0E"/>
    <w:rsid w:val="000C2A47"/>
    <w:rsid w:val="000C2A67"/>
    <w:rsid w:val="000C2A96"/>
    <w:rsid w:val="000C2ACF"/>
    <w:rsid w:val="000C2B19"/>
    <w:rsid w:val="000C2B1C"/>
    <w:rsid w:val="000C2B71"/>
    <w:rsid w:val="000C2B80"/>
    <w:rsid w:val="000C2C0A"/>
    <w:rsid w:val="000C2CC4"/>
    <w:rsid w:val="000C2CE2"/>
    <w:rsid w:val="000C2D59"/>
    <w:rsid w:val="000C2DE1"/>
    <w:rsid w:val="000C2E2C"/>
    <w:rsid w:val="000C2E3F"/>
    <w:rsid w:val="000C2ED8"/>
    <w:rsid w:val="000C2F1B"/>
    <w:rsid w:val="000C2F92"/>
    <w:rsid w:val="000C3020"/>
    <w:rsid w:val="000C30CF"/>
    <w:rsid w:val="000C3111"/>
    <w:rsid w:val="000C312B"/>
    <w:rsid w:val="000C3137"/>
    <w:rsid w:val="000C319C"/>
    <w:rsid w:val="000C31C1"/>
    <w:rsid w:val="000C320F"/>
    <w:rsid w:val="000C3294"/>
    <w:rsid w:val="000C329B"/>
    <w:rsid w:val="000C32B4"/>
    <w:rsid w:val="000C32B9"/>
    <w:rsid w:val="000C32C1"/>
    <w:rsid w:val="000C3413"/>
    <w:rsid w:val="000C344B"/>
    <w:rsid w:val="000C3546"/>
    <w:rsid w:val="000C3563"/>
    <w:rsid w:val="000C35A1"/>
    <w:rsid w:val="000C3689"/>
    <w:rsid w:val="000C37D4"/>
    <w:rsid w:val="000C39A0"/>
    <w:rsid w:val="000C39B9"/>
    <w:rsid w:val="000C3A22"/>
    <w:rsid w:val="000C3BF8"/>
    <w:rsid w:val="000C3BFB"/>
    <w:rsid w:val="000C3C86"/>
    <w:rsid w:val="000C3CB5"/>
    <w:rsid w:val="000C3CB8"/>
    <w:rsid w:val="000C3CC8"/>
    <w:rsid w:val="000C3DCE"/>
    <w:rsid w:val="000C3E3B"/>
    <w:rsid w:val="000C3E57"/>
    <w:rsid w:val="000C3E8A"/>
    <w:rsid w:val="000C3F3E"/>
    <w:rsid w:val="000C3F58"/>
    <w:rsid w:val="000C3FAB"/>
    <w:rsid w:val="000C3FE3"/>
    <w:rsid w:val="000C4040"/>
    <w:rsid w:val="000C4080"/>
    <w:rsid w:val="000C4186"/>
    <w:rsid w:val="000C422B"/>
    <w:rsid w:val="000C4252"/>
    <w:rsid w:val="000C4269"/>
    <w:rsid w:val="000C4293"/>
    <w:rsid w:val="000C4451"/>
    <w:rsid w:val="000C4470"/>
    <w:rsid w:val="000C45F4"/>
    <w:rsid w:val="000C4640"/>
    <w:rsid w:val="000C46E0"/>
    <w:rsid w:val="000C477F"/>
    <w:rsid w:val="000C47D7"/>
    <w:rsid w:val="000C48A6"/>
    <w:rsid w:val="000C499E"/>
    <w:rsid w:val="000C4C47"/>
    <w:rsid w:val="000C4CB0"/>
    <w:rsid w:val="000C4CDF"/>
    <w:rsid w:val="000C4D32"/>
    <w:rsid w:val="000C4D4E"/>
    <w:rsid w:val="000C4DFC"/>
    <w:rsid w:val="000C4F4E"/>
    <w:rsid w:val="000C5045"/>
    <w:rsid w:val="000C508F"/>
    <w:rsid w:val="000C50C6"/>
    <w:rsid w:val="000C511C"/>
    <w:rsid w:val="000C511F"/>
    <w:rsid w:val="000C5120"/>
    <w:rsid w:val="000C5123"/>
    <w:rsid w:val="000C5165"/>
    <w:rsid w:val="000C516C"/>
    <w:rsid w:val="000C5195"/>
    <w:rsid w:val="000C52C9"/>
    <w:rsid w:val="000C53A6"/>
    <w:rsid w:val="000C5402"/>
    <w:rsid w:val="000C5463"/>
    <w:rsid w:val="000C553D"/>
    <w:rsid w:val="000C5545"/>
    <w:rsid w:val="000C55D0"/>
    <w:rsid w:val="000C55FF"/>
    <w:rsid w:val="000C562A"/>
    <w:rsid w:val="000C571D"/>
    <w:rsid w:val="000C575E"/>
    <w:rsid w:val="000C5836"/>
    <w:rsid w:val="000C5843"/>
    <w:rsid w:val="000C587C"/>
    <w:rsid w:val="000C593E"/>
    <w:rsid w:val="000C5960"/>
    <w:rsid w:val="000C59F8"/>
    <w:rsid w:val="000C5AB7"/>
    <w:rsid w:val="000C5BC0"/>
    <w:rsid w:val="000C5BD5"/>
    <w:rsid w:val="000C5C61"/>
    <w:rsid w:val="000C5D23"/>
    <w:rsid w:val="000C5D63"/>
    <w:rsid w:val="000C5D81"/>
    <w:rsid w:val="000C5D96"/>
    <w:rsid w:val="000C5DC0"/>
    <w:rsid w:val="000C5EAF"/>
    <w:rsid w:val="000C5EE5"/>
    <w:rsid w:val="000C5F40"/>
    <w:rsid w:val="000C5F8E"/>
    <w:rsid w:val="000C5F96"/>
    <w:rsid w:val="000C6062"/>
    <w:rsid w:val="000C6083"/>
    <w:rsid w:val="000C609D"/>
    <w:rsid w:val="000C62B5"/>
    <w:rsid w:val="000C6367"/>
    <w:rsid w:val="000C63B1"/>
    <w:rsid w:val="000C63D5"/>
    <w:rsid w:val="000C63FA"/>
    <w:rsid w:val="000C6408"/>
    <w:rsid w:val="000C64BF"/>
    <w:rsid w:val="000C655D"/>
    <w:rsid w:val="000C65B7"/>
    <w:rsid w:val="000C6674"/>
    <w:rsid w:val="000C679C"/>
    <w:rsid w:val="000C67D4"/>
    <w:rsid w:val="000C6849"/>
    <w:rsid w:val="000C689D"/>
    <w:rsid w:val="000C69FA"/>
    <w:rsid w:val="000C6AF2"/>
    <w:rsid w:val="000C6B01"/>
    <w:rsid w:val="000C6BA5"/>
    <w:rsid w:val="000C6CE1"/>
    <w:rsid w:val="000C6D0D"/>
    <w:rsid w:val="000C6D22"/>
    <w:rsid w:val="000C6D36"/>
    <w:rsid w:val="000C6E35"/>
    <w:rsid w:val="000C6EE0"/>
    <w:rsid w:val="000C6EEE"/>
    <w:rsid w:val="000C6EF3"/>
    <w:rsid w:val="000C6F50"/>
    <w:rsid w:val="000C702F"/>
    <w:rsid w:val="000C709B"/>
    <w:rsid w:val="000C70C2"/>
    <w:rsid w:val="000C7152"/>
    <w:rsid w:val="000C716D"/>
    <w:rsid w:val="000C717A"/>
    <w:rsid w:val="000C71FB"/>
    <w:rsid w:val="000C724C"/>
    <w:rsid w:val="000C72E1"/>
    <w:rsid w:val="000C7367"/>
    <w:rsid w:val="000C74F0"/>
    <w:rsid w:val="000C7501"/>
    <w:rsid w:val="000C7551"/>
    <w:rsid w:val="000C7560"/>
    <w:rsid w:val="000C7569"/>
    <w:rsid w:val="000C7582"/>
    <w:rsid w:val="000C762B"/>
    <w:rsid w:val="000C763B"/>
    <w:rsid w:val="000C7657"/>
    <w:rsid w:val="000C7677"/>
    <w:rsid w:val="000C76CA"/>
    <w:rsid w:val="000C777A"/>
    <w:rsid w:val="000C7791"/>
    <w:rsid w:val="000C779D"/>
    <w:rsid w:val="000C7AB1"/>
    <w:rsid w:val="000C7B25"/>
    <w:rsid w:val="000C7BA1"/>
    <w:rsid w:val="000C7BAD"/>
    <w:rsid w:val="000C7C23"/>
    <w:rsid w:val="000C7C5E"/>
    <w:rsid w:val="000C7CC2"/>
    <w:rsid w:val="000C7CD4"/>
    <w:rsid w:val="000C7D60"/>
    <w:rsid w:val="000C7DD4"/>
    <w:rsid w:val="000C7E6F"/>
    <w:rsid w:val="000C7EB5"/>
    <w:rsid w:val="000C7EEF"/>
    <w:rsid w:val="000C7F09"/>
    <w:rsid w:val="000C7F6C"/>
    <w:rsid w:val="000C7FE7"/>
    <w:rsid w:val="000D00F0"/>
    <w:rsid w:val="000D0213"/>
    <w:rsid w:val="000D021C"/>
    <w:rsid w:val="000D0228"/>
    <w:rsid w:val="000D03B5"/>
    <w:rsid w:val="000D048E"/>
    <w:rsid w:val="000D048F"/>
    <w:rsid w:val="000D04CE"/>
    <w:rsid w:val="000D04D6"/>
    <w:rsid w:val="000D04D8"/>
    <w:rsid w:val="000D060C"/>
    <w:rsid w:val="000D0639"/>
    <w:rsid w:val="000D067C"/>
    <w:rsid w:val="000D06EB"/>
    <w:rsid w:val="000D0802"/>
    <w:rsid w:val="000D083B"/>
    <w:rsid w:val="000D0853"/>
    <w:rsid w:val="000D0867"/>
    <w:rsid w:val="000D09E1"/>
    <w:rsid w:val="000D0A46"/>
    <w:rsid w:val="000D0A95"/>
    <w:rsid w:val="000D0B90"/>
    <w:rsid w:val="000D0BD5"/>
    <w:rsid w:val="000D0BE3"/>
    <w:rsid w:val="000D0C39"/>
    <w:rsid w:val="000D0D5E"/>
    <w:rsid w:val="000D0DC8"/>
    <w:rsid w:val="000D0DF4"/>
    <w:rsid w:val="000D0ECE"/>
    <w:rsid w:val="000D0F04"/>
    <w:rsid w:val="000D0FF8"/>
    <w:rsid w:val="000D1048"/>
    <w:rsid w:val="000D10BD"/>
    <w:rsid w:val="000D115D"/>
    <w:rsid w:val="000D1194"/>
    <w:rsid w:val="000D1207"/>
    <w:rsid w:val="000D1284"/>
    <w:rsid w:val="000D1294"/>
    <w:rsid w:val="000D12AC"/>
    <w:rsid w:val="000D133C"/>
    <w:rsid w:val="000D1362"/>
    <w:rsid w:val="000D140E"/>
    <w:rsid w:val="000D1418"/>
    <w:rsid w:val="000D1487"/>
    <w:rsid w:val="000D1518"/>
    <w:rsid w:val="000D153A"/>
    <w:rsid w:val="000D1545"/>
    <w:rsid w:val="000D155D"/>
    <w:rsid w:val="000D156E"/>
    <w:rsid w:val="000D1710"/>
    <w:rsid w:val="000D1728"/>
    <w:rsid w:val="000D17F3"/>
    <w:rsid w:val="000D181F"/>
    <w:rsid w:val="000D19EF"/>
    <w:rsid w:val="000D19F7"/>
    <w:rsid w:val="000D1A06"/>
    <w:rsid w:val="000D1ADC"/>
    <w:rsid w:val="000D1ADD"/>
    <w:rsid w:val="000D1BA2"/>
    <w:rsid w:val="000D1C9A"/>
    <w:rsid w:val="000D1D1C"/>
    <w:rsid w:val="000D1D1E"/>
    <w:rsid w:val="000D1E1F"/>
    <w:rsid w:val="000D1E44"/>
    <w:rsid w:val="000D1EDC"/>
    <w:rsid w:val="000D1F7C"/>
    <w:rsid w:val="000D1FFF"/>
    <w:rsid w:val="000D20F3"/>
    <w:rsid w:val="000D214A"/>
    <w:rsid w:val="000D216C"/>
    <w:rsid w:val="000D216E"/>
    <w:rsid w:val="000D218B"/>
    <w:rsid w:val="000D21C0"/>
    <w:rsid w:val="000D2217"/>
    <w:rsid w:val="000D22C1"/>
    <w:rsid w:val="000D22C4"/>
    <w:rsid w:val="000D2325"/>
    <w:rsid w:val="000D232F"/>
    <w:rsid w:val="000D236E"/>
    <w:rsid w:val="000D23F3"/>
    <w:rsid w:val="000D2452"/>
    <w:rsid w:val="000D24F8"/>
    <w:rsid w:val="000D25CB"/>
    <w:rsid w:val="000D25EE"/>
    <w:rsid w:val="000D2661"/>
    <w:rsid w:val="000D26C9"/>
    <w:rsid w:val="000D26ED"/>
    <w:rsid w:val="000D26F7"/>
    <w:rsid w:val="000D274C"/>
    <w:rsid w:val="000D2799"/>
    <w:rsid w:val="000D27B6"/>
    <w:rsid w:val="000D2816"/>
    <w:rsid w:val="000D285D"/>
    <w:rsid w:val="000D29F7"/>
    <w:rsid w:val="000D2A86"/>
    <w:rsid w:val="000D2B4E"/>
    <w:rsid w:val="000D2CD8"/>
    <w:rsid w:val="000D2D39"/>
    <w:rsid w:val="000D2D80"/>
    <w:rsid w:val="000D2E03"/>
    <w:rsid w:val="000D2E31"/>
    <w:rsid w:val="000D2E55"/>
    <w:rsid w:val="000D2EAE"/>
    <w:rsid w:val="000D2F1D"/>
    <w:rsid w:val="000D2F23"/>
    <w:rsid w:val="000D2F60"/>
    <w:rsid w:val="000D3024"/>
    <w:rsid w:val="000D3077"/>
    <w:rsid w:val="000D30CC"/>
    <w:rsid w:val="000D30D6"/>
    <w:rsid w:val="000D3108"/>
    <w:rsid w:val="000D317C"/>
    <w:rsid w:val="000D3268"/>
    <w:rsid w:val="000D328D"/>
    <w:rsid w:val="000D3337"/>
    <w:rsid w:val="000D3353"/>
    <w:rsid w:val="000D3354"/>
    <w:rsid w:val="000D3449"/>
    <w:rsid w:val="000D3556"/>
    <w:rsid w:val="000D3606"/>
    <w:rsid w:val="000D3767"/>
    <w:rsid w:val="000D379C"/>
    <w:rsid w:val="000D37B7"/>
    <w:rsid w:val="000D388A"/>
    <w:rsid w:val="000D3915"/>
    <w:rsid w:val="000D3965"/>
    <w:rsid w:val="000D398D"/>
    <w:rsid w:val="000D39FD"/>
    <w:rsid w:val="000D3ADE"/>
    <w:rsid w:val="000D3B04"/>
    <w:rsid w:val="000D3B6C"/>
    <w:rsid w:val="000D3BC8"/>
    <w:rsid w:val="000D3D89"/>
    <w:rsid w:val="000D3E74"/>
    <w:rsid w:val="000D3F0B"/>
    <w:rsid w:val="000D404B"/>
    <w:rsid w:val="000D415D"/>
    <w:rsid w:val="000D42B4"/>
    <w:rsid w:val="000D437B"/>
    <w:rsid w:val="000D4392"/>
    <w:rsid w:val="000D43C6"/>
    <w:rsid w:val="000D43E0"/>
    <w:rsid w:val="000D43EE"/>
    <w:rsid w:val="000D45C5"/>
    <w:rsid w:val="000D45E2"/>
    <w:rsid w:val="000D4600"/>
    <w:rsid w:val="000D4616"/>
    <w:rsid w:val="000D465C"/>
    <w:rsid w:val="000D4664"/>
    <w:rsid w:val="000D4673"/>
    <w:rsid w:val="000D4761"/>
    <w:rsid w:val="000D4787"/>
    <w:rsid w:val="000D47A1"/>
    <w:rsid w:val="000D4847"/>
    <w:rsid w:val="000D48C5"/>
    <w:rsid w:val="000D48FD"/>
    <w:rsid w:val="000D4B23"/>
    <w:rsid w:val="000D4B46"/>
    <w:rsid w:val="000D4C7B"/>
    <w:rsid w:val="000D4D33"/>
    <w:rsid w:val="000D4D43"/>
    <w:rsid w:val="000D4E0E"/>
    <w:rsid w:val="000D4E9B"/>
    <w:rsid w:val="000D4FD3"/>
    <w:rsid w:val="000D5019"/>
    <w:rsid w:val="000D5030"/>
    <w:rsid w:val="000D506B"/>
    <w:rsid w:val="000D506C"/>
    <w:rsid w:val="000D50DE"/>
    <w:rsid w:val="000D51A9"/>
    <w:rsid w:val="000D543C"/>
    <w:rsid w:val="000D5486"/>
    <w:rsid w:val="000D5694"/>
    <w:rsid w:val="000D5753"/>
    <w:rsid w:val="000D578B"/>
    <w:rsid w:val="000D580D"/>
    <w:rsid w:val="000D5818"/>
    <w:rsid w:val="000D5837"/>
    <w:rsid w:val="000D5970"/>
    <w:rsid w:val="000D5A0E"/>
    <w:rsid w:val="000D5A7B"/>
    <w:rsid w:val="000D5AAD"/>
    <w:rsid w:val="000D5B0B"/>
    <w:rsid w:val="000D5B9A"/>
    <w:rsid w:val="000D5C2B"/>
    <w:rsid w:val="000D5C79"/>
    <w:rsid w:val="000D5DC6"/>
    <w:rsid w:val="000D5E01"/>
    <w:rsid w:val="000D5EC1"/>
    <w:rsid w:val="000D5F31"/>
    <w:rsid w:val="000D5FAB"/>
    <w:rsid w:val="000D5FB3"/>
    <w:rsid w:val="000D5FFD"/>
    <w:rsid w:val="000D603D"/>
    <w:rsid w:val="000D6057"/>
    <w:rsid w:val="000D613E"/>
    <w:rsid w:val="000D618D"/>
    <w:rsid w:val="000D619F"/>
    <w:rsid w:val="000D6206"/>
    <w:rsid w:val="000D638B"/>
    <w:rsid w:val="000D63BE"/>
    <w:rsid w:val="000D63E8"/>
    <w:rsid w:val="000D642D"/>
    <w:rsid w:val="000D64D9"/>
    <w:rsid w:val="000D6754"/>
    <w:rsid w:val="000D6779"/>
    <w:rsid w:val="000D687F"/>
    <w:rsid w:val="000D68AC"/>
    <w:rsid w:val="000D68F9"/>
    <w:rsid w:val="000D6908"/>
    <w:rsid w:val="000D6937"/>
    <w:rsid w:val="000D69A9"/>
    <w:rsid w:val="000D69C0"/>
    <w:rsid w:val="000D6A1D"/>
    <w:rsid w:val="000D6A44"/>
    <w:rsid w:val="000D6B7D"/>
    <w:rsid w:val="000D6C2C"/>
    <w:rsid w:val="000D6D83"/>
    <w:rsid w:val="000D6D9A"/>
    <w:rsid w:val="000D6DC5"/>
    <w:rsid w:val="000D6DCD"/>
    <w:rsid w:val="000D6DEF"/>
    <w:rsid w:val="000D6E11"/>
    <w:rsid w:val="000D6E36"/>
    <w:rsid w:val="000D6E91"/>
    <w:rsid w:val="000D6ECE"/>
    <w:rsid w:val="000D6EE3"/>
    <w:rsid w:val="000D6F07"/>
    <w:rsid w:val="000D6F82"/>
    <w:rsid w:val="000D6FF0"/>
    <w:rsid w:val="000D7023"/>
    <w:rsid w:val="000D70BF"/>
    <w:rsid w:val="000D70DC"/>
    <w:rsid w:val="000D72EC"/>
    <w:rsid w:val="000D73DD"/>
    <w:rsid w:val="000D73EE"/>
    <w:rsid w:val="000D7420"/>
    <w:rsid w:val="000D75D3"/>
    <w:rsid w:val="000D75F5"/>
    <w:rsid w:val="000D7680"/>
    <w:rsid w:val="000D76C6"/>
    <w:rsid w:val="000D7735"/>
    <w:rsid w:val="000D775B"/>
    <w:rsid w:val="000D7825"/>
    <w:rsid w:val="000D784C"/>
    <w:rsid w:val="000D7956"/>
    <w:rsid w:val="000D7A09"/>
    <w:rsid w:val="000D7AA1"/>
    <w:rsid w:val="000D7AB7"/>
    <w:rsid w:val="000D7ACE"/>
    <w:rsid w:val="000D7AEE"/>
    <w:rsid w:val="000D7B29"/>
    <w:rsid w:val="000D7B98"/>
    <w:rsid w:val="000D7C8A"/>
    <w:rsid w:val="000D7CE3"/>
    <w:rsid w:val="000D7D42"/>
    <w:rsid w:val="000D7D61"/>
    <w:rsid w:val="000D7D92"/>
    <w:rsid w:val="000D7DCE"/>
    <w:rsid w:val="000D7DDB"/>
    <w:rsid w:val="000E0039"/>
    <w:rsid w:val="000E0071"/>
    <w:rsid w:val="000E00CB"/>
    <w:rsid w:val="000E00CD"/>
    <w:rsid w:val="000E0221"/>
    <w:rsid w:val="000E0222"/>
    <w:rsid w:val="000E031C"/>
    <w:rsid w:val="000E0378"/>
    <w:rsid w:val="000E03E1"/>
    <w:rsid w:val="000E0467"/>
    <w:rsid w:val="000E0510"/>
    <w:rsid w:val="000E0576"/>
    <w:rsid w:val="000E05CD"/>
    <w:rsid w:val="000E0604"/>
    <w:rsid w:val="000E0630"/>
    <w:rsid w:val="000E0635"/>
    <w:rsid w:val="000E0656"/>
    <w:rsid w:val="000E0762"/>
    <w:rsid w:val="000E07CC"/>
    <w:rsid w:val="000E08F9"/>
    <w:rsid w:val="000E097E"/>
    <w:rsid w:val="000E0980"/>
    <w:rsid w:val="000E0999"/>
    <w:rsid w:val="000E0A0C"/>
    <w:rsid w:val="000E0B36"/>
    <w:rsid w:val="000E0B38"/>
    <w:rsid w:val="000E0B6B"/>
    <w:rsid w:val="000E0B74"/>
    <w:rsid w:val="000E0BA4"/>
    <w:rsid w:val="000E0C0F"/>
    <w:rsid w:val="000E0CF6"/>
    <w:rsid w:val="000E0D69"/>
    <w:rsid w:val="000E0E1F"/>
    <w:rsid w:val="000E0F11"/>
    <w:rsid w:val="000E0F45"/>
    <w:rsid w:val="000E0F75"/>
    <w:rsid w:val="000E0FF0"/>
    <w:rsid w:val="000E1036"/>
    <w:rsid w:val="000E1136"/>
    <w:rsid w:val="000E1183"/>
    <w:rsid w:val="000E1190"/>
    <w:rsid w:val="000E11C7"/>
    <w:rsid w:val="000E1249"/>
    <w:rsid w:val="000E1319"/>
    <w:rsid w:val="000E1342"/>
    <w:rsid w:val="000E1383"/>
    <w:rsid w:val="000E1465"/>
    <w:rsid w:val="000E1548"/>
    <w:rsid w:val="000E1574"/>
    <w:rsid w:val="000E15D5"/>
    <w:rsid w:val="000E15F6"/>
    <w:rsid w:val="000E15F9"/>
    <w:rsid w:val="000E1628"/>
    <w:rsid w:val="000E1630"/>
    <w:rsid w:val="000E16FD"/>
    <w:rsid w:val="000E172E"/>
    <w:rsid w:val="000E1768"/>
    <w:rsid w:val="000E17DB"/>
    <w:rsid w:val="000E17E5"/>
    <w:rsid w:val="000E18F0"/>
    <w:rsid w:val="000E19B9"/>
    <w:rsid w:val="000E1A72"/>
    <w:rsid w:val="000E1B4D"/>
    <w:rsid w:val="000E1B5C"/>
    <w:rsid w:val="000E1BB2"/>
    <w:rsid w:val="000E1C1C"/>
    <w:rsid w:val="000E1CB8"/>
    <w:rsid w:val="000E1CB9"/>
    <w:rsid w:val="000E1CBA"/>
    <w:rsid w:val="000E1D13"/>
    <w:rsid w:val="000E1D65"/>
    <w:rsid w:val="000E1D70"/>
    <w:rsid w:val="000E1E21"/>
    <w:rsid w:val="000E1E4D"/>
    <w:rsid w:val="000E1EEB"/>
    <w:rsid w:val="000E1EEE"/>
    <w:rsid w:val="000E2006"/>
    <w:rsid w:val="000E20E1"/>
    <w:rsid w:val="000E2109"/>
    <w:rsid w:val="000E21E7"/>
    <w:rsid w:val="000E22A7"/>
    <w:rsid w:val="000E23D2"/>
    <w:rsid w:val="000E23DF"/>
    <w:rsid w:val="000E23E6"/>
    <w:rsid w:val="000E23E7"/>
    <w:rsid w:val="000E249E"/>
    <w:rsid w:val="000E2673"/>
    <w:rsid w:val="000E275D"/>
    <w:rsid w:val="000E27DD"/>
    <w:rsid w:val="000E280A"/>
    <w:rsid w:val="000E2879"/>
    <w:rsid w:val="000E2948"/>
    <w:rsid w:val="000E296B"/>
    <w:rsid w:val="000E29CD"/>
    <w:rsid w:val="000E2AAE"/>
    <w:rsid w:val="000E2B42"/>
    <w:rsid w:val="000E2B66"/>
    <w:rsid w:val="000E2B9B"/>
    <w:rsid w:val="000E2CA1"/>
    <w:rsid w:val="000E2D96"/>
    <w:rsid w:val="000E2DDD"/>
    <w:rsid w:val="000E2DEB"/>
    <w:rsid w:val="000E2E2D"/>
    <w:rsid w:val="000E2EB0"/>
    <w:rsid w:val="000E2EDF"/>
    <w:rsid w:val="000E300D"/>
    <w:rsid w:val="000E305B"/>
    <w:rsid w:val="000E3088"/>
    <w:rsid w:val="000E30C7"/>
    <w:rsid w:val="000E3223"/>
    <w:rsid w:val="000E3228"/>
    <w:rsid w:val="000E3271"/>
    <w:rsid w:val="000E32B6"/>
    <w:rsid w:val="000E32B9"/>
    <w:rsid w:val="000E32DE"/>
    <w:rsid w:val="000E334D"/>
    <w:rsid w:val="000E3358"/>
    <w:rsid w:val="000E3359"/>
    <w:rsid w:val="000E339C"/>
    <w:rsid w:val="000E33E8"/>
    <w:rsid w:val="000E342A"/>
    <w:rsid w:val="000E3569"/>
    <w:rsid w:val="000E35AD"/>
    <w:rsid w:val="000E366E"/>
    <w:rsid w:val="000E3687"/>
    <w:rsid w:val="000E36C6"/>
    <w:rsid w:val="000E36E5"/>
    <w:rsid w:val="000E3731"/>
    <w:rsid w:val="000E3838"/>
    <w:rsid w:val="000E3893"/>
    <w:rsid w:val="000E3AE4"/>
    <w:rsid w:val="000E3AF8"/>
    <w:rsid w:val="000E3BCC"/>
    <w:rsid w:val="000E3CD7"/>
    <w:rsid w:val="000E3D19"/>
    <w:rsid w:val="000E3E74"/>
    <w:rsid w:val="000E3EA4"/>
    <w:rsid w:val="000E3EAF"/>
    <w:rsid w:val="000E3EFC"/>
    <w:rsid w:val="000E3F10"/>
    <w:rsid w:val="000E41EA"/>
    <w:rsid w:val="000E425A"/>
    <w:rsid w:val="000E4379"/>
    <w:rsid w:val="000E4390"/>
    <w:rsid w:val="000E4491"/>
    <w:rsid w:val="000E44E5"/>
    <w:rsid w:val="000E45B3"/>
    <w:rsid w:val="000E4623"/>
    <w:rsid w:val="000E46FB"/>
    <w:rsid w:val="000E4808"/>
    <w:rsid w:val="000E48AB"/>
    <w:rsid w:val="000E48FD"/>
    <w:rsid w:val="000E49CE"/>
    <w:rsid w:val="000E4A2E"/>
    <w:rsid w:val="000E4A77"/>
    <w:rsid w:val="000E4AA4"/>
    <w:rsid w:val="000E4AA5"/>
    <w:rsid w:val="000E4B2C"/>
    <w:rsid w:val="000E4B7E"/>
    <w:rsid w:val="000E4BA3"/>
    <w:rsid w:val="000E4BA8"/>
    <w:rsid w:val="000E4C36"/>
    <w:rsid w:val="000E4C97"/>
    <w:rsid w:val="000E4DCA"/>
    <w:rsid w:val="000E4DE2"/>
    <w:rsid w:val="000E4E3A"/>
    <w:rsid w:val="000E4EBD"/>
    <w:rsid w:val="000E4EDC"/>
    <w:rsid w:val="000E4EFD"/>
    <w:rsid w:val="000E5046"/>
    <w:rsid w:val="000E520B"/>
    <w:rsid w:val="000E52D1"/>
    <w:rsid w:val="000E5407"/>
    <w:rsid w:val="000E5482"/>
    <w:rsid w:val="000E54C4"/>
    <w:rsid w:val="000E54C6"/>
    <w:rsid w:val="000E55DD"/>
    <w:rsid w:val="000E5703"/>
    <w:rsid w:val="000E57E5"/>
    <w:rsid w:val="000E5845"/>
    <w:rsid w:val="000E58BD"/>
    <w:rsid w:val="000E59A2"/>
    <w:rsid w:val="000E59B8"/>
    <w:rsid w:val="000E5A4E"/>
    <w:rsid w:val="000E5A5D"/>
    <w:rsid w:val="000E5A8A"/>
    <w:rsid w:val="000E5AC1"/>
    <w:rsid w:val="000E5B03"/>
    <w:rsid w:val="000E5B8B"/>
    <w:rsid w:val="000E5BEC"/>
    <w:rsid w:val="000E5C20"/>
    <w:rsid w:val="000E5D1D"/>
    <w:rsid w:val="000E5EAE"/>
    <w:rsid w:val="000E6099"/>
    <w:rsid w:val="000E610F"/>
    <w:rsid w:val="000E6190"/>
    <w:rsid w:val="000E61B5"/>
    <w:rsid w:val="000E61EC"/>
    <w:rsid w:val="000E6233"/>
    <w:rsid w:val="000E628A"/>
    <w:rsid w:val="000E6380"/>
    <w:rsid w:val="000E63F8"/>
    <w:rsid w:val="000E641C"/>
    <w:rsid w:val="000E65DB"/>
    <w:rsid w:val="000E6890"/>
    <w:rsid w:val="000E68D6"/>
    <w:rsid w:val="000E68E2"/>
    <w:rsid w:val="000E692A"/>
    <w:rsid w:val="000E697E"/>
    <w:rsid w:val="000E6A36"/>
    <w:rsid w:val="000E6AAE"/>
    <w:rsid w:val="000E6ABC"/>
    <w:rsid w:val="000E6B8E"/>
    <w:rsid w:val="000E6C3E"/>
    <w:rsid w:val="000E6C7E"/>
    <w:rsid w:val="000E6CB0"/>
    <w:rsid w:val="000E6CE5"/>
    <w:rsid w:val="000E6D96"/>
    <w:rsid w:val="000E6E4A"/>
    <w:rsid w:val="000E6F60"/>
    <w:rsid w:val="000E6F96"/>
    <w:rsid w:val="000E6FA4"/>
    <w:rsid w:val="000E6FD5"/>
    <w:rsid w:val="000E6FEF"/>
    <w:rsid w:val="000E7023"/>
    <w:rsid w:val="000E7049"/>
    <w:rsid w:val="000E7077"/>
    <w:rsid w:val="000E70EB"/>
    <w:rsid w:val="000E70F9"/>
    <w:rsid w:val="000E7145"/>
    <w:rsid w:val="000E7183"/>
    <w:rsid w:val="000E7204"/>
    <w:rsid w:val="000E7207"/>
    <w:rsid w:val="000E727D"/>
    <w:rsid w:val="000E72DD"/>
    <w:rsid w:val="000E72EF"/>
    <w:rsid w:val="000E73DB"/>
    <w:rsid w:val="000E74E2"/>
    <w:rsid w:val="000E7535"/>
    <w:rsid w:val="000E7564"/>
    <w:rsid w:val="000E75A6"/>
    <w:rsid w:val="000E75FB"/>
    <w:rsid w:val="000E76C5"/>
    <w:rsid w:val="000E7901"/>
    <w:rsid w:val="000E7952"/>
    <w:rsid w:val="000E79DE"/>
    <w:rsid w:val="000E7AB7"/>
    <w:rsid w:val="000E7B01"/>
    <w:rsid w:val="000E7BD6"/>
    <w:rsid w:val="000E7C47"/>
    <w:rsid w:val="000E7CD3"/>
    <w:rsid w:val="000E7D91"/>
    <w:rsid w:val="000E7DD5"/>
    <w:rsid w:val="000E7EA4"/>
    <w:rsid w:val="000E7FF1"/>
    <w:rsid w:val="000F0200"/>
    <w:rsid w:val="000F0270"/>
    <w:rsid w:val="000F029E"/>
    <w:rsid w:val="000F02CC"/>
    <w:rsid w:val="000F0309"/>
    <w:rsid w:val="000F031B"/>
    <w:rsid w:val="000F032A"/>
    <w:rsid w:val="000F0472"/>
    <w:rsid w:val="000F049E"/>
    <w:rsid w:val="000F05DA"/>
    <w:rsid w:val="000F0648"/>
    <w:rsid w:val="000F0656"/>
    <w:rsid w:val="000F0713"/>
    <w:rsid w:val="000F0717"/>
    <w:rsid w:val="000F076D"/>
    <w:rsid w:val="000F07E9"/>
    <w:rsid w:val="000F0824"/>
    <w:rsid w:val="000F0890"/>
    <w:rsid w:val="000F0899"/>
    <w:rsid w:val="000F089F"/>
    <w:rsid w:val="000F0988"/>
    <w:rsid w:val="000F09DF"/>
    <w:rsid w:val="000F09F9"/>
    <w:rsid w:val="000F0A1A"/>
    <w:rsid w:val="000F0A29"/>
    <w:rsid w:val="000F0AAA"/>
    <w:rsid w:val="000F0C46"/>
    <w:rsid w:val="000F0C95"/>
    <w:rsid w:val="000F0CE7"/>
    <w:rsid w:val="000F0D42"/>
    <w:rsid w:val="000F0D73"/>
    <w:rsid w:val="000F0EA0"/>
    <w:rsid w:val="000F0EA8"/>
    <w:rsid w:val="000F0ED4"/>
    <w:rsid w:val="000F0F4E"/>
    <w:rsid w:val="000F0FC4"/>
    <w:rsid w:val="000F0FE4"/>
    <w:rsid w:val="000F103C"/>
    <w:rsid w:val="000F103E"/>
    <w:rsid w:val="000F1053"/>
    <w:rsid w:val="000F1062"/>
    <w:rsid w:val="000F106D"/>
    <w:rsid w:val="000F12A5"/>
    <w:rsid w:val="000F12E2"/>
    <w:rsid w:val="000F12FA"/>
    <w:rsid w:val="000F1300"/>
    <w:rsid w:val="000F140E"/>
    <w:rsid w:val="000F1751"/>
    <w:rsid w:val="000F1793"/>
    <w:rsid w:val="000F17A3"/>
    <w:rsid w:val="000F1834"/>
    <w:rsid w:val="000F1863"/>
    <w:rsid w:val="000F19AB"/>
    <w:rsid w:val="000F19D9"/>
    <w:rsid w:val="000F1ABE"/>
    <w:rsid w:val="000F1BF0"/>
    <w:rsid w:val="000F1C2D"/>
    <w:rsid w:val="000F1D07"/>
    <w:rsid w:val="000F1E94"/>
    <w:rsid w:val="000F1EB9"/>
    <w:rsid w:val="000F1ED3"/>
    <w:rsid w:val="000F1EFB"/>
    <w:rsid w:val="000F1F00"/>
    <w:rsid w:val="000F1F8D"/>
    <w:rsid w:val="000F1FF0"/>
    <w:rsid w:val="000F1FF3"/>
    <w:rsid w:val="000F1FF6"/>
    <w:rsid w:val="000F2003"/>
    <w:rsid w:val="000F2100"/>
    <w:rsid w:val="000F2175"/>
    <w:rsid w:val="000F2253"/>
    <w:rsid w:val="000F233B"/>
    <w:rsid w:val="000F2342"/>
    <w:rsid w:val="000F23E0"/>
    <w:rsid w:val="000F245C"/>
    <w:rsid w:val="000F2640"/>
    <w:rsid w:val="000F26A3"/>
    <w:rsid w:val="000F2748"/>
    <w:rsid w:val="000F2761"/>
    <w:rsid w:val="000F27B7"/>
    <w:rsid w:val="000F27FD"/>
    <w:rsid w:val="000F2846"/>
    <w:rsid w:val="000F2890"/>
    <w:rsid w:val="000F289C"/>
    <w:rsid w:val="000F28D6"/>
    <w:rsid w:val="000F29FC"/>
    <w:rsid w:val="000F2BAC"/>
    <w:rsid w:val="000F2DE6"/>
    <w:rsid w:val="000F2EA9"/>
    <w:rsid w:val="000F2EE1"/>
    <w:rsid w:val="000F2F89"/>
    <w:rsid w:val="000F2FAD"/>
    <w:rsid w:val="000F3017"/>
    <w:rsid w:val="000F314F"/>
    <w:rsid w:val="000F3220"/>
    <w:rsid w:val="000F327C"/>
    <w:rsid w:val="000F3302"/>
    <w:rsid w:val="000F33DD"/>
    <w:rsid w:val="000F3494"/>
    <w:rsid w:val="000F34A4"/>
    <w:rsid w:val="000F371E"/>
    <w:rsid w:val="000F3722"/>
    <w:rsid w:val="000F373D"/>
    <w:rsid w:val="000F3848"/>
    <w:rsid w:val="000F3874"/>
    <w:rsid w:val="000F38FC"/>
    <w:rsid w:val="000F397D"/>
    <w:rsid w:val="000F39D8"/>
    <w:rsid w:val="000F3A89"/>
    <w:rsid w:val="000F3AE4"/>
    <w:rsid w:val="000F3B04"/>
    <w:rsid w:val="000F3BA7"/>
    <w:rsid w:val="000F3C77"/>
    <w:rsid w:val="000F3E38"/>
    <w:rsid w:val="000F3E70"/>
    <w:rsid w:val="000F3E85"/>
    <w:rsid w:val="000F3F75"/>
    <w:rsid w:val="000F3F89"/>
    <w:rsid w:val="000F404D"/>
    <w:rsid w:val="000F404E"/>
    <w:rsid w:val="000F40D2"/>
    <w:rsid w:val="000F4114"/>
    <w:rsid w:val="000F41BF"/>
    <w:rsid w:val="000F43C9"/>
    <w:rsid w:val="000F4416"/>
    <w:rsid w:val="000F4537"/>
    <w:rsid w:val="000F46A5"/>
    <w:rsid w:val="000F46F2"/>
    <w:rsid w:val="000F4734"/>
    <w:rsid w:val="000F479D"/>
    <w:rsid w:val="000F4883"/>
    <w:rsid w:val="000F4967"/>
    <w:rsid w:val="000F49EC"/>
    <w:rsid w:val="000F49FD"/>
    <w:rsid w:val="000F4C0F"/>
    <w:rsid w:val="000F4D85"/>
    <w:rsid w:val="000F4D9F"/>
    <w:rsid w:val="000F4DCA"/>
    <w:rsid w:val="000F4EA7"/>
    <w:rsid w:val="000F4EB7"/>
    <w:rsid w:val="000F4EBE"/>
    <w:rsid w:val="000F4EC0"/>
    <w:rsid w:val="000F4ED2"/>
    <w:rsid w:val="000F4F27"/>
    <w:rsid w:val="000F4F44"/>
    <w:rsid w:val="000F4FAA"/>
    <w:rsid w:val="000F4FF0"/>
    <w:rsid w:val="000F505F"/>
    <w:rsid w:val="000F50CF"/>
    <w:rsid w:val="000F51AA"/>
    <w:rsid w:val="000F51B7"/>
    <w:rsid w:val="000F520A"/>
    <w:rsid w:val="000F528A"/>
    <w:rsid w:val="000F532B"/>
    <w:rsid w:val="000F533A"/>
    <w:rsid w:val="000F5385"/>
    <w:rsid w:val="000F53D3"/>
    <w:rsid w:val="000F53D5"/>
    <w:rsid w:val="000F5453"/>
    <w:rsid w:val="000F5497"/>
    <w:rsid w:val="000F5513"/>
    <w:rsid w:val="000F5548"/>
    <w:rsid w:val="000F5580"/>
    <w:rsid w:val="000F55CC"/>
    <w:rsid w:val="000F5614"/>
    <w:rsid w:val="000F56BE"/>
    <w:rsid w:val="000F5723"/>
    <w:rsid w:val="000F5727"/>
    <w:rsid w:val="000F5731"/>
    <w:rsid w:val="000F583E"/>
    <w:rsid w:val="000F5867"/>
    <w:rsid w:val="000F58C0"/>
    <w:rsid w:val="000F59BB"/>
    <w:rsid w:val="000F59FE"/>
    <w:rsid w:val="000F5AA6"/>
    <w:rsid w:val="000F5AAF"/>
    <w:rsid w:val="000F5B86"/>
    <w:rsid w:val="000F5B9A"/>
    <w:rsid w:val="000F5BBC"/>
    <w:rsid w:val="000F5BEC"/>
    <w:rsid w:val="000F5BF4"/>
    <w:rsid w:val="000F5C1D"/>
    <w:rsid w:val="000F5D54"/>
    <w:rsid w:val="000F5DF0"/>
    <w:rsid w:val="000F5E7C"/>
    <w:rsid w:val="000F5EFA"/>
    <w:rsid w:val="000F5F44"/>
    <w:rsid w:val="000F5F46"/>
    <w:rsid w:val="000F5F5C"/>
    <w:rsid w:val="000F5FCA"/>
    <w:rsid w:val="000F6065"/>
    <w:rsid w:val="000F6087"/>
    <w:rsid w:val="000F608C"/>
    <w:rsid w:val="000F6189"/>
    <w:rsid w:val="000F6233"/>
    <w:rsid w:val="000F62F6"/>
    <w:rsid w:val="000F630E"/>
    <w:rsid w:val="000F6324"/>
    <w:rsid w:val="000F6328"/>
    <w:rsid w:val="000F634D"/>
    <w:rsid w:val="000F643F"/>
    <w:rsid w:val="000F6463"/>
    <w:rsid w:val="000F6470"/>
    <w:rsid w:val="000F64AC"/>
    <w:rsid w:val="000F653B"/>
    <w:rsid w:val="000F65AB"/>
    <w:rsid w:val="000F6640"/>
    <w:rsid w:val="000F66AB"/>
    <w:rsid w:val="000F6710"/>
    <w:rsid w:val="000F6727"/>
    <w:rsid w:val="000F686B"/>
    <w:rsid w:val="000F68E9"/>
    <w:rsid w:val="000F6A1C"/>
    <w:rsid w:val="000F6A6A"/>
    <w:rsid w:val="000F6AAA"/>
    <w:rsid w:val="000F6AD3"/>
    <w:rsid w:val="000F6BE7"/>
    <w:rsid w:val="000F6CA5"/>
    <w:rsid w:val="000F6D15"/>
    <w:rsid w:val="000F6DDE"/>
    <w:rsid w:val="000F6E35"/>
    <w:rsid w:val="000F6E86"/>
    <w:rsid w:val="000F6EA1"/>
    <w:rsid w:val="000F6EE6"/>
    <w:rsid w:val="000F6F35"/>
    <w:rsid w:val="000F702F"/>
    <w:rsid w:val="000F7063"/>
    <w:rsid w:val="000F70C6"/>
    <w:rsid w:val="000F7141"/>
    <w:rsid w:val="000F7154"/>
    <w:rsid w:val="000F7155"/>
    <w:rsid w:val="000F7198"/>
    <w:rsid w:val="000F72C7"/>
    <w:rsid w:val="000F7356"/>
    <w:rsid w:val="000F73A3"/>
    <w:rsid w:val="000F73BB"/>
    <w:rsid w:val="000F740D"/>
    <w:rsid w:val="000F749E"/>
    <w:rsid w:val="000F74C4"/>
    <w:rsid w:val="000F74E8"/>
    <w:rsid w:val="000F760B"/>
    <w:rsid w:val="000F7646"/>
    <w:rsid w:val="000F7669"/>
    <w:rsid w:val="000F76AF"/>
    <w:rsid w:val="000F76C1"/>
    <w:rsid w:val="000F7723"/>
    <w:rsid w:val="000F773E"/>
    <w:rsid w:val="000F778B"/>
    <w:rsid w:val="000F7862"/>
    <w:rsid w:val="000F79E6"/>
    <w:rsid w:val="000F79FB"/>
    <w:rsid w:val="000F7A00"/>
    <w:rsid w:val="000F7A09"/>
    <w:rsid w:val="000F7AA5"/>
    <w:rsid w:val="000F7AF1"/>
    <w:rsid w:val="000F7B71"/>
    <w:rsid w:val="000F7B74"/>
    <w:rsid w:val="000F7B9B"/>
    <w:rsid w:val="000F7D2E"/>
    <w:rsid w:val="000F7D76"/>
    <w:rsid w:val="000F7DF1"/>
    <w:rsid w:val="000F7E79"/>
    <w:rsid w:val="000F7F08"/>
    <w:rsid w:val="000F7F42"/>
    <w:rsid w:val="000F7F9C"/>
    <w:rsid w:val="000F7FE1"/>
    <w:rsid w:val="00100008"/>
    <w:rsid w:val="00100010"/>
    <w:rsid w:val="00100070"/>
    <w:rsid w:val="001000CD"/>
    <w:rsid w:val="001000D4"/>
    <w:rsid w:val="0010012C"/>
    <w:rsid w:val="00100141"/>
    <w:rsid w:val="001001A6"/>
    <w:rsid w:val="00100215"/>
    <w:rsid w:val="001002F7"/>
    <w:rsid w:val="00100329"/>
    <w:rsid w:val="0010039C"/>
    <w:rsid w:val="0010045B"/>
    <w:rsid w:val="00100476"/>
    <w:rsid w:val="00100482"/>
    <w:rsid w:val="001004B3"/>
    <w:rsid w:val="00100508"/>
    <w:rsid w:val="0010052C"/>
    <w:rsid w:val="00100587"/>
    <w:rsid w:val="00100609"/>
    <w:rsid w:val="0010060A"/>
    <w:rsid w:val="00100621"/>
    <w:rsid w:val="0010074E"/>
    <w:rsid w:val="00100789"/>
    <w:rsid w:val="00100938"/>
    <w:rsid w:val="00100968"/>
    <w:rsid w:val="001009CF"/>
    <w:rsid w:val="00100B0C"/>
    <w:rsid w:val="00100B40"/>
    <w:rsid w:val="00100B86"/>
    <w:rsid w:val="00100BBF"/>
    <w:rsid w:val="00100C54"/>
    <w:rsid w:val="00100D05"/>
    <w:rsid w:val="00100DD5"/>
    <w:rsid w:val="00100E46"/>
    <w:rsid w:val="00100F38"/>
    <w:rsid w:val="00100F77"/>
    <w:rsid w:val="00100FC3"/>
    <w:rsid w:val="00100FCB"/>
    <w:rsid w:val="00101025"/>
    <w:rsid w:val="0010106A"/>
    <w:rsid w:val="00101114"/>
    <w:rsid w:val="00101134"/>
    <w:rsid w:val="00101208"/>
    <w:rsid w:val="0010121E"/>
    <w:rsid w:val="00101380"/>
    <w:rsid w:val="001014C0"/>
    <w:rsid w:val="00101509"/>
    <w:rsid w:val="0010156C"/>
    <w:rsid w:val="00101577"/>
    <w:rsid w:val="00101596"/>
    <w:rsid w:val="001015E5"/>
    <w:rsid w:val="0010161D"/>
    <w:rsid w:val="00101642"/>
    <w:rsid w:val="001016B2"/>
    <w:rsid w:val="001016C2"/>
    <w:rsid w:val="001016DE"/>
    <w:rsid w:val="00101789"/>
    <w:rsid w:val="001017D1"/>
    <w:rsid w:val="00101871"/>
    <w:rsid w:val="001018CB"/>
    <w:rsid w:val="00101977"/>
    <w:rsid w:val="0010198D"/>
    <w:rsid w:val="001019DF"/>
    <w:rsid w:val="00101A0D"/>
    <w:rsid w:val="00101A24"/>
    <w:rsid w:val="00101AE5"/>
    <w:rsid w:val="00101B01"/>
    <w:rsid w:val="00101B8E"/>
    <w:rsid w:val="00101B8F"/>
    <w:rsid w:val="00101CA1"/>
    <w:rsid w:val="00101CE4"/>
    <w:rsid w:val="00101D07"/>
    <w:rsid w:val="00101DCF"/>
    <w:rsid w:val="00101DF9"/>
    <w:rsid w:val="00101E49"/>
    <w:rsid w:val="00101EB8"/>
    <w:rsid w:val="00102056"/>
    <w:rsid w:val="0010205C"/>
    <w:rsid w:val="001020C4"/>
    <w:rsid w:val="001020E5"/>
    <w:rsid w:val="0010214C"/>
    <w:rsid w:val="00102157"/>
    <w:rsid w:val="0010217F"/>
    <w:rsid w:val="0010224A"/>
    <w:rsid w:val="00102382"/>
    <w:rsid w:val="001023C6"/>
    <w:rsid w:val="001023D4"/>
    <w:rsid w:val="0010241F"/>
    <w:rsid w:val="00102427"/>
    <w:rsid w:val="00102503"/>
    <w:rsid w:val="00102509"/>
    <w:rsid w:val="00102513"/>
    <w:rsid w:val="00102544"/>
    <w:rsid w:val="001025C2"/>
    <w:rsid w:val="00102601"/>
    <w:rsid w:val="0010267B"/>
    <w:rsid w:val="00102737"/>
    <w:rsid w:val="0010279C"/>
    <w:rsid w:val="001027E5"/>
    <w:rsid w:val="00102834"/>
    <w:rsid w:val="0010283A"/>
    <w:rsid w:val="0010287A"/>
    <w:rsid w:val="00102881"/>
    <w:rsid w:val="001028CC"/>
    <w:rsid w:val="001028DB"/>
    <w:rsid w:val="00102ADD"/>
    <w:rsid w:val="00102B7D"/>
    <w:rsid w:val="00102BEC"/>
    <w:rsid w:val="00102D6E"/>
    <w:rsid w:val="00102D9B"/>
    <w:rsid w:val="00102E16"/>
    <w:rsid w:val="00102E29"/>
    <w:rsid w:val="00102E50"/>
    <w:rsid w:val="00102EAC"/>
    <w:rsid w:val="00102EB6"/>
    <w:rsid w:val="00103018"/>
    <w:rsid w:val="00103055"/>
    <w:rsid w:val="0010308C"/>
    <w:rsid w:val="001030DB"/>
    <w:rsid w:val="001030FC"/>
    <w:rsid w:val="001031F8"/>
    <w:rsid w:val="001033FB"/>
    <w:rsid w:val="00103424"/>
    <w:rsid w:val="0010353E"/>
    <w:rsid w:val="00103547"/>
    <w:rsid w:val="00103556"/>
    <w:rsid w:val="00103599"/>
    <w:rsid w:val="0010359B"/>
    <w:rsid w:val="00103651"/>
    <w:rsid w:val="00103743"/>
    <w:rsid w:val="001037CA"/>
    <w:rsid w:val="001037FE"/>
    <w:rsid w:val="00103895"/>
    <w:rsid w:val="00103925"/>
    <w:rsid w:val="00103A06"/>
    <w:rsid w:val="00103A75"/>
    <w:rsid w:val="00103C21"/>
    <w:rsid w:val="00103C9D"/>
    <w:rsid w:val="00103E75"/>
    <w:rsid w:val="00103EF8"/>
    <w:rsid w:val="00103EFC"/>
    <w:rsid w:val="00103F0D"/>
    <w:rsid w:val="00103F3F"/>
    <w:rsid w:val="00103FB2"/>
    <w:rsid w:val="00103FFB"/>
    <w:rsid w:val="00104020"/>
    <w:rsid w:val="00104041"/>
    <w:rsid w:val="00104049"/>
    <w:rsid w:val="00104159"/>
    <w:rsid w:val="0010419A"/>
    <w:rsid w:val="00104202"/>
    <w:rsid w:val="00104423"/>
    <w:rsid w:val="00104427"/>
    <w:rsid w:val="00104436"/>
    <w:rsid w:val="001044CA"/>
    <w:rsid w:val="00104516"/>
    <w:rsid w:val="00104547"/>
    <w:rsid w:val="00104553"/>
    <w:rsid w:val="0010459D"/>
    <w:rsid w:val="00104648"/>
    <w:rsid w:val="001046AF"/>
    <w:rsid w:val="00104792"/>
    <w:rsid w:val="00104860"/>
    <w:rsid w:val="00104874"/>
    <w:rsid w:val="00104921"/>
    <w:rsid w:val="00104A0A"/>
    <w:rsid w:val="00104AC9"/>
    <w:rsid w:val="00104B22"/>
    <w:rsid w:val="00104B2F"/>
    <w:rsid w:val="00104B35"/>
    <w:rsid w:val="00104B54"/>
    <w:rsid w:val="00104B74"/>
    <w:rsid w:val="00104BB8"/>
    <w:rsid w:val="00104BD5"/>
    <w:rsid w:val="00104BF2"/>
    <w:rsid w:val="00104BF7"/>
    <w:rsid w:val="00104C70"/>
    <w:rsid w:val="00104C83"/>
    <w:rsid w:val="00104C9D"/>
    <w:rsid w:val="00104D14"/>
    <w:rsid w:val="00104D77"/>
    <w:rsid w:val="00104DA1"/>
    <w:rsid w:val="00104E4B"/>
    <w:rsid w:val="00104F31"/>
    <w:rsid w:val="00105067"/>
    <w:rsid w:val="001050C3"/>
    <w:rsid w:val="001050DF"/>
    <w:rsid w:val="00105138"/>
    <w:rsid w:val="00105197"/>
    <w:rsid w:val="001051AA"/>
    <w:rsid w:val="0010522C"/>
    <w:rsid w:val="001052B0"/>
    <w:rsid w:val="001052FF"/>
    <w:rsid w:val="0010530D"/>
    <w:rsid w:val="0010535F"/>
    <w:rsid w:val="00105371"/>
    <w:rsid w:val="001053E4"/>
    <w:rsid w:val="00105499"/>
    <w:rsid w:val="0010553F"/>
    <w:rsid w:val="00105576"/>
    <w:rsid w:val="001055D5"/>
    <w:rsid w:val="00105637"/>
    <w:rsid w:val="0010566C"/>
    <w:rsid w:val="001056DC"/>
    <w:rsid w:val="001056F4"/>
    <w:rsid w:val="0010576F"/>
    <w:rsid w:val="00105790"/>
    <w:rsid w:val="0010587B"/>
    <w:rsid w:val="00105892"/>
    <w:rsid w:val="001058AD"/>
    <w:rsid w:val="001058F9"/>
    <w:rsid w:val="00105A1D"/>
    <w:rsid w:val="00105ADC"/>
    <w:rsid w:val="00105B3E"/>
    <w:rsid w:val="00105BC8"/>
    <w:rsid w:val="00105C1A"/>
    <w:rsid w:val="00105C58"/>
    <w:rsid w:val="00105CC9"/>
    <w:rsid w:val="00105D27"/>
    <w:rsid w:val="00105DCA"/>
    <w:rsid w:val="00105F34"/>
    <w:rsid w:val="00105FAC"/>
    <w:rsid w:val="00105FD3"/>
    <w:rsid w:val="00105FF3"/>
    <w:rsid w:val="0010603D"/>
    <w:rsid w:val="0010605A"/>
    <w:rsid w:val="0010609C"/>
    <w:rsid w:val="001060C8"/>
    <w:rsid w:val="00106218"/>
    <w:rsid w:val="0010626D"/>
    <w:rsid w:val="00106290"/>
    <w:rsid w:val="001062B8"/>
    <w:rsid w:val="001062DC"/>
    <w:rsid w:val="001062E4"/>
    <w:rsid w:val="00106342"/>
    <w:rsid w:val="00106381"/>
    <w:rsid w:val="00106413"/>
    <w:rsid w:val="00106480"/>
    <w:rsid w:val="001065FD"/>
    <w:rsid w:val="00106632"/>
    <w:rsid w:val="0010666A"/>
    <w:rsid w:val="001066B5"/>
    <w:rsid w:val="001067ED"/>
    <w:rsid w:val="00106847"/>
    <w:rsid w:val="001068B8"/>
    <w:rsid w:val="001068D1"/>
    <w:rsid w:val="0010697F"/>
    <w:rsid w:val="00106AD4"/>
    <w:rsid w:val="00106AF5"/>
    <w:rsid w:val="00106B58"/>
    <w:rsid w:val="00106C21"/>
    <w:rsid w:val="00106C53"/>
    <w:rsid w:val="00106C72"/>
    <w:rsid w:val="00106CB0"/>
    <w:rsid w:val="00106CE9"/>
    <w:rsid w:val="00106DCC"/>
    <w:rsid w:val="00106E25"/>
    <w:rsid w:val="00106EB5"/>
    <w:rsid w:val="00106EBD"/>
    <w:rsid w:val="00106F85"/>
    <w:rsid w:val="00106F93"/>
    <w:rsid w:val="00106FC7"/>
    <w:rsid w:val="00107045"/>
    <w:rsid w:val="001070A3"/>
    <w:rsid w:val="001070C4"/>
    <w:rsid w:val="001070D0"/>
    <w:rsid w:val="001070F3"/>
    <w:rsid w:val="00107143"/>
    <w:rsid w:val="00107283"/>
    <w:rsid w:val="0010739B"/>
    <w:rsid w:val="0010745F"/>
    <w:rsid w:val="001075B9"/>
    <w:rsid w:val="001075D7"/>
    <w:rsid w:val="00107675"/>
    <w:rsid w:val="0010774B"/>
    <w:rsid w:val="00107760"/>
    <w:rsid w:val="00107794"/>
    <w:rsid w:val="001077BE"/>
    <w:rsid w:val="001077D4"/>
    <w:rsid w:val="001077D5"/>
    <w:rsid w:val="00107845"/>
    <w:rsid w:val="00107878"/>
    <w:rsid w:val="001078CE"/>
    <w:rsid w:val="0010790C"/>
    <w:rsid w:val="00107920"/>
    <w:rsid w:val="00107B7F"/>
    <w:rsid w:val="00107C19"/>
    <w:rsid w:val="00107C1E"/>
    <w:rsid w:val="00107D11"/>
    <w:rsid w:val="00107DA2"/>
    <w:rsid w:val="00107DC0"/>
    <w:rsid w:val="00107DD6"/>
    <w:rsid w:val="00107E83"/>
    <w:rsid w:val="00107E96"/>
    <w:rsid w:val="00107EC5"/>
    <w:rsid w:val="00107EE6"/>
    <w:rsid w:val="00107EF7"/>
    <w:rsid w:val="00107F72"/>
    <w:rsid w:val="00107F9E"/>
    <w:rsid w:val="00110024"/>
    <w:rsid w:val="0011005C"/>
    <w:rsid w:val="00110176"/>
    <w:rsid w:val="0011017D"/>
    <w:rsid w:val="00110229"/>
    <w:rsid w:val="001102BB"/>
    <w:rsid w:val="001102D7"/>
    <w:rsid w:val="001104BB"/>
    <w:rsid w:val="0011056E"/>
    <w:rsid w:val="00110583"/>
    <w:rsid w:val="001105FA"/>
    <w:rsid w:val="0011062F"/>
    <w:rsid w:val="00110712"/>
    <w:rsid w:val="0011072C"/>
    <w:rsid w:val="00110756"/>
    <w:rsid w:val="00110851"/>
    <w:rsid w:val="00110905"/>
    <w:rsid w:val="001109B3"/>
    <w:rsid w:val="00110A7D"/>
    <w:rsid w:val="00110BD7"/>
    <w:rsid w:val="00110C7F"/>
    <w:rsid w:val="00110CC4"/>
    <w:rsid w:val="00110CCC"/>
    <w:rsid w:val="00110D2A"/>
    <w:rsid w:val="00110D4D"/>
    <w:rsid w:val="00110D80"/>
    <w:rsid w:val="00110DB2"/>
    <w:rsid w:val="00110DF4"/>
    <w:rsid w:val="00110EB1"/>
    <w:rsid w:val="00110F0C"/>
    <w:rsid w:val="00110F30"/>
    <w:rsid w:val="00110F7F"/>
    <w:rsid w:val="00111026"/>
    <w:rsid w:val="0011104C"/>
    <w:rsid w:val="00111056"/>
    <w:rsid w:val="001110AB"/>
    <w:rsid w:val="0011127D"/>
    <w:rsid w:val="0011128D"/>
    <w:rsid w:val="00111357"/>
    <w:rsid w:val="001113B0"/>
    <w:rsid w:val="00111487"/>
    <w:rsid w:val="0011154C"/>
    <w:rsid w:val="0011156D"/>
    <w:rsid w:val="0011159B"/>
    <w:rsid w:val="001115EC"/>
    <w:rsid w:val="0011164D"/>
    <w:rsid w:val="00111670"/>
    <w:rsid w:val="001116AD"/>
    <w:rsid w:val="001116DE"/>
    <w:rsid w:val="001117A7"/>
    <w:rsid w:val="001117D5"/>
    <w:rsid w:val="00111823"/>
    <w:rsid w:val="00111A15"/>
    <w:rsid w:val="00111A3B"/>
    <w:rsid w:val="00111BAF"/>
    <w:rsid w:val="00111BB8"/>
    <w:rsid w:val="00111BF6"/>
    <w:rsid w:val="00111C34"/>
    <w:rsid w:val="00111C51"/>
    <w:rsid w:val="00111CD2"/>
    <w:rsid w:val="00111DFB"/>
    <w:rsid w:val="00111E48"/>
    <w:rsid w:val="00111EDC"/>
    <w:rsid w:val="00111F9E"/>
    <w:rsid w:val="00111FD2"/>
    <w:rsid w:val="00111FD5"/>
    <w:rsid w:val="00112028"/>
    <w:rsid w:val="001120A8"/>
    <w:rsid w:val="0011212E"/>
    <w:rsid w:val="00112138"/>
    <w:rsid w:val="001121BD"/>
    <w:rsid w:val="001121C4"/>
    <w:rsid w:val="001121F9"/>
    <w:rsid w:val="00112208"/>
    <w:rsid w:val="001123C7"/>
    <w:rsid w:val="00112517"/>
    <w:rsid w:val="001125DA"/>
    <w:rsid w:val="001125E9"/>
    <w:rsid w:val="001125FF"/>
    <w:rsid w:val="00112606"/>
    <w:rsid w:val="0011266E"/>
    <w:rsid w:val="001126DA"/>
    <w:rsid w:val="001126ED"/>
    <w:rsid w:val="001127EE"/>
    <w:rsid w:val="00112836"/>
    <w:rsid w:val="00112857"/>
    <w:rsid w:val="00112908"/>
    <w:rsid w:val="00112930"/>
    <w:rsid w:val="0011299F"/>
    <w:rsid w:val="001129C3"/>
    <w:rsid w:val="00112A39"/>
    <w:rsid w:val="00112A94"/>
    <w:rsid w:val="00112BAD"/>
    <w:rsid w:val="00112C61"/>
    <w:rsid w:val="00112D73"/>
    <w:rsid w:val="00112E2F"/>
    <w:rsid w:val="00112EC9"/>
    <w:rsid w:val="00112F32"/>
    <w:rsid w:val="00112F8F"/>
    <w:rsid w:val="00112F9C"/>
    <w:rsid w:val="0011301A"/>
    <w:rsid w:val="00113055"/>
    <w:rsid w:val="00113065"/>
    <w:rsid w:val="001132BC"/>
    <w:rsid w:val="001132CF"/>
    <w:rsid w:val="001133BB"/>
    <w:rsid w:val="0011342E"/>
    <w:rsid w:val="001134EB"/>
    <w:rsid w:val="00113509"/>
    <w:rsid w:val="0011359D"/>
    <w:rsid w:val="0011359E"/>
    <w:rsid w:val="001135A7"/>
    <w:rsid w:val="001135E8"/>
    <w:rsid w:val="00113626"/>
    <w:rsid w:val="0011363C"/>
    <w:rsid w:val="00113647"/>
    <w:rsid w:val="00113658"/>
    <w:rsid w:val="001137BD"/>
    <w:rsid w:val="00113845"/>
    <w:rsid w:val="001138E5"/>
    <w:rsid w:val="001138ED"/>
    <w:rsid w:val="00113A34"/>
    <w:rsid w:val="00113B00"/>
    <w:rsid w:val="00113B7B"/>
    <w:rsid w:val="00113C74"/>
    <w:rsid w:val="00113D24"/>
    <w:rsid w:val="00113D42"/>
    <w:rsid w:val="00113D52"/>
    <w:rsid w:val="00113D8D"/>
    <w:rsid w:val="00113D92"/>
    <w:rsid w:val="00113DC3"/>
    <w:rsid w:val="00113E28"/>
    <w:rsid w:val="00113E9E"/>
    <w:rsid w:val="00113F03"/>
    <w:rsid w:val="00113F8B"/>
    <w:rsid w:val="00113FA1"/>
    <w:rsid w:val="00113FA6"/>
    <w:rsid w:val="00113FE0"/>
    <w:rsid w:val="00114011"/>
    <w:rsid w:val="00114012"/>
    <w:rsid w:val="0011421B"/>
    <w:rsid w:val="00114283"/>
    <w:rsid w:val="001142D1"/>
    <w:rsid w:val="00114310"/>
    <w:rsid w:val="00114324"/>
    <w:rsid w:val="001143BC"/>
    <w:rsid w:val="001143D3"/>
    <w:rsid w:val="001143E1"/>
    <w:rsid w:val="00114423"/>
    <w:rsid w:val="00114450"/>
    <w:rsid w:val="001144B9"/>
    <w:rsid w:val="001144D9"/>
    <w:rsid w:val="00114607"/>
    <w:rsid w:val="00114643"/>
    <w:rsid w:val="00114644"/>
    <w:rsid w:val="0011470F"/>
    <w:rsid w:val="001147B6"/>
    <w:rsid w:val="001147D0"/>
    <w:rsid w:val="00114865"/>
    <w:rsid w:val="0011499B"/>
    <w:rsid w:val="001149A3"/>
    <w:rsid w:val="001149DC"/>
    <w:rsid w:val="00114A1E"/>
    <w:rsid w:val="00114A6D"/>
    <w:rsid w:val="00114A84"/>
    <w:rsid w:val="00114B07"/>
    <w:rsid w:val="00114B4E"/>
    <w:rsid w:val="00114CF3"/>
    <w:rsid w:val="00114E45"/>
    <w:rsid w:val="00114E51"/>
    <w:rsid w:val="00114F09"/>
    <w:rsid w:val="00115022"/>
    <w:rsid w:val="0011503A"/>
    <w:rsid w:val="0011507B"/>
    <w:rsid w:val="00115082"/>
    <w:rsid w:val="00115177"/>
    <w:rsid w:val="00115195"/>
    <w:rsid w:val="0011528E"/>
    <w:rsid w:val="001153B3"/>
    <w:rsid w:val="00115423"/>
    <w:rsid w:val="00115485"/>
    <w:rsid w:val="0011548C"/>
    <w:rsid w:val="001154BA"/>
    <w:rsid w:val="0011556B"/>
    <w:rsid w:val="00115578"/>
    <w:rsid w:val="001155E2"/>
    <w:rsid w:val="00115663"/>
    <w:rsid w:val="001156DA"/>
    <w:rsid w:val="0011577C"/>
    <w:rsid w:val="001157CA"/>
    <w:rsid w:val="001157FD"/>
    <w:rsid w:val="0011585E"/>
    <w:rsid w:val="001158A7"/>
    <w:rsid w:val="001158D0"/>
    <w:rsid w:val="00115985"/>
    <w:rsid w:val="001159EA"/>
    <w:rsid w:val="00115A16"/>
    <w:rsid w:val="00115A51"/>
    <w:rsid w:val="00115A5B"/>
    <w:rsid w:val="00115B05"/>
    <w:rsid w:val="00115B1E"/>
    <w:rsid w:val="00115B39"/>
    <w:rsid w:val="00115B6F"/>
    <w:rsid w:val="00115BC6"/>
    <w:rsid w:val="00115BE6"/>
    <w:rsid w:val="00115C65"/>
    <w:rsid w:val="00115C7F"/>
    <w:rsid w:val="00115CA8"/>
    <w:rsid w:val="00115CE3"/>
    <w:rsid w:val="00115D08"/>
    <w:rsid w:val="00115D2C"/>
    <w:rsid w:val="00115E56"/>
    <w:rsid w:val="00115EB4"/>
    <w:rsid w:val="00115F54"/>
    <w:rsid w:val="001160B2"/>
    <w:rsid w:val="001160CE"/>
    <w:rsid w:val="001160FC"/>
    <w:rsid w:val="00116112"/>
    <w:rsid w:val="001162AC"/>
    <w:rsid w:val="001162D1"/>
    <w:rsid w:val="001163B5"/>
    <w:rsid w:val="0011641E"/>
    <w:rsid w:val="0011650F"/>
    <w:rsid w:val="00116515"/>
    <w:rsid w:val="00116607"/>
    <w:rsid w:val="001166C4"/>
    <w:rsid w:val="00116757"/>
    <w:rsid w:val="00116815"/>
    <w:rsid w:val="00116844"/>
    <w:rsid w:val="001168AB"/>
    <w:rsid w:val="001168D0"/>
    <w:rsid w:val="001168FA"/>
    <w:rsid w:val="001168FF"/>
    <w:rsid w:val="001169DD"/>
    <w:rsid w:val="00116C14"/>
    <w:rsid w:val="00116C16"/>
    <w:rsid w:val="00116C27"/>
    <w:rsid w:val="00116D1D"/>
    <w:rsid w:val="00116D5D"/>
    <w:rsid w:val="00116D7B"/>
    <w:rsid w:val="00116DFC"/>
    <w:rsid w:val="00116ED3"/>
    <w:rsid w:val="00116F29"/>
    <w:rsid w:val="00116F6D"/>
    <w:rsid w:val="001170C4"/>
    <w:rsid w:val="0011711C"/>
    <w:rsid w:val="0011712F"/>
    <w:rsid w:val="001171B0"/>
    <w:rsid w:val="001171D7"/>
    <w:rsid w:val="001171E3"/>
    <w:rsid w:val="00117256"/>
    <w:rsid w:val="00117349"/>
    <w:rsid w:val="00117381"/>
    <w:rsid w:val="001173B2"/>
    <w:rsid w:val="001173FB"/>
    <w:rsid w:val="00117458"/>
    <w:rsid w:val="001175DB"/>
    <w:rsid w:val="001175F9"/>
    <w:rsid w:val="001176EA"/>
    <w:rsid w:val="0011782C"/>
    <w:rsid w:val="00117878"/>
    <w:rsid w:val="001178C6"/>
    <w:rsid w:val="001179CC"/>
    <w:rsid w:val="00117ABB"/>
    <w:rsid w:val="00117ABC"/>
    <w:rsid w:val="00117BCC"/>
    <w:rsid w:val="00117C13"/>
    <w:rsid w:val="00117D2B"/>
    <w:rsid w:val="00117D80"/>
    <w:rsid w:val="00117DBE"/>
    <w:rsid w:val="00117DD7"/>
    <w:rsid w:val="00117E1B"/>
    <w:rsid w:val="00117EA1"/>
    <w:rsid w:val="00117F33"/>
    <w:rsid w:val="00117F38"/>
    <w:rsid w:val="00117F9E"/>
    <w:rsid w:val="00120012"/>
    <w:rsid w:val="00120093"/>
    <w:rsid w:val="001200BC"/>
    <w:rsid w:val="00120108"/>
    <w:rsid w:val="001201B8"/>
    <w:rsid w:val="001201E9"/>
    <w:rsid w:val="0012034C"/>
    <w:rsid w:val="00120593"/>
    <w:rsid w:val="0012064B"/>
    <w:rsid w:val="0012066E"/>
    <w:rsid w:val="00120759"/>
    <w:rsid w:val="00120809"/>
    <w:rsid w:val="00120880"/>
    <w:rsid w:val="00120958"/>
    <w:rsid w:val="00120A4B"/>
    <w:rsid w:val="00120A4F"/>
    <w:rsid w:val="00120A6F"/>
    <w:rsid w:val="00120A9A"/>
    <w:rsid w:val="00120AA6"/>
    <w:rsid w:val="00120B49"/>
    <w:rsid w:val="00120B60"/>
    <w:rsid w:val="00120BBE"/>
    <w:rsid w:val="00120CBD"/>
    <w:rsid w:val="00120D01"/>
    <w:rsid w:val="00120DE3"/>
    <w:rsid w:val="00120DF8"/>
    <w:rsid w:val="00120ECB"/>
    <w:rsid w:val="00120F0D"/>
    <w:rsid w:val="00120F68"/>
    <w:rsid w:val="00120FF4"/>
    <w:rsid w:val="00121048"/>
    <w:rsid w:val="001211B3"/>
    <w:rsid w:val="001211C7"/>
    <w:rsid w:val="001211FF"/>
    <w:rsid w:val="00121244"/>
    <w:rsid w:val="0012126C"/>
    <w:rsid w:val="001212C6"/>
    <w:rsid w:val="001212EA"/>
    <w:rsid w:val="00121301"/>
    <w:rsid w:val="00121343"/>
    <w:rsid w:val="001213CE"/>
    <w:rsid w:val="001213FA"/>
    <w:rsid w:val="001214BB"/>
    <w:rsid w:val="00121559"/>
    <w:rsid w:val="00121563"/>
    <w:rsid w:val="001215AA"/>
    <w:rsid w:val="001215E9"/>
    <w:rsid w:val="00121616"/>
    <w:rsid w:val="001216C6"/>
    <w:rsid w:val="00121723"/>
    <w:rsid w:val="00121758"/>
    <w:rsid w:val="0012176F"/>
    <w:rsid w:val="00121806"/>
    <w:rsid w:val="0012180D"/>
    <w:rsid w:val="0012199C"/>
    <w:rsid w:val="00121A8B"/>
    <w:rsid w:val="00121AB7"/>
    <w:rsid w:val="00121AF6"/>
    <w:rsid w:val="00121B74"/>
    <w:rsid w:val="00121C84"/>
    <w:rsid w:val="00121CAB"/>
    <w:rsid w:val="00121CBB"/>
    <w:rsid w:val="00121ED4"/>
    <w:rsid w:val="00121EEA"/>
    <w:rsid w:val="00121F40"/>
    <w:rsid w:val="00121FB8"/>
    <w:rsid w:val="00122027"/>
    <w:rsid w:val="0012208F"/>
    <w:rsid w:val="001220C9"/>
    <w:rsid w:val="001220CA"/>
    <w:rsid w:val="0012216D"/>
    <w:rsid w:val="001222C6"/>
    <w:rsid w:val="0012232C"/>
    <w:rsid w:val="00122372"/>
    <w:rsid w:val="0012238D"/>
    <w:rsid w:val="00122396"/>
    <w:rsid w:val="001223A2"/>
    <w:rsid w:val="001223B8"/>
    <w:rsid w:val="001223BA"/>
    <w:rsid w:val="001224B1"/>
    <w:rsid w:val="001224E8"/>
    <w:rsid w:val="00122524"/>
    <w:rsid w:val="00122662"/>
    <w:rsid w:val="0012266C"/>
    <w:rsid w:val="001226AC"/>
    <w:rsid w:val="001226AF"/>
    <w:rsid w:val="001226C6"/>
    <w:rsid w:val="0012274C"/>
    <w:rsid w:val="00122805"/>
    <w:rsid w:val="0012283F"/>
    <w:rsid w:val="0012297A"/>
    <w:rsid w:val="00122A44"/>
    <w:rsid w:val="00122B43"/>
    <w:rsid w:val="00122BBF"/>
    <w:rsid w:val="00122CE5"/>
    <w:rsid w:val="00122D62"/>
    <w:rsid w:val="00122D87"/>
    <w:rsid w:val="00122DDE"/>
    <w:rsid w:val="00122DEA"/>
    <w:rsid w:val="00122E19"/>
    <w:rsid w:val="00122EAD"/>
    <w:rsid w:val="00122EC8"/>
    <w:rsid w:val="00122EFF"/>
    <w:rsid w:val="00122F14"/>
    <w:rsid w:val="00122FCC"/>
    <w:rsid w:val="00123005"/>
    <w:rsid w:val="001231C2"/>
    <w:rsid w:val="0012323D"/>
    <w:rsid w:val="00123249"/>
    <w:rsid w:val="00123270"/>
    <w:rsid w:val="001232A7"/>
    <w:rsid w:val="00123333"/>
    <w:rsid w:val="00123341"/>
    <w:rsid w:val="00123354"/>
    <w:rsid w:val="001233BE"/>
    <w:rsid w:val="0012341A"/>
    <w:rsid w:val="00123480"/>
    <w:rsid w:val="001234F2"/>
    <w:rsid w:val="00123554"/>
    <w:rsid w:val="001235B0"/>
    <w:rsid w:val="0012370F"/>
    <w:rsid w:val="0012372F"/>
    <w:rsid w:val="001237EA"/>
    <w:rsid w:val="0012382C"/>
    <w:rsid w:val="0012385F"/>
    <w:rsid w:val="00123995"/>
    <w:rsid w:val="001239F0"/>
    <w:rsid w:val="00123AB0"/>
    <w:rsid w:val="00123ABA"/>
    <w:rsid w:val="00123AC0"/>
    <w:rsid w:val="00123BA3"/>
    <w:rsid w:val="00123BD7"/>
    <w:rsid w:val="00123C87"/>
    <w:rsid w:val="00123CB5"/>
    <w:rsid w:val="00123D20"/>
    <w:rsid w:val="00123E51"/>
    <w:rsid w:val="00123EC0"/>
    <w:rsid w:val="00123EFB"/>
    <w:rsid w:val="00123F05"/>
    <w:rsid w:val="00124048"/>
    <w:rsid w:val="0012408B"/>
    <w:rsid w:val="001240C8"/>
    <w:rsid w:val="001240CD"/>
    <w:rsid w:val="0012413E"/>
    <w:rsid w:val="00124144"/>
    <w:rsid w:val="00124168"/>
    <w:rsid w:val="001241A0"/>
    <w:rsid w:val="0012425A"/>
    <w:rsid w:val="00124265"/>
    <w:rsid w:val="00124280"/>
    <w:rsid w:val="00124303"/>
    <w:rsid w:val="00124367"/>
    <w:rsid w:val="001243C3"/>
    <w:rsid w:val="001243DA"/>
    <w:rsid w:val="0012449B"/>
    <w:rsid w:val="001244F6"/>
    <w:rsid w:val="00124505"/>
    <w:rsid w:val="001245BC"/>
    <w:rsid w:val="001245F0"/>
    <w:rsid w:val="001245F8"/>
    <w:rsid w:val="0012470C"/>
    <w:rsid w:val="0012476B"/>
    <w:rsid w:val="00124A58"/>
    <w:rsid w:val="00124A6B"/>
    <w:rsid w:val="00124A7B"/>
    <w:rsid w:val="00124A95"/>
    <w:rsid w:val="00124B3A"/>
    <w:rsid w:val="00124B46"/>
    <w:rsid w:val="00124B99"/>
    <w:rsid w:val="00124CE1"/>
    <w:rsid w:val="00124D17"/>
    <w:rsid w:val="00124D8B"/>
    <w:rsid w:val="00124DB4"/>
    <w:rsid w:val="00124DC9"/>
    <w:rsid w:val="00124E8E"/>
    <w:rsid w:val="00124EB4"/>
    <w:rsid w:val="00124EE8"/>
    <w:rsid w:val="00124FB2"/>
    <w:rsid w:val="00125026"/>
    <w:rsid w:val="0012505C"/>
    <w:rsid w:val="001250A3"/>
    <w:rsid w:val="001250CC"/>
    <w:rsid w:val="001250FF"/>
    <w:rsid w:val="00125117"/>
    <w:rsid w:val="001252ED"/>
    <w:rsid w:val="001253B2"/>
    <w:rsid w:val="001253DC"/>
    <w:rsid w:val="00125436"/>
    <w:rsid w:val="0012545B"/>
    <w:rsid w:val="0012549F"/>
    <w:rsid w:val="001254B1"/>
    <w:rsid w:val="001254CF"/>
    <w:rsid w:val="00125595"/>
    <w:rsid w:val="00125680"/>
    <w:rsid w:val="001256A7"/>
    <w:rsid w:val="001256B7"/>
    <w:rsid w:val="001256C4"/>
    <w:rsid w:val="001257ED"/>
    <w:rsid w:val="00125803"/>
    <w:rsid w:val="001258B2"/>
    <w:rsid w:val="00125936"/>
    <w:rsid w:val="0012593F"/>
    <w:rsid w:val="001259B9"/>
    <w:rsid w:val="00125A4D"/>
    <w:rsid w:val="00125A60"/>
    <w:rsid w:val="00125AE6"/>
    <w:rsid w:val="00125B96"/>
    <w:rsid w:val="00125BF5"/>
    <w:rsid w:val="00125CB1"/>
    <w:rsid w:val="00125D16"/>
    <w:rsid w:val="00125D85"/>
    <w:rsid w:val="00125DF3"/>
    <w:rsid w:val="00125E90"/>
    <w:rsid w:val="00125ED5"/>
    <w:rsid w:val="00125F04"/>
    <w:rsid w:val="00125F25"/>
    <w:rsid w:val="00125F65"/>
    <w:rsid w:val="00125F86"/>
    <w:rsid w:val="001260E1"/>
    <w:rsid w:val="001261A9"/>
    <w:rsid w:val="00126220"/>
    <w:rsid w:val="00126226"/>
    <w:rsid w:val="0012626A"/>
    <w:rsid w:val="001262A8"/>
    <w:rsid w:val="001262F4"/>
    <w:rsid w:val="00126334"/>
    <w:rsid w:val="00126364"/>
    <w:rsid w:val="00126373"/>
    <w:rsid w:val="001263C5"/>
    <w:rsid w:val="001264A7"/>
    <w:rsid w:val="001264DC"/>
    <w:rsid w:val="001264E8"/>
    <w:rsid w:val="00126547"/>
    <w:rsid w:val="001265A7"/>
    <w:rsid w:val="001265DC"/>
    <w:rsid w:val="00126611"/>
    <w:rsid w:val="0012664E"/>
    <w:rsid w:val="00126872"/>
    <w:rsid w:val="00126877"/>
    <w:rsid w:val="001268A3"/>
    <w:rsid w:val="00126904"/>
    <w:rsid w:val="00126941"/>
    <w:rsid w:val="00126974"/>
    <w:rsid w:val="001269C0"/>
    <w:rsid w:val="00126A4D"/>
    <w:rsid w:val="00126AB0"/>
    <w:rsid w:val="00126ABB"/>
    <w:rsid w:val="00126B52"/>
    <w:rsid w:val="00126B67"/>
    <w:rsid w:val="00126BE4"/>
    <w:rsid w:val="00126C27"/>
    <w:rsid w:val="00126CA3"/>
    <w:rsid w:val="00126FCD"/>
    <w:rsid w:val="00127057"/>
    <w:rsid w:val="00127065"/>
    <w:rsid w:val="001270A8"/>
    <w:rsid w:val="00127121"/>
    <w:rsid w:val="001271A7"/>
    <w:rsid w:val="001271BE"/>
    <w:rsid w:val="001271ED"/>
    <w:rsid w:val="0012734B"/>
    <w:rsid w:val="00127409"/>
    <w:rsid w:val="0012741D"/>
    <w:rsid w:val="00127426"/>
    <w:rsid w:val="00127579"/>
    <w:rsid w:val="001275E2"/>
    <w:rsid w:val="00127652"/>
    <w:rsid w:val="00127695"/>
    <w:rsid w:val="00127742"/>
    <w:rsid w:val="001277C6"/>
    <w:rsid w:val="00127812"/>
    <w:rsid w:val="001278F7"/>
    <w:rsid w:val="00127910"/>
    <w:rsid w:val="00127991"/>
    <w:rsid w:val="00127A98"/>
    <w:rsid w:val="00127BD2"/>
    <w:rsid w:val="00127C4F"/>
    <w:rsid w:val="00127C72"/>
    <w:rsid w:val="00127CC3"/>
    <w:rsid w:val="00127CF3"/>
    <w:rsid w:val="00127DE7"/>
    <w:rsid w:val="00127E07"/>
    <w:rsid w:val="00127E7C"/>
    <w:rsid w:val="00127EDC"/>
    <w:rsid w:val="00127F5C"/>
    <w:rsid w:val="0013007D"/>
    <w:rsid w:val="001300A6"/>
    <w:rsid w:val="0013010B"/>
    <w:rsid w:val="00130135"/>
    <w:rsid w:val="001301B3"/>
    <w:rsid w:val="001301F3"/>
    <w:rsid w:val="0013024B"/>
    <w:rsid w:val="001302D5"/>
    <w:rsid w:val="001302E7"/>
    <w:rsid w:val="00130334"/>
    <w:rsid w:val="0013039F"/>
    <w:rsid w:val="001303D7"/>
    <w:rsid w:val="001303DC"/>
    <w:rsid w:val="001303E3"/>
    <w:rsid w:val="001304B4"/>
    <w:rsid w:val="001304E0"/>
    <w:rsid w:val="00130542"/>
    <w:rsid w:val="001305AE"/>
    <w:rsid w:val="001305EC"/>
    <w:rsid w:val="00130686"/>
    <w:rsid w:val="001307AC"/>
    <w:rsid w:val="001307E5"/>
    <w:rsid w:val="00130A94"/>
    <w:rsid w:val="00130AED"/>
    <w:rsid w:val="00130E8E"/>
    <w:rsid w:val="00130F1F"/>
    <w:rsid w:val="00130F67"/>
    <w:rsid w:val="00130F77"/>
    <w:rsid w:val="00130FC4"/>
    <w:rsid w:val="00130FD4"/>
    <w:rsid w:val="00131002"/>
    <w:rsid w:val="00131028"/>
    <w:rsid w:val="00131177"/>
    <w:rsid w:val="0013135A"/>
    <w:rsid w:val="001313E8"/>
    <w:rsid w:val="001315D3"/>
    <w:rsid w:val="001315DB"/>
    <w:rsid w:val="0013173C"/>
    <w:rsid w:val="00131768"/>
    <w:rsid w:val="00131769"/>
    <w:rsid w:val="001317D6"/>
    <w:rsid w:val="00131873"/>
    <w:rsid w:val="0013192C"/>
    <w:rsid w:val="001319CC"/>
    <w:rsid w:val="001319E2"/>
    <w:rsid w:val="001319E7"/>
    <w:rsid w:val="00131A05"/>
    <w:rsid w:val="00131A19"/>
    <w:rsid w:val="00131A4D"/>
    <w:rsid w:val="00131A91"/>
    <w:rsid w:val="00131B19"/>
    <w:rsid w:val="00131BFE"/>
    <w:rsid w:val="00131C8B"/>
    <w:rsid w:val="00131D77"/>
    <w:rsid w:val="00131D9B"/>
    <w:rsid w:val="00131DAA"/>
    <w:rsid w:val="00131DC3"/>
    <w:rsid w:val="00131DD3"/>
    <w:rsid w:val="00131E32"/>
    <w:rsid w:val="00131F40"/>
    <w:rsid w:val="00131F4A"/>
    <w:rsid w:val="00132004"/>
    <w:rsid w:val="001320B8"/>
    <w:rsid w:val="001320E5"/>
    <w:rsid w:val="0013210F"/>
    <w:rsid w:val="00132144"/>
    <w:rsid w:val="00132167"/>
    <w:rsid w:val="001321D9"/>
    <w:rsid w:val="00132218"/>
    <w:rsid w:val="001322EA"/>
    <w:rsid w:val="001322FD"/>
    <w:rsid w:val="00132300"/>
    <w:rsid w:val="0013239E"/>
    <w:rsid w:val="00132466"/>
    <w:rsid w:val="001325DB"/>
    <w:rsid w:val="00132666"/>
    <w:rsid w:val="001326A4"/>
    <w:rsid w:val="001326EC"/>
    <w:rsid w:val="0013271E"/>
    <w:rsid w:val="00132766"/>
    <w:rsid w:val="0013283D"/>
    <w:rsid w:val="00132850"/>
    <w:rsid w:val="001328EC"/>
    <w:rsid w:val="0013290D"/>
    <w:rsid w:val="0013291C"/>
    <w:rsid w:val="0013295F"/>
    <w:rsid w:val="00132A34"/>
    <w:rsid w:val="00132A35"/>
    <w:rsid w:val="00132AA2"/>
    <w:rsid w:val="00132AD3"/>
    <w:rsid w:val="00132B2B"/>
    <w:rsid w:val="00132B4E"/>
    <w:rsid w:val="00132B77"/>
    <w:rsid w:val="00132C48"/>
    <w:rsid w:val="00132C69"/>
    <w:rsid w:val="00132D43"/>
    <w:rsid w:val="00132E1D"/>
    <w:rsid w:val="00132ED0"/>
    <w:rsid w:val="00132F3A"/>
    <w:rsid w:val="00132F4D"/>
    <w:rsid w:val="00132F85"/>
    <w:rsid w:val="00132FCE"/>
    <w:rsid w:val="001330DD"/>
    <w:rsid w:val="00133162"/>
    <w:rsid w:val="001331CA"/>
    <w:rsid w:val="001331DF"/>
    <w:rsid w:val="001331FD"/>
    <w:rsid w:val="0013329B"/>
    <w:rsid w:val="00133332"/>
    <w:rsid w:val="00133380"/>
    <w:rsid w:val="001333D2"/>
    <w:rsid w:val="00133506"/>
    <w:rsid w:val="0013357B"/>
    <w:rsid w:val="00133582"/>
    <w:rsid w:val="00133601"/>
    <w:rsid w:val="0013365E"/>
    <w:rsid w:val="00133665"/>
    <w:rsid w:val="001336D0"/>
    <w:rsid w:val="00133730"/>
    <w:rsid w:val="0013375D"/>
    <w:rsid w:val="0013376C"/>
    <w:rsid w:val="00133773"/>
    <w:rsid w:val="00133924"/>
    <w:rsid w:val="0013394A"/>
    <w:rsid w:val="00133A8D"/>
    <w:rsid w:val="00133A98"/>
    <w:rsid w:val="00133AC2"/>
    <w:rsid w:val="00133B1A"/>
    <w:rsid w:val="00133C6B"/>
    <w:rsid w:val="00133C76"/>
    <w:rsid w:val="00133CD8"/>
    <w:rsid w:val="00133D14"/>
    <w:rsid w:val="00133DFE"/>
    <w:rsid w:val="00133E91"/>
    <w:rsid w:val="00133E9A"/>
    <w:rsid w:val="00133EA0"/>
    <w:rsid w:val="00133EB1"/>
    <w:rsid w:val="001340B1"/>
    <w:rsid w:val="0013413D"/>
    <w:rsid w:val="00134157"/>
    <w:rsid w:val="00134174"/>
    <w:rsid w:val="001341F9"/>
    <w:rsid w:val="0013420D"/>
    <w:rsid w:val="0013421F"/>
    <w:rsid w:val="00134376"/>
    <w:rsid w:val="00134416"/>
    <w:rsid w:val="00134431"/>
    <w:rsid w:val="00134479"/>
    <w:rsid w:val="001344DB"/>
    <w:rsid w:val="0013450A"/>
    <w:rsid w:val="00134594"/>
    <w:rsid w:val="001345BA"/>
    <w:rsid w:val="00134655"/>
    <w:rsid w:val="00134750"/>
    <w:rsid w:val="001347EB"/>
    <w:rsid w:val="001348AD"/>
    <w:rsid w:val="001348BB"/>
    <w:rsid w:val="001348F8"/>
    <w:rsid w:val="001349EB"/>
    <w:rsid w:val="00134A4C"/>
    <w:rsid w:val="00134A60"/>
    <w:rsid w:val="00134A95"/>
    <w:rsid w:val="00134ABF"/>
    <w:rsid w:val="00134AEF"/>
    <w:rsid w:val="00134BF9"/>
    <w:rsid w:val="00134C26"/>
    <w:rsid w:val="00134CB6"/>
    <w:rsid w:val="00134E35"/>
    <w:rsid w:val="00134E5E"/>
    <w:rsid w:val="00134E60"/>
    <w:rsid w:val="00134E69"/>
    <w:rsid w:val="00134EA7"/>
    <w:rsid w:val="00134F57"/>
    <w:rsid w:val="00135028"/>
    <w:rsid w:val="00135040"/>
    <w:rsid w:val="001350B1"/>
    <w:rsid w:val="001350E1"/>
    <w:rsid w:val="00135128"/>
    <w:rsid w:val="001351C4"/>
    <w:rsid w:val="001352AA"/>
    <w:rsid w:val="0013532C"/>
    <w:rsid w:val="00135338"/>
    <w:rsid w:val="00135520"/>
    <w:rsid w:val="001355F4"/>
    <w:rsid w:val="00135679"/>
    <w:rsid w:val="001356E4"/>
    <w:rsid w:val="00135765"/>
    <w:rsid w:val="001358AF"/>
    <w:rsid w:val="001359EC"/>
    <w:rsid w:val="00135A9F"/>
    <w:rsid w:val="00135AE6"/>
    <w:rsid w:val="00135BC5"/>
    <w:rsid w:val="00135CCD"/>
    <w:rsid w:val="00135CFC"/>
    <w:rsid w:val="00135D36"/>
    <w:rsid w:val="00135DA8"/>
    <w:rsid w:val="00135E01"/>
    <w:rsid w:val="00135E4C"/>
    <w:rsid w:val="00135E93"/>
    <w:rsid w:val="00135ED6"/>
    <w:rsid w:val="00135F86"/>
    <w:rsid w:val="00135FBF"/>
    <w:rsid w:val="00136096"/>
    <w:rsid w:val="001360B6"/>
    <w:rsid w:val="0013616B"/>
    <w:rsid w:val="001361FD"/>
    <w:rsid w:val="0013625D"/>
    <w:rsid w:val="001362D1"/>
    <w:rsid w:val="00136306"/>
    <w:rsid w:val="00136346"/>
    <w:rsid w:val="00136356"/>
    <w:rsid w:val="0013644C"/>
    <w:rsid w:val="00136472"/>
    <w:rsid w:val="00136578"/>
    <w:rsid w:val="00136586"/>
    <w:rsid w:val="001365DB"/>
    <w:rsid w:val="001365EB"/>
    <w:rsid w:val="00136742"/>
    <w:rsid w:val="0013678D"/>
    <w:rsid w:val="001369FC"/>
    <w:rsid w:val="00136B93"/>
    <w:rsid w:val="00136B9A"/>
    <w:rsid w:val="00136CAB"/>
    <w:rsid w:val="00136CE9"/>
    <w:rsid w:val="00136D23"/>
    <w:rsid w:val="00136ECA"/>
    <w:rsid w:val="00136ED9"/>
    <w:rsid w:val="00136EF4"/>
    <w:rsid w:val="00136F3E"/>
    <w:rsid w:val="00136FB2"/>
    <w:rsid w:val="00137067"/>
    <w:rsid w:val="001370A0"/>
    <w:rsid w:val="0013718D"/>
    <w:rsid w:val="0013721A"/>
    <w:rsid w:val="00137247"/>
    <w:rsid w:val="0013726F"/>
    <w:rsid w:val="00137288"/>
    <w:rsid w:val="001372AF"/>
    <w:rsid w:val="001372F6"/>
    <w:rsid w:val="00137379"/>
    <w:rsid w:val="001373F5"/>
    <w:rsid w:val="0013748C"/>
    <w:rsid w:val="001374B9"/>
    <w:rsid w:val="00137543"/>
    <w:rsid w:val="0013755B"/>
    <w:rsid w:val="001375E6"/>
    <w:rsid w:val="0013760C"/>
    <w:rsid w:val="00137799"/>
    <w:rsid w:val="00137826"/>
    <w:rsid w:val="001378B0"/>
    <w:rsid w:val="0013794A"/>
    <w:rsid w:val="00137970"/>
    <w:rsid w:val="0013797A"/>
    <w:rsid w:val="0013798A"/>
    <w:rsid w:val="00137A0E"/>
    <w:rsid w:val="00137B88"/>
    <w:rsid w:val="00137BCB"/>
    <w:rsid w:val="00137BED"/>
    <w:rsid w:val="00137C09"/>
    <w:rsid w:val="00137CCF"/>
    <w:rsid w:val="00137D30"/>
    <w:rsid w:val="00137DEA"/>
    <w:rsid w:val="00137E1A"/>
    <w:rsid w:val="00137E1F"/>
    <w:rsid w:val="00137E59"/>
    <w:rsid w:val="00137FBE"/>
    <w:rsid w:val="0014008D"/>
    <w:rsid w:val="001400CB"/>
    <w:rsid w:val="00140126"/>
    <w:rsid w:val="00140155"/>
    <w:rsid w:val="00140168"/>
    <w:rsid w:val="0014016F"/>
    <w:rsid w:val="00140176"/>
    <w:rsid w:val="001401FB"/>
    <w:rsid w:val="00140236"/>
    <w:rsid w:val="0014023C"/>
    <w:rsid w:val="001402F0"/>
    <w:rsid w:val="00140547"/>
    <w:rsid w:val="001405E5"/>
    <w:rsid w:val="00140655"/>
    <w:rsid w:val="00140690"/>
    <w:rsid w:val="001406A1"/>
    <w:rsid w:val="001406F1"/>
    <w:rsid w:val="0014071F"/>
    <w:rsid w:val="00140726"/>
    <w:rsid w:val="0014077E"/>
    <w:rsid w:val="0014086F"/>
    <w:rsid w:val="0014087D"/>
    <w:rsid w:val="0014088C"/>
    <w:rsid w:val="0014090E"/>
    <w:rsid w:val="0014095F"/>
    <w:rsid w:val="00140982"/>
    <w:rsid w:val="00140A29"/>
    <w:rsid w:val="00140A5B"/>
    <w:rsid w:val="00140B29"/>
    <w:rsid w:val="00140B98"/>
    <w:rsid w:val="00140BAC"/>
    <w:rsid w:val="00140C8F"/>
    <w:rsid w:val="00140CC5"/>
    <w:rsid w:val="00140D22"/>
    <w:rsid w:val="00140D4D"/>
    <w:rsid w:val="00140D6B"/>
    <w:rsid w:val="00140DA0"/>
    <w:rsid w:val="00140E8F"/>
    <w:rsid w:val="00140EC1"/>
    <w:rsid w:val="00140EE6"/>
    <w:rsid w:val="00140F08"/>
    <w:rsid w:val="00141001"/>
    <w:rsid w:val="00141027"/>
    <w:rsid w:val="0014104B"/>
    <w:rsid w:val="0014106B"/>
    <w:rsid w:val="0014116E"/>
    <w:rsid w:val="0014119F"/>
    <w:rsid w:val="001411F1"/>
    <w:rsid w:val="001411F4"/>
    <w:rsid w:val="001412D8"/>
    <w:rsid w:val="00141303"/>
    <w:rsid w:val="0014133C"/>
    <w:rsid w:val="001413F5"/>
    <w:rsid w:val="00141449"/>
    <w:rsid w:val="00141549"/>
    <w:rsid w:val="001415EC"/>
    <w:rsid w:val="001415FF"/>
    <w:rsid w:val="00141753"/>
    <w:rsid w:val="00141802"/>
    <w:rsid w:val="001419E8"/>
    <w:rsid w:val="00141A24"/>
    <w:rsid w:val="00141A78"/>
    <w:rsid w:val="00141AA3"/>
    <w:rsid w:val="00141AA4"/>
    <w:rsid w:val="00141AC3"/>
    <w:rsid w:val="00141C75"/>
    <w:rsid w:val="00141CD9"/>
    <w:rsid w:val="00141D16"/>
    <w:rsid w:val="00141D19"/>
    <w:rsid w:val="00141DF0"/>
    <w:rsid w:val="00141E6D"/>
    <w:rsid w:val="00141EF6"/>
    <w:rsid w:val="00141F2A"/>
    <w:rsid w:val="00141F58"/>
    <w:rsid w:val="00141F6E"/>
    <w:rsid w:val="00141FDA"/>
    <w:rsid w:val="00142021"/>
    <w:rsid w:val="00142033"/>
    <w:rsid w:val="001420BD"/>
    <w:rsid w:val="00142153"/>
    <w:rsid w:val="001421E0"/>
    <w:rsid w:val="0014222D"/>
    <w:rsid w:val="00142237"/>
    <w:rsid w:val="00142261"/>
    <w:rsid w:val="0014231B"/>
    <w:rsid w:val="0014234E"/>
    <w:rsid w:val="00142365"/>
    <w:rsid w:val="001423F7"/>
    <w:rsid w:val="0014244D"/>
    <w:rsid w:val="001425B1"/>
    <w:rsid w:val="001425B9"/>
    <w:rsid w:val="00142611"/>
    <w:rsid w:val="001426C6"/>
    <w:rsid w:val="0014281E"/>
    <w:rsid w:val="001428FB"/>
    <w:rsid w:val="001429B1"/>
    <w:rsid w:val="001429DE"/>
    <w:rsid w:val="00142C39"/>
    <w:rsid w:val="00142D19"/>
    <w:rsid w:val="00142DE2"/>
    <w:rsid w:val="00142E48"/>
    <w:rsid w:val="00142E6B"/>
    <w:rsid w:val="00142E96"/>
    <w:rsid w:val="00142F3B"/>
    <w:rsid w:val="00142FE9"/>
    <w:rsid w:val="00142FF7"/>
    <w:rsid w:val="00143021"/>
    <w:rsid w:val="0014302B"/>
    <w:rsid w:val="001430A1"/>
    <w:rsid w:val="001430C9"/>
    <w:rsid w:val="00143129"/>
    <w:rsid w:val="0014313F"/>
    <w:rsid w:val="001431D7"/>
    <w:rsid w:val="0014324C"/>
    <w:rsid w:val="0014324F"/>
    <w:rsid w:val="00143358"/>
    <w:rsid w:val="001433A4"/>
    <w:rsid w:val="001433B8"/>
    <w:rsid w:val="00143407"/>
    <w:rsid w:val="00143454"/>
    <w:rsid w:val="00143470"/>
    <w:rsid w:val="001434B1"/>
    <w:rsid w:val="001435DC"/>
    <w:rsid w:val="001435E1"/>
    <w:rsid w:val="00143705"/>
    <w:rsid w:val="0014373F"/>
    <w:rsid w:val="001437B2"/>
    <w:rsid w:val="001437F2"/>
    <w:rsid w:val="0014381B"/>
    <w:rsid w:val="0014382E"/>
    <w:rsid w:val="001438B8"/>
    <w:rsid w:val="001438ED"/>
    <w:rsid w:val="00143905"/>
    <w:rsid w:val="0014391A"/>
    <w:rsid w:val="00143930"/>
    <w:rsid w:val="00143A05"/>
    <w:rsid w:val="00143A20"/>
    <w:rsid w:val="00143B7D"/>
    <w:rsid w:val="00143BD8"/>
    <w:rsid w:val="00143BE7"/>
    <w:rsid w:val="00143C29"/>
    <w:rsid w:val="00143C50"/>
    <w:rsid w:val="00143C73"/>
    <w:rsid w:val="00143CB5"/>
    <w:rsid w:val="00143CD4"/>
    <w:rsid w:val="00143D7C"/>
    <w:rsid w:val="00143E2D"/>
    <w:rsid w:val="00143F35"/>
    <w:rsid w:val="00143F79"/>
    <w:rsid w:val="00143F85"/>
    <w:rsid w:val="00144054"/>
    <w:rsid w:val="00144095"/>
    <w:rsid w:val="001440C2"/>
    <w:rsid w:val="001440F2"/>
    <w:rsid w:val="0014421A"/>
    <w:rsid w:val="0014423B"/>
    <w:rsid w:val="00144273"/>
    <w:rsid w:val="00144339"/>
    <w:rsid w:val="00144354"/>
    <w:rsid w:val="00144369"/>
    <w:rsid w:val="001443B0"/>
    <w:rsid w:val="001443B7"/>
    <w:rsid w:val="0014441A"/>
    <w:rsid w:val="001444BA"/>
    <w:rsid w:val="00144557"/>
    <w:rsid w:val="00144581"/>
    <w:rsid w:val="00144629"/>
    <w:rsid w:val="001447CB"/>
    <w:rsid w:val="00144890"/>
    <w:rsid w:val="001448A1"/>
    <w:rsid w:val="00144941"/>
    <w:rsid w:val="00144969"/>
    <w:rsid w:val="00144985"/>
    <w:rsid w:val="001449FC"/>
    <w:rsid w:val="00144AA8"/>
    <w:rsid w:val="00144AD4"/>
    <w:rsid w:val="00144AEC"/>
    <w:rsid w:val="00144B9D"/>
    <w:rsid w:val="00144C05"/>
    <w:rsid w:val="00144D58"/>
    <w:rsid w:val="00144DC2"/>
    <w:rsid w:val="00144DE9"/>
    <w:rsid w:val="00144E64"/>
    <w:rsid w:val="00144EB9"/>
    <w:rsid w:val="00144F46"/>
    <w:rsid w:val="00144F4D"/>
    <w:rsid w:val="00144F52"/>
    <w:rsid w:val="00144F65"/>
    <w:rsid w:val="0014512E"/>
    <w:rsid w:val="001451CC"/>
    <w:rsid w:val="00145270"/>
    <w:rsid w:val="001452ED"/>
    <w:rsid w:val="0014533F"/>
    <w:rsid w:val="00145434"/>
    <w:rsid w:val="0014553A"/>
    <w:rsid w:val="00145592"/>
    <w:rsid w:val="0014559A"/>
    <w:rsid w:val="001456CA"/>
    <w:rsid w:val="00145712"/>
    <w:rsid w:val="0014574B"/>
    <w:rsid w:val="0014581D"/>
    <w:rsid w:val="001458DE"/>
    <w:rsid w:val="001459D1"/>
    <w:rsid w:val="001459E1"/>
    <w:rsid w:val="00145A46"/>
    <w:rsid w:val="00145A9F"/>
    <w:rsid w:val="00145B95"/>
    <w:rsid w:val="00145B99"/>
    <w:rsid w:val="00145C2B"/>
    <w:rsid w:val="00145DBB"/>
    <w:rsid w:val="00145E0E"/>
    <w:rsid w:val="00145E28"/>
    <w:rsid w:val="00145F43"/>
    <w:rsid w:val="00145F66"/>
    <w:rsid w:val="00145FA7"/>
    <w:rsid w:val="00146024"/>
    <w:rsid w:val="00146041"/>
    <w:rsid w:val="0014609A"/>
    <w:rsid w:val="001461A9"/>
    <w:rsid w:val="00146231"/>
    <w:rsid w:val="00146336"/>
    <w:rsid w:val="001463F1"/>
    <w:rsid w:val="0014644F"/>
    <w:rsid w:val="0014646A"/>
    <w:rsid w:val="0014649A"/>
    <w:rsid w:val="00146528"/>
    <w:rsid w:val="00146531"/>
    <w:rsid w:val="001465BE"/>
    <w:rsid w:val="001465F0"/>
    <w:rsid w:val="0014663F"/>
    <w:rsid w:val="00146717"/>
    <w:rsid w:val="0014678B"/>
    <w:rsid w:val="001468A7"/>
    <w:rsid w:val="001468E8"/>
    <w:rsid w:val="0014690C"/>
    <w:rsid w:val="001469AB"/>
    <w:rsid w:val="00146B15"/>
    <w:rsid w:val="00146B9D"/>
    <w:rsid w:val="00146C29"/>
    <w:rsid w:val="00146C99"/>
    <w:rsid w:val="00146CC5"/>
    <w:rsid w:val="00146CE6"/>
    <w:rsid w:val="00146DB5"/>
    <w:rsid w:val="00146DFC"/>
    <w:rsid w:val="00146E60"/>
    <w:rsid w:val="00146E66"/>
    <w:rsid w:val="00146E9A"/>
    <w:rsid w:val="00146EA4"/>
    <w:rsid w:val="00146EC5"/>
    <w:rsid w:val="00146F0C"/>
    <w:rsid w:val="00146F43"/>
    <w:rsid w:val="00146F45"/>
    <w:rsid w:val="00146F6D"/>
    <w:rsid w:val="00146F6F"/>
    <w:rsid w:val="00146FCA"/>
    <w:rsid w:val="001470C1"/>
    <w:rsid w:val="00147117"/>
    <w:rsid w:val="00147125"/>
    <w:rsid w:val="001471A9"/>
    <w:rsid w:val="00147235"/>
    <w:rsid w:val="0014731B"/>
    <w:rsid w:val="00147333"/>
    <w:rsid w:val="00147338"/>
    <w:rsid w:val="001473D6"/>
    <w:rsid w:val="001474BE"/>
    <w:rsid w:val="00147520"/>
    <w:rsid w:val="00147599"/>
    <w:rsid w:val="00147640"/>
    <w:rsid w:val="0014765B"/>
    <w:rsid w:val="0014765E"/>
    <w:rsid w:val="001476AA"/>
    <w:rsid w:val="0014778B"/>
    <w:rsid w:val="001477EF"/>
    <w:rsid w:val="0014783C"/>
    <w:rsid w:val="0014784B"/>
    <w:rsid w:val="001478BF"/>
    <w:rsid w:val="001478D2"/>
    <w:rsid w:val="00147988"/>
    <w:rsid w:val="00147A47"/>
    <w:rsid w:val="00147A9E"/>
    <w:rsid w:val="00147ADC"/>
    <w:rsid w:val="00147AFA"/>
    <w:rsid w:val="00147B9C"/>
    <w:rsid w:val="00147BBB"/>
    <w:rsid w:val="00147BC7"/>
    <w:rsid w:val="00147C06"/>
    <w:rsid w:val="00147C58"/>
    <w:rsid w:val="00147CB9"/>
    <w:rsid w:val="00147CE7"/>
    <w:rsid w:val="00147E3B"/>
    <w:rsid w:val="00147E41"/>
    <w:rsid w:val="00147E9D"/>
    <w:rsid w:val="00147EEE"/>
    <w:rsid w:val="00147F03"/>
    <w:rsid w:val="00147FEE"/>
    <w:rsid w:val="0015001B"/>
    <w:rsid w:val="001500C8"/>
    <w:rsid w:val="00150195"/>
    <w:rsid w:val="00150211"/>
    <w:rsid w:val="001502E1"/>
    <w:rsid w:val="00150384"/>
    <w:rsid w:val="00150451"/>
    <w:rsid w:val="001505CE"/>
    <w:rsid w:val="001506BD"/>
    <w:rsid w:val="00150777"/>
    <w:rsid w:val="00150789"/>
    <w:rsid w:val="0015078C"/>
    <w:rsid w:val="00150925"/>
    <w:rsid w:val="0015093A"/>
    <w:rsid w:val="00150A46"/>
    <w:rsid w:val="00150AFB"/>
    <w:rsid w:val="00150B36"/>
    <w:rsid w:val="00150C24"/>
    <w:rsid w:val="00150CBD"/>
    <w:rsid w:val="00150CF5"/>
    <w:rsid w:val="00150D7A"/>
    <w:rsid w:val="00150E2E"/>
    <w:rsid w:val="00150F0B"/>
    <w:rsid w:val="00150F20"/>
    <w:rsid w:val="00150F4A"/>
    <w:rsid w:val="00150F50"/>
    <w:rsid w:val="00150F6B"/>
    <w:rsid w:val="00150F77"/>
    <w:rsid w:val="00150FDA"/>
    <w:rsid w:val="00151001"/>
    <w:rsid w:val="001510BE"/>
    <w:rsid w:val="001510D1"/>
    <w:rsid w:val="001512D8"/>
    <w:rsid w:val="00151375"/>
    <w:rsid w:val="001513F7"/>
    <w:rsid w:val="00151409"/>
    <w:rsid w:val="001514BC"/>
    <w:rsid w:val="001514F3"/>
    <w:rsid w:val="00151500"/>
    <w:rsid w:val="00151509"/>
    <w:rsid w:val="0015154F"/>
    <w:rsid w:val="00151562"/>
    <w:rsid w:val="0015159D"/>
    <w:rsid w:val="001515D5"/>
    <w:rsid w:val="001515FD"/>
    <w:rsid w:val="0015160A"/>
    <w:rsid w:val="00151614"/>
    <w:rsid w:val="00151634"/>
    <w:rsid w:val="00151680"/>
    <w:rsid w:val="0015173A"/>
    <w:rsid w:val="00151761"/>
    <w:rsid w:val="0015177D"/>
    <w:rsid w:val="001518E1"/>
    <w:rsid w:val="001519AE"/>
    <w:rsid w:val="001519DE"/>
    <w:rsid w:val="00151A41"/>
    <w:rsid w:val="00151A4E"/>
    <w:rsid w:val="00151AA8"/>
    <w:rsid w:val="00151C33"/>
    <w:rsid w:val="00151CAB"/>
    <w:rsid w:val="00151D25"/>
    <w:rsid w:val="00151DC9"/>
    <w:rsid w:val="00151DD5"/>
    <w:rsid w:val="00151E00"/>
    <w:rsid w:val="00151E65"/>
    <w:rsid w:val="00151F19"/>
    <w:rsid w:val="00151F79"/>
    <w:rsid w:val="00151FC6"/>
    <w:rsid w:val="00152208"/>
    <w:rsid w:val="0015220B"/>
    <w:rsid w:val="00152254"/>
    <w:rsid w:val="001522C7"/>
    <w:rsid w:val="001522FC"/>
    <w:rsid w:val="00152400"/>
    <w:rsid w:val="001524A0"/>
    <w:rsid w:val="001525CB"/>
    <w:rsid w:val="001526D8"/>
    <w:rsid w:val="001527AD"/>
    <w:rsid w:val="001527FB"/>
    <w:rsid w:val="001527FE"/>
    <w:rsid w:val="00152844"/>
    <w:rsid w:val="001529B0"/>
    <w:rsid w:val="001529EE"/>
    <w:rsid w:val="00152A56"/>
    <w:rsid w:val="00152A7A"/>
    <w:rsid w:val="00152AF7"/>
    <w:rsid w:val="00152B46"/>
    <w:rsid w:val="00152B4F"/>
    <w:rsid w:val="00152BB7"/>
    <w:rsid w:val="00152C65"/>
    <w:rsid w:val="00152CEA"/>
    <w:rsid w:val="00152E22"/>
    <w:rsid w:val="00152E47"/>
    <w:rsid w:val="00152E7F"/>
    <w:rsid w:val="00152EB1"/>
    <w:rsid w:val="00152F15"/>
    <w:rsid w:val="00152FD5"/>
    <w:rsid w:val="00152FE6"/>
    <w:rsid w:val="00152FF7"/>
    <w:rsid w:val="00152FFD"/>
    <w:rsid w:val="001530DF"/>
    <w:rsid w:val="0015313E"/>
    <w:rsid w:val="00153141"/>
    <w:rsid w:val="001531FA"/>
    <w:rsid w:val="0015328C"/>
    <w:rsid w:val="001532A7"/>
    <w:rsid w:val="001532C3"/>
    <w:rsid w:val="00153311"/>
    <w:rsid w:val="00153414"/>
    <w:rsid w:val="00153455"/>
    <w:rsid w:val="00153495"/>
    <w:rsid w:val="0015359D"/>
    <w:rsid w:val="001535E3"/>
    <w:rsid w:val="00153600"/>
    <w:rsid w:val="00153626"/>
    <w:rsid w:val="001536AB"/>
    <w:rsid w:val="001537DA"/>
    <w:rsid w:val="001537F0"/>
    <w:rsid w:val="001538FA"/>
    <w:rsid w:val="00153904"/>
    <w:rsid w:val="00153926"/>
    <w:rsid w:val="001539D7"/>
    <w:rsid w:val="001539E3"/>
    <w:rsid w:val="00153AB2"/>
    <w:rsid w:val="00153B32"/>
    <w:rsid w:val="00153B61"/>
    <w:rsid w:val="00153BD0"/>
    <w:rsid w:val="00153C05"/>
    <w:rsid w:val="00153C81"/>
    <w:rsid w:val="00153DF0"/>
    <w:rsid w:val="00153E58"/>
    <w:rsid w:val="00153EB8"/>
    <w:rsid w:val="00153FD2"/>
    <w:rsid w:val="001540EA"/>
    <w:rsid w:val="00154180"/>
    <w:rsid w:val="0015419D"/>
    <w:rsid w:val="001542B5"/>
    <w:rsid w:val="00154331"/>
    <w:rsid w:val="001543DF"/>
    <w:rsid w:val="001543FE"/>
    <w:rsid w:val="0015443C"/>
    <w:rsid w:val="00154493"/>
    <w:rsid w:val="001544A7"/>
    <w:rsid w:val="00154519"/>
    <w:rsid w:val="001546BE"/>
    <w:rsid w:val="001547E5"/>
    <w:rsid w:val="00154801"/>
    <w:rsid w:val="0015480B"/>
    <w:rsid w:val="001548C3"/>
    <w:rsid w:val="00154993"/>
    <w:rsid w:val="001549E1"/>
    <w:rsid w:val="00154AEA"/>
    <w:rsid w:val="00154B20"/>
    <w:rsid w:val="00154B37"/>
    <w:rsid w:val="00154B5C"/>
    <w:rsid w:val="00154C07"/>
    <w:rsid w:val="00154C9D"/>
    <w:rsid w:val="00154E0C"/>
    <w:rsid w:val="00154E8E"/>
    <w:rsid w:val="00154EE6"/>
    <w:rsid w:val="00154FBA"/>
    <w:rsid w:val="001550AF"/>
    <w:rsid w:val="0015510F"/>
    <w:rsid w:val="0015515E"/>
    <w:rsid w:val="0015519E"/>
    <w:rsid w:val="001552A5"/>
    <w:rsid w:val="001552A7"/>
    <w:rsid w:val="00155314"/>
    <w:rsid w:val="00155328"/>
    <w:rsid w:val="00155347"/>
    <w:rsid w:val="001553A2"/>
    <w:rsid w:val="00155427"/>
    <w:rsid w:val="0015547E"/>
    <w:rsid w:val="00155528"/>
    <w:rsid w:val="001556A1"/>
    <w:rsid w:val="00155755"/>
    <w:rsid w:val="001557EA"/>
    <w:rsid w:val="00155863"/>
    <w:rsid w:val="001558FA"/>
    <w:rsid w:val="0015590E"/>
    <w:rsid w:val="00155964"/>
    <w:rsid w:val="00155988"/>
    <w:rsid w:val="00155989"/>
    <w:rsid w:val="00155A0D"/>
    <w:rsid w:val="00155AF0"/>
    <w:rsid w:val="00155B6A"/>
    <w:rsid w:val="00155BAA"/>
    <w:rsid w:val="00155BAB"/>
    <w:rsid w:val="00155C1F"/>
    <w:rsid w:val="00155C2D"/>
    <w:rsid w:val="00155C6E"/>
    <w:rsid w:val="00155CF9"/>
    <w:rsid w:val="00155D36"/>
    <w:rsid w:val="00155D87"/>
    <w:rsid w:val="00155DA4"/>
    <w:rsid w:val="00155DDC"/>
    <w:rsid w:val="00155DF6"/>
    <w:rsid w:val="00155E69"/>
    <w:rsid w:val="00155EC7"/>
    <w:rsid w:val="00155EEB"/>
    <w:rsid w:val="00155F5F"/>
    <w:rsid w:val="00155FDC"/>
    <w:rsid w:val="0015602A"/>
    <w:rsid w:val="00156049"/>
    <w:rsid w:val="00156279"/>
    <w:rsid w:val="00156299"/>
    <w:rsid w:val="00156332"/>
    <w:rsid w:val="001563CB"/>
    <w:rsid w:val="001564CE"/>
    <w:rsid w:val="0015651F"/>
    <w:rsid w:val="0015653C"/>
    <w:rsid w:val="00156570"/>
    <w:rsid w:val="001565B8"/>
    <w:rsid w:val="001565C6"/>
    <w:rsid w:val="0015662A"/>
    <w:rsid w:val="00156674"/>
    <w:rsid w:val="0015667A"/>
    <w:rsid w:val="001566CB"/>
    <w:rsid w:val="001567FB"/>
    <w:rsid w:val="00156850"/>
    <w:rsid w:val="00156887"/>
    <w:rsid w:val="001568F7"/>
    <w:rsid w:val="00156933"/>
    <w:rsid w:val="001569BF"/>
    <w:rsid w:val="00156A17"/>
    <w:rsid w:val="00156A1A"/>
    <w:rsid w:val="00156BAC"/>
    <w:rsid w:val="00156C17"/>
    <w:rsid w:val="00156CC6"/>
    <w:rsid w:val="00156DAC"/>
    <w:rsid w:val="00156DD3"/>
    <w:rsid w:val="00156E09"/>
    <w:rsid w:val="00156E66"/>
    <w:rsid w:val="00156E70"/>
    <w:rsid w:val="00156EF1"/>
    <w:rsid w:val="00156F3C"/>
    <w:rsid w:val="00156F61"/>
    <w:rsid w:val="00156F83"/>
    <w:rsid w:val="00156FEC"/>
    <w:rsid w:val="00156FEE"/>
    <w:rsid w:val="00157055"/>
    <w:rsid w:val="00157152"/>
    <w:rsid w:val="0015721C"/>
    <w:rsid w:val="00157354"/>
    <w:rsid w:val="001573E5"/>
    <w:rsid w:val="001574A9"/>
    <w:rsid w:val="001574C0"/>
    <w:rsid w:val="00157691"/>
    <w:rsid w:val="001576D3"/>
    <w:rsid w:val="00157700"/>
    <w:rsid w:val="00157886"/>
    <w:rsid w:val="0015790E"/>
    <w:rsid w:val="0015795D"/>
    <w:rsid w:val="00157974"/>
    <w:rsid w:val="00157A00"/>
    <w:rsid w:val="00157A49"/>
    <w:rsid w:val="00157BA5"/>
    <w:rsid w:val="00157BB5"/>
    <w:rsid w:val="00157BBA"/>
    <w:rsid w:val="00157C42"/>
    <w:rsid w:val="00157C77"/>
    <w:rsid w:val="00157C78"/>
    <w:rsid w:val="00157D0A"/>
    <w:rsid w:val="00157E29"/>
    <w:rsid w:val="00157EE2"/>
    <w:rsid w:val="00157FEB"/>
    <w:rsid w:val="00159FAE"/>
    <w:rsid w:val="00160064"/>
    <w:rsid w:val="00160065"/>
    <w:rsid w:val="0016006A"/>
    <w:rsid w:val="0016015A"/>
    <w:rsid w:val="00160193"/>
    <w:rsid w:val="0016023A"/>
    <w:rsid w:val="0016023C"/>
    <w:rsid w:val="00160322"/>
    <w:rsid w:val="00160405"/>
    <w:rsid w:val="00160430"/>
    <w:rsid w:val="0016051B"/>
    <w:rsid w:val="001605AB"/>
    <w:rsid w:val="001605C2"/>
    <w:rsid w:val="00160623"/>
    <w:rsid w:val="00160631"/>
    <w:rsid w:val="001606CF"/>
    <w:rsid w:val="0016076B"/>
    <w:rsid w:val="001607E8"/>
    <w:rsid w:val="00160859"/>
    <w:rsid w:val="00160877"/>
    <w:rsid w:val="001608A9"/>
    <w:rsid w:val="0016095C"/>
    <w:rsid w:val="001609D8"/>
    <w:rsid w:val="00160A13"/>
    <w:rsid w:val="00160AD2"/>
    <w:rsid w:val="00160B0D"/>
    <w:rsid w:val="00160B6D"/>
    <w:rsid w:val="00160BB8"/>
    <w:rsid w:val="00160BE9"/>
    <w:rsid w:val="00160CF2"/>
    <w:rsid w:val="00160DB8"/>
    <w:rsid w:val="00160E1B"/>
    <w:rsid w:val="00160E38"/>
    <w:rsid w:val="00160F72"/>
    <w:rsid w:val="00161018"/>
    <w:rsid w:val="00161032"/>
    <w:rsid w:val="001610B2"/>
    <w:rsid w:val="001610F0"/>
    <w:rsid w:val="0016128D"/>
    <w:rsid w:val="001612A1"/>
    <w:rsid w:val="00161301"/>
    <w:rsid w:val="00161355"/>
    <w:rsid w:val="00161451"/>
    <w:rsid w:val="00161460"/>
    <w:rsid w:val="001615AB"/>
    <w:rsid w:val="0016173D"/>
    <w:rsid w:val="001617DB"/>
    <w:rsid w:val="001617E0"/>
    <w:rsid w:val="00161901"/>
    <w:rsid w:val="0016193E"/>
    <w:rsid w:val="001619EB"/>
    <w:rsid w:val="00161A18"/>
    <w:rsid w:val="00161A21"/>
    <w:rsid w:val="00161A69"/>
    <w:rsid w:val="00161AA5"/>
    <w:rsid w:val="00161BA4"/>
    <w:rsid w:val="00161BE9"/>
    <w:rsid w:val="00161BF8"/>
    <w:rsid w:val="00161C8F"/>
    <w:rsid w:val="00161C92"/>
    <w:rsid w:val="00161D02"/>
    <w:rsid w:val="00161EA5"/>
    <w:rsid w:val="00161EB9"/>
    <w:rsid w:val="00161F29"/>
    <w:rsid w:val="00161FD9"/>
    <w:rsid w:val="00161FEC"/>
    <w:rsid w:val="00161FF3"/>
    <w:rsid w:val="00162012"/>
    <w:rsid w:val="00162018"/>
    <w:rsid w:val="0016212C"/>
    <w:rsid w:val="00162243"/>
    <w:rsid w:val="00162255"/>
    <w:rsid w:val="00162345"/>
    <w:rsid w:val="0016244F"/>
    <w:rsid w:val="0016245B"/>
    <w:rsid w:val="0016249E"/>
    <w:rsid w:val="001624D5"/>
    <w:rsid w:val="0016254B"/>
    <w:rsid w:val="00162561"/>
    <w:rsid w:val="001625BA"/>
    <w:rsid w:val="001625CF"/>
    <w:rsid w:val="001625FD"/>
    <w:rsid w:val="00162702"/>
    <w:rsid w:val="00162728"/>
    <w:rsid w:val="00162760"/>
    <w:rsid w:val="00162767"/>
    <w:rsid w:val="0016277D"/>
    <w:rsid w:val="001627BB"/>
    <w:rsid w:val="001627FB"/>
    <w:rsid w:val="001628DF"/>
    <w:rsid w:val="00162954"/>
    <w:rsid w:val="00162961"/>
    <w:rsid w:val="00162AA8"/>
    <w:rsid w:val="00162AE1"/>
    <w:rsid w:val="00162B12"/>
    <w:rsid w:val="00162BC5"/>
    <w:rsid w:val="00162C0A"/>
    <w:rsid w:val="00162C18"/>
    <w:rsid w:val="00162CF0"/>
    <w:rsid w:val="00162D11"/>
    <w:rsid w:val="00162D4C"/>
    <w:rsid w:val="00162D8B"/>
    <w:rsid w:val="00162DAE"/>
    <w:rsid w:val="00162DC2"/>
    <w:rsid w:val="00162DE2"/>
    <w:rsid w:val="00162DFC"/>
    <w:rsid w:val="00162E16"/>
    <w:rsid w:val="00162E89"/>
    <w:rsid w:val="00162EC0"/>
    <w:rsid w:val="00162F82"/>
    <w:rsid w:val="00163012"/>
    <w:rsid w:val="001630EF"/>
    <w:rsid w:val="00163185"/>
    <w:rsid w:val="001631E8"/>
    <w:rsid w:val="00163234"/>
    <w:rsid w:val="0016325E"/>
    <w:rsid w:val="00163348"/>
    <w:rsid w:val="0016343D"/>
    <w:rsid w:val="00163449"/>
    <w:rsid w:val="00163469"/>
    <w:rsid w:val="001634DF"/>
    <w:rsid w:val="00163532"/>
    <w:rsid w:val="00163547"/>
    <w:rsid w:val="00163635"/>
    <w:rsid w:val="00163765"/>
    <w:rsid w:val="00163811"/>
    <w:rsid w:val="001638DA"/>
    <w:rsid w:val="00163936"/>
    <w:rsid w:val="001639F9"/>
    <w:rsid w:val="00163AE6"/>
    <w:rsid w:val="00163B3F"/>
    <w:rsid w:val="00163B79"/>
    <w:rsid w:val="00163D19"/>
    <w:rsid w:val="00163D2A"/>
    <w:rsid w:val="00163D44"/>
    <w:rsid w:val="00163D73"/>
    <w:rsid w:val="00163D95"/>
    <w:rsid w:val="00163DE9"/>
    <w:rsid w:val="00163E76"/>
    <w:rsid w:val="00163EE9"/>
    <w:rsid w:val="00163FBB"/>
    <w:rsid w:val="00164043"/>
    <w:rsid w:val="0016404E"/>
    <w:rsid w:val="001640AD"/>
    <w:rsid w:val="00164143"/>
    <w:rsid w:val="00164276"/>
    <w:rsid w:val="00164278"/>
    <w:rsid w:val="0016433C"/>
    <w:rsid w:val="0016439A"/>
    <w:rsid w:val="00164402"/>
    <w:rsid w:val="0016451D"/>
    <w:rsid w:val="00164599"/>
    <w:rsid w:val="00164613"/>
    <w:rsid w:val="0016465D"/>
    <w:rsid w:val="00164778"/>
    <w:rsid w:val="00164798"/>
    <w:rsid w:val="001647AF"/>
    <w:rsid w:val="00164815"/>
    <w:rsid w:val="0016483B"/>
    <w:rsid w:val="001648A4"/>
    <w:rsid w:val="00164945"/>
    <w:rsid w:val="00164958"/>
    <w:rsid w:val="0016496C"/>
    <w:rsid w:val="00164A0A"/>
    <w:rsid w:val="00164AB0"/>
    <w:rsid w:val="00164AC8"/>
    <w:rsid w:val="00164B14"/>
    <w:rsid w:val="00164B20"/>
    <w:rsid w:val="00164C5C"/>
    <w:rsid w:val="00164C83"/>
    <w:rsid w:val="00164CE7"/>
    <w:rsid w:val="00164D76"/>
    <w:rsid w:val="00164DA6"/>
    <w:rsid w:val="00164DEE"/>
    <w:rsid w:val="00164ECC"/>
    <w:rsid w:val="0016504A"/>
    <w:rsid w:val="00165103"/>
    <w:rsid w:val="001651AB"/>
    <w:rsid w:val="0016521C"/>
    <w:rsid w:val="001652A4"/>
    <w:rsid w:val="001652B4"/>
    <w:rsid w:val="00165314"/>
    <w:rsid w:val="001653B8"/>
    <w:rsid w:val="001653DD"/>
    <w:rsid w:val="00165419"/>
    <w:rsid w:val="0016544B"/>
    <w:rsid w:val="00165669"/>
    <w:rsid w:val="001657ED"/>
    <w:rsid w:val="00165821"/>
    <w:rsid w:val="00165837"/>
    <w:rsid w:val="001659D8"/>
    <w:rsid w:val="00165A10"/>
    <w:rsid w:val="00165A3F"/>
    <w:rsid w:val="00165A4D"/>
    <w:rsid w:val="00165AC9"/>
    <w:rsid w:val="00165AF5"/>
    <w:rsid w:val="00165C01"/>
    <w:rsid w:val="00165C2A"/>
    <w:rsid w:val="00165D05"/>
    <w:rsid w:val="00165DFB"/>
    <w:rsid w:val="00165DFC"/>
    <w:rsid w:val="00165EF2"/>
    <w:rsid w:val="00165F43"/>
    <w:rsid w:val="00165FE0"/>
    <w:rsid w:val="00166084"/>
    <w:rsid w:val="0016612D"/>
    <w:rsid w:val="00166222"/>
    <w:rsid w:val="00166246"/>
    <w:rsid w:val="001662E1"/>
    <w:rsid w:val="001662FD"/>
    <w:rsid w:val="00166384"/>
    <w:rsid w:val="001663F5"/>
    <w:rsid w:val="00166444"/>
    <w:rsid w:val="00166598"/>
    <w:rsid w:val="0016664D"/>
    <w:rsid w:val="00166677"/>
    <w:rsid w:val="0016667F"/>
    <w:rsid w:val="001666C6"/>
    <w:rsid w:val="0016672D"/>
    <w:rsid w:val="00166733"/>
    <w:rsid w:val="00166774"/>
    <w:rsid w:val="0016678D"/>
    <w:rsid w:val="00166828"/>
    <w:rsid w:val="001668E7"/>
    <w:rsid w:val="00166987"/>
    <w:rsid w:val="00166993"/>
    <w:rsid w:val="00166A99"/>
    <w:rsid w:val="00166C99"/>
    <w:rsid w:val="00166DB2"/>
    <w:rsid w:val="00166DB4"/>
    <w:rsid w:val="00166E8B"/>
    <w:rsid w:val="00166F1B"/>
    <w:rsid w:val="00166F7F"/>
    <w:rsid w:val="00166FA7"/>
    <w:rsid w:val="00166FBB"/>
    <w:rsid w:val="00167085"/>
    <w:rsid w:val="001670EC"/>
    <w:rsid w:val="00167115"/>
    <w:rsid w:val="00167209"/>
    <w:rsid w:val="0016726A"/>
    <w:rsid w:val="0016727B"/>
    <w:rsid w:val="001673FF"/>
    <w:rsid w:val="0016745B"/>
    <w:rsid w:val="0016758E"/>
    <w:rsid w:val="0016763E"/>
    <w:rsid w:val="001676A9"/>
    <w:rsid w:val="00167705"/>
    <w:rsid w:val="00167708"/>
    <w:rsid w:val="00167735"/>
    <w:rsid w:val="00167759"/>
    <w:rsid w:val="001677EE"/>
    <w:rsid w:val="001678F8"/>
    <w:rsid w:val="00167A53"/>
    <w:rsid w:val="00167B8A"/>
    <w:rsid w:val="00167C6F"/>
    <w:rsid w:val="00167CD2"/>
    <w:rsid w:val="00167D0A"/>
    <w:rsid w:val="00167D23"/>
    <w:rsid w:val="00167DC5"/>
    <w:rsid w:val="00167DF1"/>
    <w:rsid w:val="00167EE8"/>
    <w:rsid w:val="00167F46"/>
    <w:rsid w:val="00167F53"/>
    <w:rsid w:val="00167F55"/>
    <w:rsid w:val="0017006E"/>
    <w:rsid w:val="0017008F"/>
    <w:rsid w:val="00170093"/>
    <w:rsid w:val="001700DD"/>
    <w:rsid w:val="0017011B"/>
    <w:rsid w:val="0017017A"/>
    <w:rsid w:val="0017025F"/>
    <w:rsid w:val="00170280"/>
    <w:rsid w:val="001702FD"/>
    <w:rsid w:val="0017036F"/>
    <w:rsid w:val="0017037B"/>
    <w:rsid w:val="001704B7"/>
    <w:rsid w:val="001704F6"/>
    <w:rsid w:val="0017055B"/>
    <w:rsid w:val="00170578"/>
    <w:rsid w:val="001705CD"/>
    <w:rsid w:val="001705E4"/>
    <w:rsid w:val="00170611"/>
    <w:rsid w:val="00170639"/>
    <w:rsid w:val="00170675"/>
    <w:rsid w:val="00170775"/>
    <w:rsid w:val="0017089D"/>
    <w:rsid w:val="001708BD"/>
    <w:rsid w:val="001708DC"/>
    <w:rsid w:val="00170966"/>
    <w:rsid w:val="001709B6"/>
    <w:rsid w:val="00170A40"/>
    <w:rsid w:val="00170AD4"/>
    <w:rsid w:val="00170BA0"/>
    <w:rsid w:val="00170C27"/>
    <w:rsid w:val="00170C4A"/>
    <w:rsid w:val="00170C77"/>
    <w:rsid w:val="00170F31"/>
    <w:rsid w:val="00170F95"/>
    <w:rsid w:val="00171032"/>
    <w:rsid w:val="00171098"/>
    <w:rsid w:val="0017112D"/>
    <w:rsid w:val="00171204"/>
    <w:rsid w:val="0017125A"/>
    <w:rsid w:val="00171317"/>
    <w:rsid w:val="00171394"/>
    <w:rsid w:val="001713C8"/>
    <w:rsid w:val="0017145B"/>
    <w:rsid w:val="00171477"/>
    <w:rsid w:val="001714BA"/>
    <w:rsid w:val="001714C8"/>
    <w:rsid w:val="00171594"/>
    <w:rsid w:val="001715BB"/>
    <w:rsid w:val="001715D9"/>
    <w:rsid w:val="00171612"/>
    <w:rsid w:val="00171646"/>
    <w:rsid w:val="00171761"/>
    <w:rsid w:val="00171823"/>
    <w:rsid w:val="0017185B"/>
    <w:rsid w:val="00171904"/>
    <w:rsid w:val="0017191A"/>
    <w:rsid w:val="00171971"/>
    <w:rsid w:val="00171972"/>
    <w:rsid w:val="001719A8"/>
    <w:rsid w:val="00171A4B"/>
    <w:rsid w:val="00171A54"/>
    <w:rsid w:val="00171AE2"/>
    <w:rsid w:val="00171B1B"/>
    <w:rsid w:val="00171CD2"/>
    <w:rsid w:val="00171D17"/>
    <w:rsid w:val="00171D99"/>
    <w:rsid w:val="00171DF1"/>
    <w:rsid w:val="00171EB3"/>
    <w:rsid w:val="00171FC4"/>
    <w:rsid w:val="0017205D"/>
    <w:rsid w:val="00172180"/>
    <w:rsid w:val="001721E3"/>
    <w:rsid w:val="00172202"/>
    <w:rsid w:val="001722A5"/>
    <w:rsid w:val="001722BF"/>
    <w:rsid w:val="001722C1"/>
    <w:rsid w:val="0017232A"/>
    <w:rsid w:val="001723A2"/>
    <w:rsid w:val="00172424"/>
    <w:rsid w:val="0017243F"/>
    <w:rsid w:val="0017257C"/>
    <w:rsid w:val="001725D3"/>
    <w:rsid w:val="00172651"/>
    <w:rsid w:val="00172741"/>
    <w:rsid w:val="001727D3"/>
    <w:rsid w:val="00172809"/>
    <w:rsid w:val="00172901"/>
    <w:rsid w:val="001729F2"/>
    <w:rsid w:val="00172A89"/>
    <w:rsid w:val="00172ACF"/>
    <w:rsid w:val="00172CB8"/>
    <w:rsid w:val="00172D19"/>
    <w:rsid w:val="00172DD6"/>
    <w:rsid w:val="00172EDC"/>
    <w:rsid w:val="00172F62"/>
    <w:rsid w:val="00172F67"/>
    <w:rsid w:val="00172F6A"/>
    <w:rsid w:val="00172FA0"/>
    <w:rsid w:val="00172FF4"/>
    <w:rsid w:val="001730FE"/>
    <w:rsid w:val="00173105"/>
    <w:rsid w:val="0017319C"/>
    <w:rsid w:val="00173364"/>
    <w:rsid w:val="001733C9"/>
    <w:rsid w:val="001734D5"/>
    <w:rsid w:val="00173513"/>
    <w:rsid w:val="0017359F"/>
    <w:rsid w:val="00173641"/>
    <w:rsid w:val="00173655"/>
    <w:rsid w:val="001736E5"/>
    <w:rsid w:val="00173713"/>
    <w:rsid w:val="00173738"/>
    <w:rsid w:val="0017377D"/>
    <w:rsid w:val="001737C5"/>
    <w:rsid w:val="00173804"/>
    <w:rsid w:val="0017389C"/>
    <w:rsid w:val="001739DA"/>
    <w:rsid w:val="00173A3C"/>
    <w:rsid w:val="00173A8D"/>
    <w:rsid w:val="00173AC8"/>
    <w:rsid w:val="00173B2E"/>
    <w:rsid w:val="00173B37"/>
    <w:rsid w:val="00173B43"/>
    <w:rsid w:val="00173B78"/>
    <w:rsid w:val="00173C50"/>
    <w:rsid w:val="00173D07"/>
    <w:rsid w:val="00173D6D"/>
    <w:rsid w:val="00173E0D"/>
    <w:rsid w:val="00173ECA"/>
    <w:rsid w:val="00173FC7"/>
    <w:rsid w:val="00174067"/>
    <w:rsid w:val="0017415F"/>
    <w:rsid w:val="0017444B"/>
    <w:rsid w:val="00174589"/>
    <w:rsid w:val="00174603"/>
    <w:rsid w:val="0017460C"/>
    <w:rsid w:val="00174690"/>
    <w:rsid w:val="0017477B"/>
    <w:rsid w:val="00174809"/>
    <w:rsid w:val="001749B0"/>
    <w:rsid w:val="001749B5"/>
    <w:rsid w:val="001749F7"/>
    <w:rsid w:val="00174A85"/>
    <w:rsid w:val="00174AF9"/>
    <w:rsid w:val="00174B10"/>
    <w:rsid w:val="00174B8B"/>
    <w:rsid w:val="00174BFE"/>
    <w:rsid w:val="00174C05"/>
    <w:rsid w:val="00174C65"/>
    <w:rsid w:val="00174CC9"/>
    <w:rsid w:val="00174CE2"/>
    <w:rsid w:val="00174D1A"/>
    <w:rsid w:val="00174D5A"/>
    <w:rsid w:val="00174D63"/>
    <w:rsid w:val="00174F1E"/>
    <w:rsid w:val="00174F30"/>
    <w:rsid w:val="00175051"/>
    <w:rsid w:val="00175061"/>
    <w:rsid w:val="00175141"/>
    <w:rsid w:val="0017516A"/>
    <w:rsid w:val="0017517C"/>
    <w:rsid w:val="001751C5"/>
    <w:rsid w:val="001751CF"/>
    <w:rsid w:val="00175207"/>
    <w:rsid w:val="0017525A"/>
    <w:rsid w:val="0017525C"/>
    <w:rsid w:val="00175330"/>
    <w:rsid w:val="0017539E"/>
    <w:rsid w:val="001753D7"/>
    <w:rsid w:val="00175454"/>
    <w:rsid w:val="001755CC"/>
    <w:rsid w:val="00175621"/>
    <w:rsid w:val="001756CA"/>
    <w:rsid w:val="00175732"/>
    <w:rsid w:val="00175872"/>
    <w:rsid w:val="001758AE"/>
    <w:rsid w:val="00175A4E"/>
    <w:rsid w:val="00175A6E"/>
    <w:rsid w:val="00175AC9"/>
    <w:rsid w:val="00175B10"/>
    <w:rsid w:val="00175B27"/>
    <w:rsid w:val="00175CA6"/>
    <w:rsid w:val="00175CDD"/>
    <w:rsid w:val="00175CE9"/>
    <w:rsid w:val="00175D6B"/>
    <w:rsid w:val="00175E38"/>
    <w:rsid w:val="00175E83"/>
    <w:rsid w:val="00175F12"/>
    <w:rsid w:val="00175F55"/>
    <w:rsid w:val="00175FC1"/>
    <w:rsid w:val="00176011"/>
    <w:rsid w:val="00176097"/>
    <w:rsid w:val="001760CE"/>
    <w:rsid w:val="001760E6"/>
    <w:rsid w:val="00176124"/>
    <w:rsid w:val="001761CE"/>
    <w:rsid w:val="001762A5"/>
    <w:rsid w:val="00176313"/>
    <w:rsid w:val="00176321"/>
    <w:rsid w:val="001763AF"/>
    <w:rsid w:val="0017643D"/>
    <w:rsid w:val="00176466"/>
    <w:rsid w:val="001764B6"/>
    <w:rsid w:val="00176527"/>
    <w:rsid w:val="00176552"/>
    <w:rsid w:val="001765FE"/>
    <w:rsid w:val="001767D7"/>
    <w:rsid w:val="00176815"/>
    <w:rsid w:val="00176864"/>
    <w:rsid w:val="00176927"/>
    <w:rsid w:val="0017693E"/>
    <w:rsid w:val="001769C4"/>
    <w:rsid w:val="001769E1"/>
    <w:rsid w:val="001769E9"/>
    <w:rsid w:val="00176B78"/>
    <w:rsid w:val="00176BA5"/>
    <w:rsid w:val="00176BF6"/>
    <w:rsid w:val="00176CB5"/>
    <w:rsid w:val="00176D24"/>
    <w:rsid w:val="00176D95"/>
    <w:rsid w:val="00176D9A"/>
    <w:rsid w:val="00176EFD"/>
    <w:rsid w:val="00176F46"/>
    <w:rsid w:val="00176FD4"/>
    <w:rsid w:val="00177042"/>
    <w:rsid w:val="0017706C"/>
    <w:rsid w:val="001770B2"/>
    <w:rsid w:val="00177115"/>
    <w:rsid w:val="001771BA"/>
    <w:rsid w:val="001771D3"/>
    <w:rsid w:val="00177266"/>
    <w:rsid w:val="001772F2"/>
    <w:rsid w:val="00177341"/>
    <w:rsid w:val="0017738A"/>
    <w:rsid w:val="0017741A"/>
    <w:rsid w:val="001774DD"/>
    <w:rsid w:val="001775CB"/>
    <w:rsid w:val="001776A7"/>
    <w:rsid w:val="001776FB"/>
    <w:rsid w:val="001777C7"/>
    <w:rsid w:val="0017780B"/>
    <w:rsid w:val="001778B5"/>
    <w:rsid w:val="00177941"/>
    <w:rsid w:val="00177942"/>
    <w:rsid w:val="00177973"/>
    <w:rsid w:val="00177A10"/>
    <w:rsid w:val="00177A77"/>
    <w:rsid w:val="00177B4F"/>
    <w:rsid w:val="00177BBF"/>
    <w:rsid w:val="00177BE6"/>
    <w:rsid w:val="00177BFA"/>
    <w:rsid w:val="00177C00"/>
    <w:rsid w:val="00177CDA"/>
    <w:rsid w:val="00177E3C"/>
    <w:rsid w:val="00177E71"/>
    <w:rsid w:val="00177E8A"/>
    <w:rsid w:val="00177EC1"/>
    <w:rsid w:val="00177F2F"/>
    <w:rsid w:val="00177FE6"/>
    <w:rsid w:val="00180039"/>
    <w:rsid w:val="0018004D"/>
    <w:rsid w:val="00180159"/>
    <w:rsid w:val="001801A4"/>
    <w:rsid w:val="001801DC"/>
    <w:rsid w:val="001801F7"/>
    <w:rsid w:val="001802B7"/>
    <w:rsid w:val="001802BF"/>
    <w:rsid w:val="001803A0"/>
    <w:rsid w:val="001804C8"/>
    <w:rsid w:val="001804E9"/>
    <w:rsid w:val="00180521"/>
    <w:rsid w:val="001805A8"/>
    <w:rsid w:val="001805C2"/>
    <w:rsid w:val="00180642"/>
    <w:rsid w:val="00180752"/>
    <w:rsid w:val="00180803"/>
    <w:rsid w:val="0018083E"/>
    <w:rsid w:val="001808C1"/>
    <w:rsid w:val="001808E2"/>
    <w:rsid w:val="00180977"/>
    <w:rsid w:val="00180993"/>
    <w:rsid w:val="00180A47"/>
    <w:rsid w:val="00180A93"/>
    <w:rsid w:val="00180AC7"/>
    <w:rsid w:val="00180B12"/>
    <w:rsid w:val="00180BAB"/>
    <w:rsid w:val="00180BAD"/>
    <w:rsid w:val="00180C46"/>
    <w:rsid w:val="00180CB3"/>
    <w:rsid w:val="00180DED"/>
    <w:rsid w:val="00180EB5"/>
    <w:rsid w:val="00180EC9"/>
    <w:rsid w:val="00180EDF"/>
    <w:rsid w:val="00180F00"/>
    <w:rsid w:val="00180F0A"/>
    <w:rsid w:val="00180F92"/>
    <w:rsid w:val="00180F9F"/>
    <w:rsid w:val="00180FFC"/>
    <w:rsid w:val="00181004"/>
    <w:rsid w:val="00181042"/>
    <w:rsid w:val="00181046"/>
    <w:rsid w:val="00181064"/>
    <w:rsid w:val="0018106E"/>
    <w:rsid w:val="0018113E"/>
    <w:rsid w:val="00181227"/>
    <w:rsid w:val="00181237"/>
    <w:rsid w:val="001812D5"/>
    <w:rsid w:val="001812E1"/>
    <w:rsid w:val="00181305"/>
    <w:rsid w:val="0018134F"/>
    <w:rsid w:val="00181493"/>
    <w:rsid w:val="001814D2"/>
    <w:rsid w:val="001814DE"/>
    <w:rsid w:val="0018161D"/>
    <w:rsid w:val="0018164B"/>
    <w:rsid w:val="00181655"/>
    <w:rsid w:val="001816B5"/>
    <w:rsid w:val="00181833"/>
    <w:rsid w:val="001819A6"/>
    <w:rsid w:val="001819B6"/>
    <w:rsid w:val="00181A0E"/>
    <w:rsid w:val="00181A2B"/>
    <w:rsid w:val="00181A96"/>
    <w:rsid w:val="00181AD9"/>
    <w:rsid w:val="00181AFB"/>
    <w:rsid w:val="00181B07"/>
    <w:rsid w:val="00181C17"/>
    <w:rsid w:val="00181C70"/>
    <w:rsid w:val="00181C79"/>
    <w:rsid w:val="00181CDB"/>
    <w:rsid w:val="00181D3E"/>
    <w:rsid w:val="00181DF1"/>
    <w:rsid w:val="00181E0C"/>
    <w:rsid w:val="00181EA1"/>
    <w:rsid w:val="00181EEF"/>
    <w:rsid w:val="00181FD0"/>
    <w:rsid w:val="00182084"/>
    <w:rsid w:val="0018209B"/>
    <w:rsid w:val="00182182"/>
    <w:rsid w:val="00182217"/>
    <w:rsid w:val="00182226"/>
    <w:rsid w:val="00182260"/>
    <w:rsid w:val="001822F7"/>
    <w:rsid w:val="00182353"/>
    <w:rsid w:val="001823F5"/>
    <w:rsid w:val="00182574"/>
    <w:rsid w:val="00182582"/>
    <w:rsid w:val="00182631"/>
    <w:rsid w:val="00182663"/>
    <w:rsid w:val="0018271F"/>
    <w:rsid w:val="00182726"/>
    <w:rsid w:val="0018273A"/>
    <w:rsid w:val="00182770"/>
    <w:rsid w:val="001827FD"/>
    <w:rsid w:val="00182838"/>
    <w:rsid w:val="00182867"/>
    <w:rsid w:val="0018288A"/>
    <w:rsid w:val="001828AB"/>
    <w:rsid w:val="001828E6"/>
    <w:rsid w:val="00182ABA"/>
    <w:rsid w:val="00182B00"/>
    <w:rsid w:val="00182B18"/>
    <w:rsid w:val="00182B57"/>
    <w:rsid w:val="00182C30"/>
    <w:rsid w:val="00182C6C"/>
    <w:rsid w:val="00182C9F"/>
    <w:rsid w:val="00182CAC"/>
    <w:rsid w:val="00182CCB"/>
    <w:rsid w:val="00182D09"/>
    <w:rsid w:val="00182D23"/>
    <w:rsid w:val="00182D4C"/>
    <w:rsid w:val="00182E1A"/>
    <w:rsid w:val="00182E1E"/>
    <w:rsid w:val="00182E8A"/>
    <w:rsid w:val="00182EE4"/>
    <w:rsid w:val="00182F5F"/>
    <w:rsid w:val="00182F70"/>
    <w:rsid w:val="00183045"/>
    <w:rsid w:val="001830FC"/>
    <w:rsid w:val="0018311C"/>
    <w:rsid w:val="0018318D"/>
    <w:rsid w:val="00183204"/>
    <w:rsid w:val="0018322E"/>
    <w:rsid w:val="00183304"/>
    <w:rsid w:val="00183318"/>
    <w:rsid w:val="0018335D"/>
    <w:rsid w:val="001833A7"/>
    <w:rsid w:val="001833E8"/>
    <w:rsid w:val="00183433"/>
    <w:rsid w:val="00183441"/>
    <w:rsid w:val="0018357E"/>
    <w:rsid w:val="00183590"/>
    <w:rsid w:val="001835F5"/>
    <w:rsid w:val="00183685"/>
    <w:rsid w:val="001836CC"/>
    <w:rsid w:val="00183727"/>
    <w:rsid w:val="001837A6"/>
    <w:rsid w:val="001838BC"/>
    <w:rsid w:val="001838D9"/>
    <w:rsid w:val="00183918"/>
    <w:rsid w:val="00183A96"/>
    <w:rsid w:val="00183CE6"/>
    <w:rsid w:val="00183CFE"/>
    <w:rsid w:val="00183D34"/>
    <w:rsid w:val="00183F8E"/>
    <w:rsid w:val="00183FF1"/>
    <w:rsid w:val="0018402C"/>
    <w:rsid w:val="00184036"/>
    <w:rsid w:val="00184077"/>
    <w:rsid w:val="0018407D"/>
    <w:rsid w:val="001840B3"/>
    <w:rsid w:val="00184161"/>
    <w:rsid w:val="00184208"/>
    <w:rsid w:val="00184232"/>
    <w:rsid w:val="001842B5"/>
    <w:rsid w:val="001842C9"/>
    <w:rsid w:val="0018438E"/>
    <w:rsid w:val="0018440F"/>
    <w:rsid w:val="00184630"/>
    <w:rsid w:val="00184654"/>
    <w:rsid w:val="00184696"/>
    <w:rsid w:val="001846F6"/>
    <w:rsid w:val="00184773"/>
    <w:rsid w:val="001848C0"/>
    <w:rsid w:val="001849D1"/>
    <w:rsid w:val="00184A6C"/>
    <w:rsid w:val="00184C8B"/>
    <w:rsid w:val="00184CC7"/>
    <w:rsid w:val="00184CD1"/>
    <w:rsid w:val="00184D9B"/>
    <w:rsid w:val="00184DB4"/>
    <w:rsid w:val="00184DEB"/>
    <w:rsid w:val="00184E0B"/>
    <w:rsid w:val="00184EBE"/>
    <w:rsid w:val="001850F9"/>
    <w:rsid w:val="00185181"/>
    <w:rsid w:val="001851EB"/>
    <w:rsid w:val="001851ED"/>
    <w:rsid w:val="001852CF"/>
    <w:rsid w:val="001852F0"/>
    <w:rsid w:val="0018536D"/>
    <w:rsid w:val="001853D2"/>
    <w:rsid w:val="00185410"/>
    <w:rsid w:val="0018547C"/>
    <w:rsid w:val="00185484"/>
    <w:rsid w:val="001854DB"/>
    <w:rsid w:val="00185571"/>
    <w:rsid w:val="0018559A"/>
    <w:rsid w:val="00185676"/>
    <w:rsid w:val="0018575E"/>
    <w:rsid w:val="0018575F"/>
    <w:rsid w:val="001857FD"/>
    <w:rsid w:val="00185810"/>
    <w:rsid w:val="0018583D"/>
    <w:rsid w:val="00185886"/>
    <w:rsid w:val="001858EB"/>
    <w:rsid w:val="001859F4"/>
    <w:rsid w:val="00185A7A"/>
    <w:rsid w:val="00185AF8"/>
    <w:rsid w:val="00185B36"/>
    <w:rsid w:val="00185C9D"/>
    <w:rsid w:val="00185D40"/>
    <w:rsid w:val="00185DAC"/>
    <w:rsid w:val="00185E3B"/>
    <w:rsid w:val="00185F1E"/>
    <w:rsid w:val="00185FF4"/>
    <w:rsid w:val="00186099"/>
    <w:rsid w:val="001860C1"/>
    <w:rsid w:val="001860D9"/>
    <w:rsid w:val="001861A1"/>
    <w:rsid w:val="001861E3"/>
    <w:rsid w:val="00186210"/>
    <w:rsid w:val="0018621C"/>
    <w:rsid w:val="001862BE"/>
    <w:rsid w:val="00186375"/>
    <w:rsid w:val="001864C2"/>
    <w:rsid w:val="001864EE"/>
    <w:rsid w:val="00186512"/>
    <w:rsid w:val="00186544"/>
    <w:rsid w:val="00186575"/>
    <w:rsid w:val="00186594"/>
    <w:rsid w:val="0018659E"/>
    <w:rsid w:val="00186622"/>
    <w:rsid w:val="00186715"/>
    <w:rsid w:val="0018673A"/>
    <w:rsid w:val="001867C4"/>
    <w:rsid w:val="00186825"/>
    <w:rsid w:val="0018687F"/>
    <w:rsid w:val="001868F6"/>
    <w:rsid w:val="00186923"/>
    <w:rsid w:val="00186976"/>
    <w:rsid w:val="00186985"/>
    <w:rsid w:val="00186B46"/>
    <w:rsid w:val="00186B51"/>
    <w:rsid w:val="00186B67"/>
    <w:rsid w:val="00186B7D"/>
    <w:rsid w:val="00186C9B"/>
    <w:rsid w:val="00186D80"/>
    <w:rsid w:val="00186FED"/>
    <w:rsid w:val="00187045"/>
    <w:rsid w:val="001870D7"/>
    <w:rsid w:val="00187165"/>
    <w:rsid w:val="0018718B"/>
    <w:rsid w:val="00187194"/>
    <w:rsid w:val="001871A6"/>
    <w:rsid w:val="001871BE"/>
    <w:rsid w:val="00187339"/>
    <w:rsid w:val="001873BD"/>
    <w:rsid w:val="001873C4"/>
    <w:rsid w:val="001873EC"/>
    <w:rsid w:val="00187580"/>
    <w:rsid w:val="001875BE"/>
    <w:rsid w:val="00187649"/>
    <w:rsid w:val="00187764"/>
    <w:rsid w:val="0018776F"/>
    <w:rsid w:val="0018777B"/>
    <w:rsid w:val="001877F2"/>
    <w:rsid w:val="00187828"/>
    <w:rsid w:val="00187848"/>
    <w:rsid w:val="00187865"/>
    <w:rsid w:val="00187991"/>
    <w:rsid w:val="001879A0"/>
    <w:rsid w:val="00187AF8"/>
    <w:rsid w:val="00187BEE"/>
    <w:rsid w:val="00187D41"/>
    <w:rsid w:val="00187E2F"/>
    <w:rsid w:val="00187E36"/>
    <w:rsid w:val="00190130"/>
    <w:rsid w:val="0019014C"/>
    <w:rsid w:val="00190166"/>
    <w:rsid w:val="00190209"/>
    <w:rsid w:val="00190210"/>
    <w:rsid w:val="001902C4"/>
    <w:rsid w:val="00190329"/>
    <w:rsid w:val="00190385"/>
    <w:rsid w:val="001903CC"/>
    <w:rsid w:val="001903F6"/>
    <w:rsid w:val="00190439"/>
    <w:rsid w:val="001904AF"/>
    <w:rsid w:val="00190588"/>
    <w:rsid w:val="00190607"/>
    <w:rsid w:val="00190619"/>
    <w:rsid w:val="0019065D"/>
    <w:rsid w:val="0019082F"/>
    <w:rsid w:val="001909A6"/>
    <w:rsid w:val="001909B3"/>
    <w:rsid w:val="00190A29"/>
    <w:rsid w:val="00190A32"/>
    <w:rsid w:val="00190AAE"/>
    <w:rsid w:val="00190ABE"/>
    <w:rsid w:val="00190B1F"/>
    <w:rsid w:val="00190B8C"/>
    <w:rsid w:val="00190BBA"/>
    <w:rsid w:val="00190C5B"/>
    <w:rsid w:val="00190C9C"/>
    <w:rsid w:val="00190CCA"/>
    <w:rsid w:val="00190CD2"/>
    <w:rsid w:val="00190D85"/>
    <w:rsid w:val="00190D96"/>
    <w:rsid w:val="00190DC4"/>
    <w:rsid w:val="00190DD1"/>
    <w:rsid w:val="00190E79"/>
    <w:rsid w:val="00190E8E"/>
    <w:rsid w:val="0019101A"/>
    <w:rsid w:val="0019111F"/>
    <w:rsid w:val="0019114E"/>
    <w:rsid w:val="00191167"/>
    <w:rsid w:val="00191267"/>
    <w:rsid w:val="0019127A"/>
    <w:rsid w:val="0019127E"/>
    <w:rsid w:val="001912CF"/>
    <w:rsid w:val="001913AA"/>
    <w:rsid w:val="00191426"/>
    <w:rsid w:val="001914AE"/>
    <w:rsid w:val="001914CE"/>
    <w:rsid w:val="0019157C"/>
    <w:rsid w:val="001915B1"/>
    <w:rsid w:val="00191730"/>
    <w:rsid w:val="001917A2"/>
    <w:rsid w:val="001917A3"/>
    <w:rsid w:val="00191AD3"/>
    <w:rsid w:val="00191ADB"/>
    <w:rsid w:val="00191AE8"/>
    <w:rsid w:val="00191BA8"/>
    <w:rsid w:val="00191BB9"/>
    <w:rsid w:val="00191C53"/>
    <w:rsid w:val="00191CD9"/>
    <w:rsid w:val="00191CF3"/>
    <w:rsid w:val="00191CFE"/>
    <w:rsid w:val="00191D2F"/>
    <w:rsid w:val="00191DD0"/>
    <w:rsid w:val="00191E8E"/>
    <w:rsid w:val="00191F1E"/>
    <w:rsid w:val="00191F2F"/>
    <w:rsid w:val="00192027"/>
    <w:rsid w:val="00192088"/>
    <w:rsid w:val="00192113"/>
    <w:rsid w:val="0019216B"/>
    <w:rsid w:val="0019223A"/>
    <w:rsid w:val="001922F9"/>
    <w:rsid w:val="0019231F"/>
    <w:rsid w:val="0019232B"/>
    <w:rsid w:val="00192333"/>
    <w:rsid w:val="00192498"/>
    <w:rsid w:val="001924ED"/>
    <w:rsid w:val="00192547"/>
    <w:rsid w:val="001926B4"/>
    <w:rsid w:val="00192750"/>
    <w:rsid w:val="0019278F"/>
    <w:rsid w:val="001927AE"/>
    <w:rsid w:val="001927AF"/>
    <w:rsid w:val="0019280C"/>
    <w:rsid w:val="00192854"/>
    <w:rsid w:val="00192984"/>
    <w:rsid w:val="00192A53"/>
    <w:rsid w:val="00192A82"/>
    <w:rsid w:val="00192AC3"/>
    <w:rsid w:val="00192AEF"/>
    <w:rsid w:val="00192B02"/>
    <w:rsid w:val="00192B40"/>
    <w:rsid w:val="00192B86"/>
    <w:rsid w:val="00192B96"/>
    <w:rsid w:val="00192BC3"/>
    <w:rsid w:val="00192BC8"/>
    <w:rsid w:val="00192CCD"/>
    <w:rsid w:val="00192D67"/>
    <w:rsid w:val="00192D8D"/>
    <w:rsid w:val="00192DD1"/>
    <w:rsid w:val="00192DF2"/>
    <w:rsid w:val="00192E00"/>
    <w:rsid w:val="00192E79"/>
    <w:rsid w:val="00192E8E"/>
    <w:rsid w:val="00192ED3"/>
    <w:rsid w:val="00192EF6"/>
    <w:rsid w:val="00192F4C"/>
    <w:rsid w:val="00192FB4"/>
    <w:rsid w:val="00192FE4"/>
    <w:rsid w:val="00192FEA"/>
    <w:rsid w:val="00193001"/>
    <w:rsid w:val="0019300F"/>
    <w:rsid w:val="0019306A"/>
    <w:rsid w:val="001930AF"/>
    <w:rsid w:val="001930E0"/>
    <w:rsid w:val="00193116"/>
    <w:rsid w:val="0019316F"/>
    <w:rsid w:val="001931AF"/>
    <w:rsid w:val="00193211"/>
    <w:rsid w:val="001932E4"/>
    <w:rsid w:val="001932EC"/>
    <w:rsid w:val="001933B3"/>
    <w:rsid w:val="001933BA"/>
    <w:rsid w:val="001933CC"/>
    <w:rsid w:val="00193437"/>
    <w:rsid w:val="00193525"/>
    <w:rsid w:val="00193558"/>
    <w:rsid w:val="001935D6"/>
    <w:rsid w:val="001935FB"/>
    <w:rsid w:val="0019361D"/>
    <w:rsid w:val="0019363A"/>
    <w:rsid w:val="00193641"/>
    <w:rsid w:val="00193661"/>
    <w:rsid w:val="001936ED"/>
    <w:rsid w:val="00193709"/>
    <w:rsid w:val="0019378E"/>
    <w:rsid w:val="001937DE"/>
    <w:rsid w:val="001938B5"/>
    <w:rsid w:val="001938DD"/>
    <w:rsid w:val="001938E1"/>
    <w:rsid w:val="00193A02"/>
    <w:rsid w:val="00193A94"/>
    <w:rsid w:val="00193B4B"/>
    <w:rsid w:val="00193D41"/>
    <w:rsid w:val="00193D45"/>
    <w:rsid w:val="00193E81"/>
    <w:rsid w:val="00193EBD"/>
    <w:rsid w:val="00193ED7"/>
    <w:rsid w:val="00193F3F"/>
    <w:rsid w:val="00193F77"/>
    <w:rsid w:val="00193F9F"/>
    <w:rsid w:val="00194045"/>
    <w:rsid w:val="001940A6"/>
    <w:rsid w:val="001940C2"/>
    <w:rsid w:val="001940EA"/>
    <w:rsid w:val="001941F7"/>
    <w:rsid w:val="00194355"/>
    <w:rsid w:val="001943CB"/>
    <w:rsid w:val="00194457"/>
    <w:rsid w:val="001944C1"/>
    <w:rsid w:val="001946AA"/>
    <w:rsid w:val="00194711"/>
    <w:rsid w:val="00194721"/>
    <w:rsid w:val="00194777"/>
    <w:rsid w:val="0019479B"/>
    <w:rsid w:val="001947AB"/>
    <w:rsid w:val="00194819"/>
    <w:rsid w:val="001948CF"/>
    <w:rsid w:val="001948EF"/>
    <w:rsid w:val="00194953"/>
    <w:rsid w:val="00194980"/>
    <w:rsid w:val="00194990"/>
    <w:rsid w:val="001949F9"/>
    <w:rsid w:val="00194AD2"/>
    <w:rsid w:val="00194AE8"/>
    <w:rsid w:val="00194D6D"/>
    <w:rsid w:val="00194DC0"/>
    <w:rsid w:val="00194E0C"/>
    <w:rsid w:val="00194E4E"/>
    <w:rsid w:val="00194EAC"/>
    <w:rsid w:val="00194F31"/>
    <w:rsid w:val="00194FBA"/>
    <w:rsid w:val="00194FDF"/>
    <w:rsid w:val="00195044"/>
    <w:rsid w:val="00195097"/>
    <w:rsid w:val="001950E3"/>
    <w:rsid w:val="001951DC"/>
    <w:rsid w:val="0019521E"/>
    <w:rsid w:val="00195281"/>
    <w:rsid w:val="001952EF"/>
    <w:rsid w:val="0019534E"/>
    <w:rsid w:val="0019537D"/>
    <w:rsid w:val="001953E3"/>
    <w:rsid w:val="001953FE"/>
    <w:rsid w:val="0019552B"/>
    <w:rsid w:val="0019552E"/>
    <w:rsid w:val="0019560C"/>
    <w:rsid w:val="00195721"/>
    <w:rsid w:val="0019573D"/>
    <w:rsid w:val="001957EE"/>
    <w:rsid w:val="001957FA"/>
    <w:rsid w:val="001958B5"/>
    <w:rsid w:val="00195A4C"/>
    <w:rsid w:val="00195AC0"/>
    <w:rsid w:val="00195B2A"/>
    <w:rsid w:val="00195BA1"/>
    <w:rsid w:val="00195C8E"/>
    <w:rsid w:val="00195CBF"/>
    <w:rsid w:val="00195E1A"/>
    <w:rsid w:val="00195E28"/>
    <w:rsid w:val="00195F56"/>
    <w:rsid w:val="00195F8B"/>
    <w:rsid w:val="00195FC6"/>
    <w:rsid w:val="00196061"/>
    <w:rsid w:val="001960D6"/>
    <w:rsid w:val="00196110"/>
    <w:rsid w:val="00196136"/>
    <w:rsid w:val="001961D7"/>
    <w:rsid w:val="00196215"/>
    <w:rsid w:val="00196295"/>
    <w:rsid w:val="00196299"/>
    <w:rsid w:val="001962E8"/>
    <w:rsid w:val="001962FF"/>
    <w:rsid w:val="00196339"/>
    <w:rsid w:val="001963CF"/>
    <w:rsid w:val="001963F0"/>
    <w:rsid w:val="001964B9"/>
    <w:rsid w:val="00196643"/>
    <w:rsid w:val="001968BB"/>
    <w:rsid w:val="00196968"/>
    <w:rsid w:val="00196996"/>
    <w:rsid w:val="00196A60"/>
    <w:rsid w:val="00196A85"/>
    <w:rsid w:val="00196B23"/>
    <w:rsid w:val="00196B39"/>
    <w:rsid w:val="00196C2E"/>
    <w:rsid w:val="00196C53"/>
    <w:rsid w:val="00196CDD"/>
    <w:rsid w:val="00196D3E"/>
    <w:rsid w:val="00196D71"/>
    <w:rsid w:val="00196EF2"/>
    <w:rsid w:val="00197011"/>
    <w:rsid w:val="00197284"/>
    <w:rsid w:val="001972D2"/>
    <w:rsid w:val="00197364"/>
    <w:rsid w:val="0019744E"/>
    <w:rsid w:val="00197484"/>
    <w:rsid w:val="0019750D"/>
    <w:rsid w:val="00197544"/>
    <w:rsid w:val="00197694"/>
    <w:rsid w:val="001976FF"/>
    <w:rsid w:val="0019771C"/>
    <w:rsid w:val="0019779F"/>
    <w:rsid w:val="00197894"/>
    <w:rsid w:val="00197985"/>
    <w:rsid w:val="00197B02"/>
    <w:rsid w:val="00197B20"/>
    <w:rsid w:val="00197BA9"/>
    <w:rsid w:val="00197CC9"/>
    <w:rsid w:val="00197CD7"/>
    <w:rsid w:val="00197CEA"/>
    <w:rsid w:val="00197CED"/>
    <w:rsid w:val="00197D38"/>
    <w:rsid w:val="00197E33"/>
    <w:rsid w:val="00197EB4"/>
    <w:rsid w:val="00197F8C"/>
    <w:rsid w:val="001A0006"/>
    <w:rsid w:val="001A00D6"/>
    <w:rsid w:val="001A00D8"/>
    <w:rsid w:val="001A00E0"/>
    <w:rsid w:val="001A0131"/>
    <w:rsid w:val="001A013B"/>
    <w:rsid w:val="001A0177"/>
    <w:rsid w:val="001A01A7"/>
    <w:rsid w:val="001A020E"/>
    <w:rsid w:val="001A022A"/>
    <w:rsid w:val="001A02FA"/>
    <w:rsid w:val="001A0312"/>
    <w:rsid w:val="001A033B"/>
    <w:rsid w:val="001A03C0"/>
    <w:rsid w:val="001A03DA"/>
    <w:rsid w:val="001A03FC"/>
    <w:rsid w:val="001A043B"/>
    <w:rsid w:val="001A04D5"/>
    <w:rsid w:val="001A0555"/>
    <w:rsid w:val="001A0560"/>
    <w:rsid w:val="001A0579"/>
    <w:rsid w:val="001A0634"/>
    <w:rsid w:val="001A063F"/>
    <w:rsid w:val="001A067E"/>
    <w:rsid w:val="001A069A"/>
    <w:rsid w:val="001A0733"/>
    <w:rsid w:val="001A0883"/>
    <w:rsid w:val="001A088F"/>
    <w:rsid w:val="001A090D"/>
    <w:rsid w:val="001A0965"/>
    <w:rsid w:val="001A09A5"/>
    <w:rsid w:val="001A0AAE"/>
    <w:rsid w:val="001A0ABB"/>
    <w:rsid w:val="001A0B1A"/>
    <w:rsid w:val="001A0B52"/>
    <w:rsid w:val="001A0C13"/>
    <w:rsid w:val="001A0C1A"/>
    <w:rsid w:val="001A0CC1"/>
    <w:rsid w:val="001A0D06"/>
    <w:rsid w:val="001A0D39"/>
    <w:rsid w:val="001A0DC3"/>
    <w:rsid w:val="001A0E66"/>
    <w:rsid w:val="001A0ECE"/>
    <w:rsid w:val="001A0EFD"/>
    <w:rsid w:val="001A0F07"/>
    <w:rsid w:val="001A0F20"/>
    <w:rsid w:val="001A1022"/>
    <w:rsid w:val="001A10C7"/>
    <w:rsid w:val="001A1102"/>
    <w:rsid w:val="001A1110"/>
    <w:rsid w:val="001A1254"/>
    <w:rsid w:val="001A126F"/>
    <w:rsid w:val="001A1274"/>
    <w:rsid w:val="001A12E0"/>
    <w:rsid w:val="001A13C0"/>
    <w:rsid w:val="001A1402"/>
    <w:rsid w:val="001A14D1"/>
    <w:rsid w:val="001A14F5"/>
    <w:rsid w:val="001A15D9"/>
    <w:rsid w:val="001A15DC"/>
    <w:rsid w:val="001A163C"/>
    <w:rsid w:val="001A167C"/>
    <w:rsid w:val="001A16BE"/>
    <w:rsid w:val="001A16E0"/>
    <w:rsid w:val="001A1731"/>
    <w:rsid w:val="001A17BA"/>
    <w:rsid w:val="001A181F"/>
    <w:rsid w:val="001A18FD"/>
    <w:rsid w:val="001A1937"/>
    <w:rsid w:val="001A1945"/>
    <w:rsid w:val="001A19B3"/>
    <w:rsid w:val="001A1A65"/>
    <w:rsid w:val="001A1AFC"/>
    <w:rsid w:val="001A1B46"/>
    <w:rsid w:val="001A1B7A"/>
    <w:rsid w:val="001A1BBB"/>
    <w:rsid w:val="001A1BCD"/>
    <w:rsid w:val="001A1C0D"/>
    <w:rsid w:val="001A1C20"/>
    <w:rsid w:val="001A1C56"/>
    <w:rsid w:val="001A1CB6"/>
    <w:rsid w:val="001A1DF3"/>
    <w:rsid w:val="001A1E12"/>
    <w:rsid w:val="001A1E13"/>
    <w:rsid w:val="001A1E6D"/>
    <w:rsid w:val="001A1EE7"/>
    <w:rsid w:val="001A1F69"/>
    <w:rsid w:val="001A20F7"/>
    <w:rsid w:val="001A2230"/>
    <w:rsid w:val="001A2273"/>
    <w:rsid w:val="001A2345"/>
    <w:rsid w:val="001A23CA"/>
    <w:rsid w:val="001A2442"/>
    <w:rsid w:val="001A24F1"/>
    <w:rsid w:val="001A253D"/>
    <w:rsid w:val="001A25E8"/>
    <w:rsid w:val="001A2613"/>
    <w:rsid w:val="001A261C"/>
    <w:rsid w:val="001A2624"/>
    <w:rsid w:val="001A2673"/>
    <w:rsid w:val="001A2696"/>
    <w:rsid w:val="001A26BD"/>
    <w:rsid w:val="001A2718"/>
    <w:rsid w:val="001A27C0"/>
    <w:rsid w:val="001A27CC"/>
    <w:rsid w:val="001A27EE"/>
    <w:rsid w:val="001A2805"/>
    <w:rsid w:val="001A2834"/>
    <w:rsid w:val="001A28CB"/>
    <w:rsid w:val="001A2A1B"/>
    <w:rsid w:val="001A2A20"/>
    <w:rsid w:val="001A2B19"/>
    <w:rsid w:val="001A2B74"/>
    <w:rsid w:val="001A2BE3"/>
    <w:rsid w:val="001A2CB8"/>
    <w:rsid w:val="001A2D19"/>
    <w:rsid w:val="001A2DF0"/>
    <w:rsid w:val="001A2E54"/>
    <w:rsid w:val="001A2E90"/>
    <w:rsid w:val="001A2EBE"/>
    <w:rsid w:val="001A2EFA"/>
    <w:rsid w:val="001A2F0E"/>
    <w:rsid w:val="001A2F62"/>
    <w:rsid w:val="001A2FD7"/>
    <w:rsid w:val="001A3178"/>
    <w:rsid w:val="001A326B"/>
    <w:rsid w:val="001A3280"/>
    <w:rsid w:val="001A330F"/>
    <w:rsid w:val="001A3348"/>
    <w:rsid w:val="001A3349"/>
    <w:rsid w:val="001A3375"/>
    <w:rsid w:val="001A33CB"/>
    <w:rsid w:val="001A3440"/>
    <w:rsid w:val="001A34C5"/>
    <w:rsid w:val="001A357B"/>
    <w:rsid w:val="001A358F"/>
    <w:rsid w:val="001A36EB"/>
    <w:rsid w:val="001A374D"/>
    <w:rsid w:val="001A3754"/>
    <w:rsid w:val="001A37D0"/>
    <w:rsid w:val="001A37D4"/>
    <w:rsid w:val="001A3A1C"/>
    <w:rsid w:val="001A3A43"/>
    <w:rsid w:val="001A3A6B"/>
    <w:rsid w:val="001A3C33"/>
    <w:rsid w:val="001A3CA3"/>
    <w:rsid w:val="001A3CAE"/>
    <w:rsid w:val="001A3D05"/>
    <w:rsid w:val="001A3DDB"/>
    <w:rsid w:val="001A3DEF"/>
    <w:rsid w:val="001A3EC3"/>
    <w:rsid w:val="001A3ED9"/>
    <w:rsid w:val="001A3EEA"/>
    <w:rsid w:val="001A3F56"/>
    <w:rsid w:val="001A3F91"/>
    <w:rsid w:val="001A3FFD"/>
    <w:rsid w:val="001A4010"/>
    <w:rsid w:val="001A406C"/>
    <w:rsid w:val="001A40CC"/>
    <w:rsid w:val="001A41D6"/>
    <w:rsid w:val="001A41E7"/>
    <w:rsid w:val="001A423E"/>
    <w:rsid w:val="001A4433"/>
    <w:rsid w:val="001A444B"/>
    <w:rsid w:val="001A4477"/>
    <w:rsid w:val="001A45C5"/>
    <w:rsid w:val="001A4607"/>
    <w:rsid w:val="001A460B"/>
    <w:rsid w:val="001A4633"/>
    <w:rsid w:val="001A46A7"/>
    <w:rsid w:val="001A4770"/>
    <w:rsid w:val="001A4782"/>
    <w:rsid w:val="001A4787"/>
    <w:rsid w:val="001A47F9"/>
    <w:rsid w:val="001A481A"/>
    <w:rsid w:val="001A48DB"/>
    <w:rsid w:val="001A4926"/>
    <w:rsid w:val="001A4941"/>
    <w:rsid w:val="001A4973"/>
    <w:rsid w:val="001A4980"/>
    <w:rsid w:val="001A4987"/>
    <w:rsid w:val="001A49D3"/>
    <w:rsid w:val="001A49F4"/>
    <w:rsid w:val="001A4A19"/>
    <w:rsid w:val="001A4A83"/>
    <w:rsid w:val="001A4BB1"/>
    <w:rsid w:val="001A4C3F"/>
    <w:rsid w:val="001A4DAA"/>
    <w:rsid w:val="001A4E0C"/>
    <w:rsid w:val="001A4EF3"/>
    <w:rsid w:val="001A4F69"/>
    <w:rsid w:val="001A502B"/>
    <w:rsid w:val="001A502E"/>
    <w:rsid w:val="001A508A"/>
    <w:rsid w:val="001A50A1"/>
    <w:rsid w:val="001A50FD"/>
    <w:rsid w:val="001A5145"/>
    <w:rsid w:val="001A520A"/>
    <w:rsid w:val="001A5268"/>
    <w:rsid w:val="001A528C"/>
    <w:rsid w:val="001A532A"/>
    <w:rsid w:val="001A535F"/>
    <w:rsid w:val="001A5369"/>
    <w:rsid w:val="001A5383"/>
    <w:rsid w:val="001A53A2"/>
    <w:rsid w:val="001A541D"/>
    <w:rsid w:val="001A544C"/>
    <w:rsid w:val="001A54ED"/>
    <w:rsid w:val="001A5507"/>
    <w:rsid w:val="001A55B5"/>
    <w:rsid w:val="001A5646"/>
    <w:rsid w:val="001A56C3"/>
    <w:rsid w:val="001A56EC"/>
    <w:rsid w:val="001A578E"/>
    <w:rsid w:val="001A5794"/>
    <w:rsid w:val="001A5802"/>
    <w:rsid w:val="001A5826"/>
    <w:rsid w:val="001A5843"/>
    <w:rsid w:val="001A58C7"/>
    <w:rsid w:val="001A5937"/>
    <w:rsid w:val="001A5A25"/>
    <w:rsid w:val="001A5AD7"/>
    <w:rsid w:val="001A5B05"/>
    <w:rsid w:val="001A5B2B"/>
    <w:rsid w:val="001A5BA9"/>
    <w:rsid w:val="001A5BBA"/>
    <w:rsid w:val="001A5C2E"/>
    <w:rsid w:val="001A5C2F"/>
    <w:rsid w:val="001A5D93"/>
    <w:rsid w:val="001A5E3B"/>
    <w:rsid w:val="001A5EFC"/>
    <w:rsid w:val="001A5F2D"/>
    <w:rsid w:val="001A5FBC"/>
    <w:rsid w:val="001A6027"/>
    <w:rsid w:val="001A603C"/>
    <w:rsid w:val="001A609A"/>
    <w:rsid w:val="001A6196"/>
    <w:rsid w:val="001A61BB"/>
    <w:rsid w:val="001A6269"/>
    <w:rsid w:val="001A627D"/>
    <w:rsid w:val="001A62CF"/>
    <w:rsid w:val="001A635B"/>
    <w:rsid w:val="001A636B"/>
    <w:rsid w:val="001A63C1"/>
    <w:rsid w:val="001A6583"/>
    <w:rsid w:val="001A6611"/>
    <w:rsid w:val="001A6621"/>
    <w:rsid w:val="001A6657"/>
    <w:rsid w:val="001A66B3"/>
    <w:rsid w:val="001A66ED"/>
    <w:rsid w:val="001A675E"/>
    <w:rsid w:val="001A677C"/>
    <w:rsid w:val="001A679F"/>
    <w:rsid w:val="001A67E1"/>
    <w:rsid w:val="001A67ED"/>
    <w:rsid w:val="001A6838"/>
    <w:rsid w:val="001A68E5"/>
    <w:rsid w:val="001A6902"/>
    <w:rsid w:val="001A691A"/>
    <w:rsid w:val="001A6926"/>
    <w:rsid w:val="001A692E"/>
    <w:rsid w:val="001A695A"/>
    <w:rsid w:val="001A6968"/>
    <w:rsid w:val="001A69B9"/>
    <w:rsid w:val="001A6A2A"/>
    <w:rsid w:val="001A6AAC"/>
    <w:rsid w:val="001A6C6C"/>
    <w:rsid w:val="001A6C6E"/>
    <w:rsid w:val="001A6D04"/>
    <w:rsid w:val="001A6E80"/>
    <w:rsid w:val="001A6F29"/>
    <w:rsid w:val="001A6F3C"/>
    <w:rsid w:val="001A6FE7"/>
    <w:rsid w:val="001A7050"/>
    <w:rsid w:val="001A70E9"/>
    <w:rsid w:val="001A7186"/>
    <w:rsid w:val="001A71FF"/>
    <w:rsid w:val="001A7291"/>
    <w:rsid w:val="001A751A"/>
    <w:rsid w:val="001A75BF"/>
    <w:rsid w:val="001A75ED"/>
    <w:rsid w:val="001A762F"/>
    <w:rsid w:val="001A7657"/>
    <w:rsid w:val="001A766C"/>
    <w:rsid w:val="001A7698"/>
    <w:rsid w:val="001A7706"/>
    <w:rsid w:val="001A770F"/>
    <w:rsid w:val="001A7740"/>
    <w:rsid w:val="001A774C"/>
    <w:rsid w:val="001A7752"/>
    <w:rsid w:val="001A77D0"/>
    <w:rsid w:val="001A784F"/>
    <w:rsid w:val="001A7904"/>
    <w:rsid w:val="001A7967"/>
    <w:rsid w:val="001A7A8A"/>
    <w:rsid w:val="001A7BD4"/>
    <w:rsid w:val="001A7C76"/>
    <w:rsid w:val="001A7C96"/>
    <w:rsid w:val="001A7D62"/>
    <w:rsid w:val="001A7DE3"/>
    <w:rsid w:val="001A7DFE"/>
    <w:rsid w:val="001A7E09"/>
    <w:rsid w:val="001A7E3A"/>
    <w:rsid w:val="001A7ED8"/>
    <w:rsid w:val="001A7F48"/>
    <w:rsid w:val="001A7F5D"/>
    <w:rsid w:val="001A7FE4"/>
    <w:rsid w:val="001B0049"/>
    <w:rsid w:val="001B00B6"/>
    <w:rsid w:val="001B00F9"/>
    <w:rsid w:val="001B011C"/>
    <w:rsid w:val="001B013C"/>
    <w:rsid w:val="001B0196"/>
    <w:rsid w:val="001B01C4"/>
    <w:rsid w:val="001B03F1"/>
    <w:rsid w:val="001B04DE"/>
    <w:rsid w:val="001B0699"/>
    <w:rsid w:val="001B0715"/>
    <w:rsid w:val="001B073A"/>
    <w:rsid w:val="001B0774"/>
    <w:rsid w:val="001B084E"/>
    <w:rsid w:val="001B0868"/>
    <w:rsid w:val="001B08D3"/>
    <w:rsid w:val="001B0998"/>
    <w:rsid w:val="001B09FD"/>
    <w:rsid w:val="001B0A5C"/>
    <w:rsid w:val="001B0A87"/>
    <w:rsid w:val="001B0B36"/>
    <w:rsid w:val="001B0B7C"/>
    <w:rsid w:val="001B0B83"/>
    <w:rsid w:val="001B0CCD"/>
    <w:rsid w:val="001B0D76"/>
    <w:rsid w:val="001B0E8A"/>
    <w:rsid w:val="001B0F9E"/>
    <w:rsid w:val="001B1023"/>
    <w:rsid w:val="001B108F"/>
    <w:rsid w:val="001B1160"/>
    <w:rsid w:val="001B11B5"/>
    <w:rsid w:val="001B1216"/>
    <w:rsid w:val="001B1260"/>
    <w:rsid w:val="001B126E"/>
    <w:rsid w:val="001B1276"/>
    <w:rsid w:val="001B12DB"/>
    <w:rsid w:val="001B12EA"/>
    <w:rsid w:val="001B12FA"/>
    <w:rsid w:val="001B1387"/>
    <w:rsid w:val="001B13EB"/>
    <w:rsid w:val="001B1415"/>
    <w:rsid w:val="001B146B"/>
    <w:rsid w:val="001B1513"/>
    <w:rsid w:val="001B1591"/>
    <w:rsid w:val="001B15B1"/>
    <w:rsid w:val="001B16FF"/>
    <w:rsid w:val="001B1749"/>
    <w:rsid w:val="001B1829"/>
    <w:rsid w:val="001B18BC"/>
    <w:rsid w:val="001B1B7B"/>
    <w:rsid w:val="001B1B9D"/>
    <w:rsid w:val="001B1BDC"/>
    <w:rsid w:val="001B1CB5"/>
    <w:rsid w:val="001B1D90"/>
    <w:rsid w:val="001B1D96"/>
    <w:rsid w:val="001B1E4D"/>
    <w:rsid w:val="001B1F2B"/>
    <w:rsid w:val="001B2060"/>
    <w:rsid w:val="001B20DE"/>
    <w:rsid w:val="001B21CA"/>
    <w:rsid w:val="001B2223"/>
    <w:rsid w:val="001B2234"/>
    <w:rsid w:val="001B223C"/>
    <w:rsid w:val="001B2252"/>
    <w:rsid w:val="001B22DD"/>
    <w:rsid w:val="001B2422"/>
    <w:rsid w:val="001B255A"/>
    <w:rsid w:val="001B255E"/>
    <w:rsid w:val="001B26A6"/>
    <w:rsid w:val="001B26CE"/>
    <w:rsid w:val="001B2727"/>
    <w:rsid w:val="001B2786"/>
    <w:rsid w:val="001B2823"/>
    <w:rsid w:val="001B2875"/>
    <w:rsid w:val="001B2878"/>
    <w:rsid w:val="001B28E5"/>
    <w:rsid w:val="001B298F"/>
    <w:rsid w:val="001B299F"/>
    <w:rsid w:val="001B2A55"/>
    <w:rsid w:val="001B2AB2"/>
    <w:rsid w:val="001B2AFE"/>
    <w:rsid w:val="001B2B20"/>
    <w:rsid w:val="001B2BBF"/>
    <w:rsid w:val="001B2C33"/>
    <w:rsid w:val="001B2C5F"/>
    <w:rsid w:val="001B2CB9"/>
    <w:rsid w:val="001B2CF4"/>
    <w:rsid w:val="001B3015"/>
    <w:rsid w:val="001B3086"/>
    <w:rsid w:val="001B311D"/>
    <w:rsid w:val="001B311F"/>
    <w:rsid w:val="001B317A"/>
    <w:rsid w:val="001B31E4"/>
    <w:rsid w:val="001B31ED"/>
    <w:rsid w:val="001B333E"/>
    <w:rsid w:val="001B3343"/>
    <w:rsid w:val="001B33D4"/>
    <w:rsid w:val="001B3467"/>
    <w:rsid w:val="001B357D"/>
    <w:rsid w:val="001B35C9"/>
    <w:rsid w:val="001B3641"/>
    <w:rsid w:val="001B3654"/>
    <w:rsid w:val="001B3682"/>
    <w:rsid w:val="001B369C"/>
    <w:rsid w:val="001B36A8"/>
    <w:rsid w:val="001B372D"/>
    <w:rsid w:val="001B3787"/>
    <w:rsid w:val="001B379B"/>
    <w:rsid w:val="001B384A"/>
    <w:rsid w:val="001B3868"/>
    <w:rsid w:val="001B3895"/>
    <w:rsid w:val="001B3916"/>
    <w:rsid w:val="001B39AD"/>
    <w:rsid w:val="001B3A04"/>
    <w:rsid w:val="001B3A20"/>
    <w:rsid w:val="001B3A5E"/>
    <w:rsid w:val="001B3A5F"/>
    <w:rsid w:val="001B3B01"/>
    <w:rsid w:val="001B3B56"/>
    <w:rsid w:val="001B3B5C"/>
    <w:rsid w:val="001B3B6F"/>
    <w:rsid w:val="001B3BAA"/>
    <w:rsid w:val="001B3BC3"/>
    <w:rsid w:val="001B3BD6"/>
    <w:rsid w:val="001B3BFF"/>
    <w:rsid w:val="001B3C1E"/>
    <w:rsid w:val="001B3D4B"/>
    <w:rsid w:val="001B3ECC"/>
    <w:rsid w:val="001B3F46"/>
    <w:rsid w:val="001B3FAC"/>
    <w:rsid w:val="001B405F"/>
    <w:rsid w:val="001B40BE"/>
    <w:rsid w:val="001B40DF"/>
    <w:rsid w:val="001B4119"/>
    <w:rsid w:val="001B4193"/>
    <w:rsid w:val="001B419F"/>
    <w:rsid w:val="001B41F1"/>
    <w:rsid w:val="001B422A"/>
    <w:rsid w:val="001B4349"/>
    <w:rsid w:val="001B435F"/>
    <w:rsid w:val="001B4449"/>
    <w:rsid w:val="001B457B"/>
    <w:rsid w:val="001B45BE"/>
    <w:rsid w:val="001B460A"/>
    <w:rsid w:val="001B4655"/>
    <w:rsid w:val="001B469F"/>
    <w:rsid w:val="001B46CA"/>
    <w:rsid w:val="001B46D5"/>
    <w:rsid w:val="001B484C"/>
    <w:rsid w:val="001B48F0"/>
    <w:rsid w:val="001B492C"/>
    <w:rsid w:val="001B4965"/>
    <w:rsid w:val="001B49B6"/>
    <w:rsid w:val="001B4A86"/>
    <w:rsid w:val="001B4AB7"/>
    <w:rsid w:val="001B4AD0"/>
    <w:rsid w:val="001B4B42"/>
    <w:rsid w:val="001B4BA4"/>
    <w:rsid w:val="001B4BFD"/>
    <w:rsid w:val="001B4C37"/>
    <w:rsid w:val="001B4C3B"/>
    <w:rsid w:val="001B4CAE"/>
    <w:rsid w:val="001B4D15"/>
    <w:rsid w:val="001B4D97"/>
    <w:rsid w:val="001B4EC3"/>
    <w:rsid w:val="001B4EE8"/>
    <w:rsid w:val="001B4EF8"/>
    <w:rsid w:val="001B4F97"/>
    <w:rsid w:val="001B4FD3"/>
    <w:rsid w:val="001B4FEB"/>
    <w:rsid w:val="001B5006"/>
    <w:rsid w:val="001B501F"/>
    <w:rsid w:val="001B5027"/>
    <w:rsid w:val="001B5084"/>
    <w:rsid w:val="001B5091"/>
    <w:rsid w:val="001B50A4"/>
    <w:rsid w:val="001B517A"/>
    <w:rsid w:val="001B51FA"/>
    <w:rsid w:val="001B5244"/>
    <w:rsid w:val="001B5444"/>
    <w:rsid w:val="001B54FD"/>
    <w:rsid w:val="001B55B7"/>
    <w:rsid w:val="001B55D2"/>
    <w:rsid w:val="001B562C"/>
    <w:rsid w:val="001B5643"/>
    <w:rsid w:val="001B56BD"/>
    <w:rsid w:val="001B56C4"/>
    <w:rsid w:val="001B5711"/>
    <w:rsid w:val="001B574D"/>
    <w:rsid w:val="001B575E"/>
    <w:rsid w:val="001B58B1"/>
    <w:rsid w:val="001B597A"/>
    <w:rsid w:val="001B5996"/>
    <w:rsid w:val="001B59B9"/>
    <w:rsid w:val="001B59DE"/>
    <w:rsid w:val="001B5A2A"/>
    <w:rsid w:val="001B5A35"/>
    <w:rsid w:val="001B5AF6"/>
    <w:rsid w:val="001B5B0A"/>
    <w:rsid w:val="001B5B2E"/>
    <w:rsid w:val="001B5BDF"/>
    <w:rsid w:val="001B5BEB"/>
    <w:rsid w:val="001B5C6B"/>
    <w:rsid w:val="001B5CCF"/>
    <w:rsid w:val="001B5DD4"/>
    <w:rsid w:val="001B5F63"/>
    <w:rsid w:val="001B60BF"/>
    <w:rsid w:val="001B6120"/>
    <w:rsid w:val="001B612D"/>
    <w:rsid w:val="001B618A"/>
    <w:rsid w:val="001B6219"/>
    <w:rsid w:val="001B6279"/>
    <w:rsid w:val="001B6394"/>
    <w:rsid w:val="001B6418"/>
    <w:rsid w:val="001B64A5"/>
    <w:rsid w:val="001B664D"/>
    <w:rsid w:val="001B6687"/>
    <w:rsid w:val="001B6765"/>
    <w:rsid w:val="001B6782"/>
    <w:rsid w:val="001B6786"/>
    <w:rsid w:val="001B6797"/>
    <w:rsid w:val="001B6799"/>
    <w:rsid w:val="001B6870"/>
    <w:rsid w:val="001B68D7"/>
    <w:rsid w:val="001B6906"/>
    <w:rsid w:val="001B695F"/>
    <w:rsid w:val="001B699E"/>
    <w:rsid w:val="001B69AD"/>
    <w:rsid w:val="001B69D5"/>
    <w:rsid w:val="001B6A61"/>
    <w:rsid w:val="001B6AA3"/>
    <w:rsid w:val="001B6AF5"/>
    <w:rsid w:val="001B6B39"/>
    <w:rsid w:val="001B6B4E"/>
    <w:rsid w:val="001B6B6A"/>
    <w:rsid w:val="001B6C17"/>
    <w:rsid w:val="001B6C66"/>
    <w:rsid w:val="001B6CC9"/>
    <w:rsid w:val="001B6CE2"/>
    <w:rsid w:val="001B6CF0"/>
    <w:rsid w:val="001B6D2C"/>
    <w:rsid w:val="001B6D95"/>
    <w:rsid w:val="001B6E27"/>
    <w:rsid w:val="001B6E8C"/>
    <w:rsid w:val="001B6EEB"/>
    <w:rsid w:val="001B6FA0"/>
    <w:rsid w:val="001B6FE8"/>
    <w:rsid w:val="001B70C0"/>
    <w:rsid w:val="001B70F8"/>
    <w:rsid w:val="001B7264"/>
    <w:rsid w:val="001B729A"/>
    <w:rsid w:val="001B7301"/>
    <w:rsid w:val="001B731F"/>
    <w:rsid w:val="001B734E"/>
    <w:rsid w:val="001B7376"/>
    <w:rsid w:val="001B73CA"/>
    <w:rsid w:val="001B73E9"/>
    <w:rsid w:val="001B73EA"/>
    <w:rsid w:val="001B7447"/>
    <w:rsid w:val="001B7486"/>
    <w:rsid w:val="001B7487"/>
    <w:rsid w:val="001B7494"/>
    <w:rsid w:val="001B74AE"/>
    <w:rsid w:val="001B74C6"/>
    <w:rsid w:val="001B74DE"/>
    <w:rsid w:val="001B753B"/>
    <w:rsid w:val="001B753E"/>
    <w:rsid w:val="001B7554"/>
    <w:rsid w:val="001B7684"/>
    <w:rsid w:val="001B7686"/>
    <w:rsid w:val="001B76B6"/>
    <w:rsid w:val="001B7743"/>
    <w:rsid w:val="001B778F"/>
    <w:rsid w:val="001B782E"/>
    <w:rsid w:val="001B789D"/>
    <w:rsid w:val="001B7970"/>
    <w:rsid w:val="001B7993"/>
    <w:rsid w:val="001B79D7"/>
    <w:rsid w:val="001B7A50"/>
    <w:rsid w:val="001B7A58"/>
    <w:rsid w:val="001B7B06"/>
    <w:rsid w:val="001B7B12"/>
    <w:rsid w:val="001B7B15"/>
    <w:rsid w:val="001B7CE3"/>
    <w:rsid w:val="001B7E3E"/>
    <w:rsid w:val="001B7EAE"/>
    <w:rsid w:val="001B7ECD"/>
    <w:rsid w:val="001B7F92"/>
    <w:rsid w:val="001C0061"/>
    <w:rsid w:val="001C0068"/>
    <w:rsid w:val="001C00C0"/>
    <w:rsid w:val="001C010C"/>
    <w:rsid w:val="001C012D"/>
    <w:rsid w:val="001C0159"/>
    <w:rsid w:val="001C01F0"/>
    <w:rsid w:val="001C01F3"/>
    <w:rsid w:val="001C0210"/>
    <w:rsid w:val="001C03D0"/>
    <w:rsid w:val="001C03FE"/>
    <w:rsid w:val="001C0419"/>
    <w:rsid w:val="001C0497"/>
    <w:rsid w:val="001C04DF"/>
    <w:rsid w:val="001C058E"/>
    <w:rsid w:val="001C06AC"/>
    <w:rsid w:val="001C0794"/>
    <w:rsid w:val="001C08A0"/>
    <w:rsid w:val="001C08BC"/>
    <w:rsid w:val="001C08E8"/>
    <w:rsid w:val="001C0905"/>
    <w:rsid w:val="001C09B9"/>
    <w:rsid w:val="001C0A14"/>
    <w:rsid w:val="001C0AC4"/>
    <w:rsid w:val="001C0BD1"/>
    <w:rsid w:val="001C0BE1"/>
    <w:rsid w:val="001C0C04"/>
    <w:rsid w:val="001C0C7E"/>
    <w:rsid w:val="001C0D5C"/>
    <w:rsid w:val="001C0DA5"/>
    <w:rsid w:val="001C0E53"/>
    <w:rsid w:val="001C0E63"/>
    <w:rsid w:val="001C0F13"/>
    <w:rsid w:val="001C0F6B"/>
    <w:rsid w:val="001C0F70"/>
    <w:rsid w:val="001C1001"/>
    <w:rsid w:val="001C10A9"/>
    <w:rsid w:val="001C10D1"/>
    <w:rsid w:val="001C113D"/>
    <w:rsid w:val="001C12EE"/>
    <w:rsid w:val="001C1310"/>
    <w:rsid w:val="001C1321"/>
    <w:rsid w:val="001C1354"/>
    <w:rsid w:val="001C13B1"/>
    <w:rsid w:val="001C1468"/>
    <w:rsid w:val="001C14CA"/>
    <w:rsid w:val="001C1551"/>
    <w:rsid w:val="001C1619"/>
    <w:rsid w:val="001C1641"/>
    <w:rsid w:val="001C1655"/>
    <w:rsid w:val="001C16C5"/>
    <w:rsid w:val="001C16D1"/>
    <w:rsid w:val="001C1736"/>
    <w:rsid w:val="001C1751"/>
    <w:rsid w:val="001C1829"/>
    <w:rsid w:val="001C1867"/>
    <w:rsid w:val="001C198F"/>
    <w:rsid w:val="001C1A26"/>
    <w:rsid w:val="001C1A89"/>
    <w:rsid w:val="001C1A8D"/>
    <w:rsid w:val="001C1AC7"/>
    <w:rsid w:val="001C1B26"/>
    <w:rsid w:val="001C1B2D"/>
    <w:rsid w:val="001C1B6D"/>
    <w:rsid w:val="001C1BB2"/>
    <w:rsid w:val="001C1BEE"/>
    <w:rsid w:val="001C1C41"/>
    <w:rsid w:val="001C1D59"/>
    <w:rsid w:val="001C1D85"/>
    <w:rsid w:val="001C1DCA"/>
    <w:rsid w:val="001C1E63"/>
    <w:rsid w:val="001C1F69"/>
    <w:rsid w:val="001C204F"/>
    <w:rsid w:val="001C20A2"/>
    <w:rsid w:val="001C2135"/>
    <w:rsid w:val="001C219B"/>
    <w:rsid w:val="001C219C"/>
    <w:rsid w:val="001C21C5"/>
    <w:rsid w:val="001C21D4"/>
    <w:rsid w:val="001C222B"/>
    <w:rsid w:val="001C2269"/>
    <w:rsid w:val="001C238F"/>
    <w:rsid w:val="001C2447"/>
    <w:rsid w:val="001C2457"/>
    <w:rsid w:val="001C24E7"/>
    <w:rsid w:val="001C250D"/>
    <w:rsid w:val="001C25A4"/>
    <w:rsid w:val="001C25EE"/>
    <w:rsid w:val="001C2604"/>
    <w:rsid w:val="001C26E6"/>
    <w:rsid w:val="001C2730"/>
    <w:rsid w:val="001C27E7"/>
    <w:rsid w:val="001C281C"/>
    <w:rsid w:val="001C2875"/>
    <w:rsid w:val="001C28F5"/>
    <w:rsid w:val="001C28F7"/>
    <w:rsid w:val="001C295B"/>
    <w:rsid w:val="001C2A29"/>
    <w:rsid w:val="001C2ACE"/>
    <w:rsid w:val="001C2AE7"/>
    <w:rsid w:val="001C2B00"/>
    <w:rsid w:val="001C2B78"/>
    <w:rsid w:val="001C2B9B"/>
    <w:rsid w:val="001C2C1A"/>
    <w:rsid w:val="001C2C85"/>
    <w:rsid w:val="001C2CC0"/>
    <w:rsid w:val="001C2CCD"/>
    <w:rsid w:val="001C2CE6"/>
    <w:rsid w:val="001C2CF1"/>
    <w:rsid w:val="001C2D1A"/>
    <w:rsid w:val="001C2D41"/>
    <w:rsid w:val="001C2DB7"/>
    <w:rsid w:val="001C2E42"/>
    <w:rsid w:val="001C2F27"/>
    <w:rsid w:val="001C30F9"/>
    <w:rsid w:val="001C31A7"/>
    <w:rsid w:val="001C31CC"/>
    <w:rsid w:val="001C3210"/>
    <w:rsid w:val="001C3226"/>
    <w:rsid w:val="001C3314"/>
    <w:rsid w:val="001C3368"/>
    <w:rsid w:val="001C33BF"/>
    <w:rsid w:val="001C34D0"/>
    <w:rsid w:val="001C34D7"/>
    <w:rsid w:val="001C34DE"/>
    <w:rsid w:val="001C3517"/>
    <w:rsid w:val="001C358D"/>
    <w:rsid w:val="001C360C"/>
    <w:rsid w:val="001C363C"/>
    <w:rsid w:val="001C36D4"/>
    <w:rsid w:val="001C381A"/>
    <w:rsid w:val="001C384B"/>
    <w:rsid w:val="001C38F0"/>
    <w:rsid w:val="001C3914"/>
    <w:rsid w:val="001C3922"/>
    <w:rsid w:val="001C3978"/>
    <w:rsid w:val="001C39E8"/>
    <w:rsid w:val="001C3A27"/>
    <w:rsid w:val="001C3B09"/>
    <w:rsid w:val="001C3B2C"/>
    <w:rsid w:val="001C3B4C"/>
    <w:rsid w:val="001C3BBC"/>
    <w:rsid w:val="001C3BE2"/>
    <w:rsid w:val="001C3C18"/>
    <w:rsid w:val="001C3C24"/>
    <w:rsid w:val="001C3C9D"/>
    <w:rsid w:val="001C3D06"/>
    <w:rsid w:val="001C3D24"/>
    <w:rsid w:val="001C3E33"/>
    <w:rsid w:val="001C3E3C"/>
    <w:rsid w:val="001C3F47"/>
    <w:rsid w:val="001C3F7D"/>
    <w:rsid w:val="001C401B"/>
    <w:rsid w:val="001C4085"/>
    <w:rsid w:val="001C40A0"/>
    <w:rsid w:val="001C4112"/>
    <w:rsid w:val="001C4176"/>
    <w:rsid w:val="001C4229"/>
    <w:rsid w:val="001C424C"/>
    <w:rsid w:val="001C42CA"/>
    <w:rsid w:val="001C43FE"/>
    <w:rsid w:val="001C441D"/>
    <w:rsid w:val="001C447F"/>
    <w:rsid w:val="001C44F8"/>
    <w:rsid w:val="001C450A"/>
    <w:rsid w:val="001C451C"/>
    <w:rsid w:val="001C4599"/>
    <w:rsid w:val="001C4699"/>
    <w:rsid w:val="001C469C"/>
    <w:rsid w:val="001C469D"/>
    <w:rsid w:val="001C46D7"/>
    <w:rsid w:val="001C470D"/>
    <w:rsid w:val="001C4745"/>
    <w:rsid w:val="001C4757"/>
    <w:rsid w:val="001C498A"/>
    <w:rsid w:val="001C4A5A"/>
    <w:rsid w:val="001C4BAF"/>
    <w:rsid w:val="001C4D25"/>
    <w:rsid w:val="001C4D5E"/>
    <w:rsid w:val="001C4D61"/>
    <w:rsid w:val="001C4D6E"/>
    <w:rsid w:val="001C4DCE"/>
    <w:rsid w:val="001C4DEE"/>
    <w:rsid w:val="001C4E36"/>
    <w:rsid w:val="001C4EBD"/>
    <w:rsid w:val="001C4F36"/>
    <w:rsid w:val="001C4F59"/>
    <w:rsid w:val="001C4FA1"/>
    <w:rsid w:val="001C4FB7"/>
    <w:rsid w:val="001C4FEA"/>
    <w:rsid w:val="001C4FED"/>
    <w:rsid w:val="001C5014"/>
    <w:rsid w:val="001C50A2"/>
    <w:rsid w:val="001C5106"/>
    <w:rsid w:val="001C512A"/>
    <w:rsid w:val="001C513C"/>
    <w:rsid w:val="001C5149"/>
    <w:rsid w:val="001C517C"/>
    <w:rsid w:val="001C51ED"/>
    <w:rsid w:val="001C51FC"/>
    <w:rsid w:val="001C526E"/>
    <w:rsid w:val="001C5282"/>
    <w:rsid w:val="001C528C"/>
    <w:rsid w:val="001C5295"/>
    <w:rsid w:val="001C52A2"/>
    <w:rsid w:val="001C52E1"/>
    <w:rsid w:val="001C52E4"/>
    <w:rsid w:val="001C5325"/>
    <w:rsid w:val="001C534A"/>
    <w:rsid w:val="001C5413"/>
    <w:rsid w:val="001C544B"/>
    <w:rsid w:val="001C5479"/>
    <w:rsid w:val="001C57A0"/>
    <w:rsid w:val="001C57B8"/>
    <w:rsid w:val="001C589C"/>
    <w:rsid w:val="001C5918"/>
    <w:rsid w:val="001C5926"/>
    <w:rsid w:val="001C5952"/>
    <w:rsid w:val="001C59E9"/>
    <w:rsid w:val="001C5A09"/>
    <w:rsid w:val="001C5A45"/>
    <w:rsid w:val="001C5A71"/>
    <w:rsid w:val="001C5AD1"/>
    <w:rsid w:val="001C5B43"/>
    <w:rsid w:val="001C5BF1"/>
    <w:rsid w:val="001C5C1B"/>
    <w:rsid w:val="001C5C7B"/>
    <w:rsid w:val="001C5D5B"/>
    <w:rsid w:val="001C5D6C"/>
    <w:rsid w:val="001C5DBA"/>
    <w:rsid w:val="001C5DDA"/>
    <w:rsid w:val="001C5E69"/>
    <w:rsid w:val="001C5E80"/>
    <w:rsid w:val="001C5EC6"/>
    <w:rsid w:val="001C5EEB"/>
    <w:rsid w:val="001C5F0E"/>
    <w:rsid w:val="001C5F6B"/>
    <w:rsid w:val="001C5F8D"/>
    <w:rsid w:val="001C5F8E"/>
    <w:rsid w:val="001C6011"/>
    <w:rsid w:val="001C605D"/>
    <w:rsid w:val="001C6184"/>
    <w:rsid w:val="001C61D1"/>
    <w:rsid w:val="001C6329"/>
    <w:rsid w:val="001C6385"/>
    <w:rsid w:val="001C63C0"/>
    <w:rsid w:val="001C6425"/>
    <w:rsid w:val="001C6447"/>
    <w:rsid w:val="001C65D8"/>
    <w:rsid w:val="001C681A"/>
    <w:rsid w:val="001C6831"/>
    <w:rsid w:val="001C684B"/>
    <w:rsid w:val="001C68E9"/>
    <w:rsid w:val="001C691A"/>
    <w:rsid w:val="001C694F"/>
    <w:rsid w:val="001C6962"/>
    <w:rsid w:val="001C69F6"/>
    <w:rsid w:val="001C6B1E"/>
    <w:rsid w:val="001C6B66"/>
    <w:rsid w:val="001C6DA9"/>
    <w:rsid w:val="001C6E15"/>
    <w:rsid w:val="001C6E17"/>
    <w:rsid w:val="001C6F20"/>
    <w:rsid w:val="001C6F43"/>
    <w:rsid w:val="001C6F47"/>
    <w:rsid w:val="001C6FA6"/>
    <w:rsid w:val="001C6FA8"/>
    <w:rsid w:val="001C7123"/>
    <w:rsid w:val="001C7142"/>
    <w:rsid w:val="001C71E0"/>
    <w:rsid w:val="001C72B4"/>
    <w:rsid w:val="001C7315"/>
    <w:rsid w:val="001C7359"/>
    <w:rsid w:val="001C741F"/>
    <w:rsid w:val="001C7454"/>
    <w:rsid w:val="001C749E"/>
    <w:rsid w:val="001C755E"/>
    <w:rsid w:val="001C7564"/>
    <w:rsid w:val="001C75AE"/>
    <w:rsid w:val="001C75D4"/>
    <w:rsid w:val="001C77AA"/>
    <w:rsid w:val="001C77E9"/>
    <w:rsid w:val="001C7802"/>
    <w:rsid w:val="001C7832"/>
    <w:rsid w:val="001C7868"/>
    <w:rsid w:val="001C78B9"/>
    <w:rsid w:val="001C78C9"/>
    <w:rsid w:val="001C7979"/>
    <w:rsid w:val="001C7992"/>
    <w:rsid w:val="001C7A04"/>
    <w:rsid w:val="001C7A71"/>
    <w:rsid w:val="001C7A8F"/>
    <w:rsid w:val="001C7A92"/>
    <w:rsid w:val="001C7ABF"/>
    <w:rsid w:val="001C7AC9"/>
    <w:rsid w:val="001C7CA7"/>
    <w:rsid w:val="001C7DAF"/>
    <w:rsid w:val="001C7F00"/>
    <w:rsid w:val="001C7FA2"/>
    <w:rsid w:val="001D0195"/>
    <w:rsid w:val="001D020F"/>
    <w:rsid w:val="001D024C"/>
    <w:rsid w:val="001D031A"/>
    <w:rsid w:val="001D03AA"/>
    <w:rsid w:val="001D04B7"/>
    <w:rsid w:val="001D056C"/>
    <w:rsid w:val="001D05ED"/>
    <w:rsid w:val="001D0605"/>
    <w:rsid w:val="001D06B2"/>
    <w:rsid w:val="001D06B8"/>
    <w:rsid w:val="001D072D"/>
    <w:rsid w:val="001D0777"/>
    <w:rsid w:val="001D08B7"/>
    <w:rsid w:val="001D09C0"/>
    <w:rsid w:val="001D09D7"/>
    <w:rsid w:val="001D09FB"/>
    <w:rsid w:val="001D0A46"/>
    <w:rsid w:val="001D0ACC"/>
    <w:rsid w:val="001D0B37"/>
    <w:rsid w:val="001D0B82"/>
    <w:rsid w:val="001D0B92"/>
    <w:rsid w:val="001D0BB5"/>
    <w:rsid w:val="001D0CC7"/>
    <w:rsid w:val="001D0D71"/>
    <w:rsid w:val="001D0E65"/>
    <w:rsid w:val="001D0E7B"/>
    <w:rsid w:val="001D0E99"/>
    <w:rsid w:val="001D0EE0"/>
    <w:rsid w:val="001D0EE4"/>
    <w:rsid w:val="001D0F2A"/>
    <w:rsid w:val="001D0F33"/>
    <w:rsid w:val="001D0FC2"/>
    <w:rsid w:val="001D1000"/>
    <w:rsid w:val="001D104F"/>
    <w:rsid w:val="001D107B"/>
    <w:rsid w:val="001D1132"/>
    <w:rsid w:val="001D11B9"/>
    <w:rsid w:val="001D1206"/>
    <w:rsid w:val="001D1208"/>
    <w:rsid w:val="001D1293"/>
    <w:rsid w:val="001D12B5"/>
    <w:rsid w:val="001D12C4"/>
    <w:rsid w:val="001D12F1"/>
    <w:rsid w:val="001D12F4"/>
    <w:rsid w:val="001D131E"/>
    <w:rsid w:val="001D13D9"/>
    <w:rsid w:val="001D1554"/>
    <w:rsid w:val="001D161C"/>
    <w:rsid w:val="001D161F"/>
    <w:rsid w:val="001D162D"/>
    <w:rsid w:val="001D16DB"/>
    <w:rsid w:val="001D182A"/>
    <w:rsid w:val="001D18EE"/>
    <w:rsid w:val="001D191A"/>
    <w:rsid w:val="001D1A2C"/>
    <w:rsid w:val="001D1A92"/>
    <w:rsid w:val="001D1C08"/>
    <w:rsid w:val="001D1C6E"/>
    <w:rsid w:val="001D1CA7"/>
    <w:rsid w:val="001D1D44"/>
    <w:rsid w:val="001D1D48"/>
    <w:rsid w:val="001D1D65"/>
    <w:rsid w:val="001D1DD9"/>
    <w:rsid w:val="001D1E16"/>
    <w:rsid w:val="001D1E2B"/>
    <w:rsid w:val="001D1E40"/>
    <w:rsid w:val="001D1F02"/>
    <w:rsid w:val="001D1F6A"/>
    <w:rsid w:val="001D1F80"/>
    <w:rsid w:val="001D1FCB"/>
    <w:rsid w:val="001D1FD6"/>
    <w:rsid w:val="001D1FEE"/>
    <w:rsid w:val="001D2077"/>
    <w:rsid w:val="001D2082"/>
    <w:rsid w:val="001D214A"/>
    <w:rsid w:val="001D2175"/>
    <w:rsid w:val="001D217E"/>
    <w:rsid w:val="001D21AD"/>
    <w:rsid w:val="001D22DD"/>
    <w:rsid w:val="001D2339"/>
    <w:rsid w:val="001D2357"/>
    <w:rsid w:val="001D2375"/>
    <w:rsid w:val="001D2395"/>
    <w:rsid w:val="001D23A9"/>
    <w:rsid w:val="001D23C1"/>
    <w:rsid w:val="001D2421"/>
    <w:rsid w:val="001D2450"/>
    <w:rsid w:val="001D24A5"/>
    <w:rsid w:val="001D24B2"/>
    <w:rsid w:val="001D24D5"/>
    <w:rsid w:val="001D2547"/>
    <w:rsid w:val="001D2762"/>
    <w:rsid w:val="001D278E"/>
    <w:rsid w:val="001D27A8"/>
    <w:rsid w:val="001D27B5"/>
    <w:rsid w:val="001D2817"/>
    <w:rsid w:val="001D28B2"/>
    <w:rsid w:val="001D2926"/>
    <w:rsid w:val="001D2947"/>
    <w:rsid w:val="001D297B"/>
    <w:rsid w:val="001D29CB"/>
    <w:rsid w:val="001D29D3"/>
    <w:rsid w:val="001D29E4"/>
    <w:rsid w:val="001D2A0C"/>
    <w:rsid w:val="001D2A4F"/>
    <w:rsid w:val="001D2ADF"/>
    <w:rsid w:val="001D2B5F"/>
    <w:rsid w:val="001D2B61"/>
    <w:rsid w:val="001D2B65"/>
    <w:rsid w:val="001D2C8B"/>
    <w:rsid w:val="001D2D4C"/>
    <w:rsid w:val="001D2E0D"/>
    <w:rsid w:val="001D2E8C"/>
    <w:rsid w:val="001D2F65"/>
    <w:rsid w:val="001D2F6E"/>
    <w:rsid w:val="001D2FB9"/>
    <w:rsid w:val="001D2FFA"/>
    <w:rsid w:val="001D306C"/>
    <w:rsid w:val="001D307C"/>
    <w:rsid w:val="001D3230"/>
    <w:rsid w:val="001D3335"/>
    <w:rsid w:val="001D342B"/>
    <w:rsid w:val="001D34EB"/>
    <w:rsid w:val="001D3524"/>
    <w:rsid w:val="001D3570"/>
    <w:rsid w:val="001D35D8"/>
    <w:rsid w:val="001D3606"/>
    <w:rsid w:val="001D3683"/>
    <w:rsid w:val="001D3738"/>
    <w:rsid w:val="001D37FE"/>
    <w:rsid w:val="001D383E"/>
    <w:rsid w:val="001D3881"/>
    <w:rsid w:val="001D390D"/>
    <w:rsid w:val="001D3A3C"/>
    <w:rsid w:val="001D3A70"/>
    <w:rsid w:val="001D3AE2"/>
    <w:rsid w:val="001D3CBF"/>
    <w:rsid w:val="001D3CFF"/>
    <w:rsid w:val="001D3D2B"/>
    <w:rsid w:val="001D3D44"/>
    <w:rsid w:val="001D3E45"/>
    <w:rsid w:val="001D3F0A"/>
    <w:rsid w:val="001D3FD8"/>
    <w:rsid w:val="001D4015"/>
    <w:rsid w:val="001D40D3"/>
    <w:rsid w:val="001D40DD"/>
    <w:rsid w:val="001D4112"/>
    <w:rsid w:val="001D4117"/>
    <w:rsid w:val="001D416F"/>
    <w:rsid w:val="001D4175"/>
    <w:rsid w:val="001D4192"/>
    <w:rsid w:val="001D427A"/>
    <w:rsid w:val="001D440C"/>
    <w:rsid w:val="001D441E"/>
    <w:rsid w:val="001D4434"/>
    <w:rsid w:val="001D4490"/>
    <w:rsid w:val="001D44DE"/>
    <w:rsid w:val="001D44ED"/>
    <w:rsid w:val="001D450A"/>
    <w:rsid w:val="001D475A"/>
    <w:rsid w:val="001D4780"/>
    <w:rsid w:val="001D478A"/>
    <w:rsid w:val="001D47AE"/>
    <w:rsid w:val="001D47D6"/>
    <w:rsid w:val="001D4803"/>
    <w:rsid w:val="001D486B"/>
    <w:rsid w:val="001D48C5"/>
    <w:rsid w:val="001D493A"/>
    <w:rsid w:val="001D49A4"/>
    <w:rsid w:val="001D4A40"/>
    <w:rsid w:val="001D4A7D"/>
    <w:rsid w:val="001D4AB6"/>
    <w:rsid w:val="001D4B12"/>
    <w:rsid w:val="001D4B88"/>
    <w:rsid w:val="001D4B93"/>
    <w:rsid w:val="001D4CC6"/>
    <w:rsid w:val="001D4D88"/>
    <w:rsid w:val="001D4F04"/>
    <w:rsid w:val="001D4F7B"/>
    <w:rsid w:val="001D4FA1"/>
    <w:rsid w:val="001D4FA4"/>
    <w:rsid w:val="001D4FF6"/>
    <w:rsid w:val="001D5098"/>
    <w:rsid w:val="001D50B5"/>
    <w:rsid w:val="001D51F9"/>
    <w:rsid w:val="001D5343"/>
    <w:rsid w:val="001D53E1"/>
    <w:rsid w:val="001D5442"/>
    <w:rsid w:val="001D547A"/>
    <w:rsid w:val="001D547C"/>
    <w:rsid w:val="001D55A0"/>
    <w:rsid w:val="001D5632"/>
    <w:rsid w:val="001D5693"/>
    <w:rsid w:val="001D56EF"/>
    <w:rsid w:val="001D5766"/>
    <w:rsid w:val="001D576A"/>
    <w:rsid w:val="001D57A1"/>
    <w:rsid w:val="001D5887"/>
    <w:rsid w:val="001D58F3"/>
    <w:rsid w:val="001D5A2B"/>
    <w:rsid w:val="001D5A32"/>
    <w:rsid w:val="001D5A97"/>
    <w:rsid w:val="001D5C78"/>
    <w:rsid w:val="001D5DA1"/>
    <w:rsid w:val="001D5DA8"/>
    <w:rsid w:val="001D5EA9"/>
    <w:rsid w:val="001D5EB1"/>
    <w:rsid w:val="001D607A"/>
    <w:rsid w:val="001D61AA"/>
    <w:rsid w:val="001D61B3"/>
    <w:rsid w:val="001D62AE"/>
    <w:rsid w:val="001D62C7"/>
    <w:rsid w:val="001D63AD"/>
    <w:rsid w:val="001D6408"/>
    <w:rsid w:val="001D64BA"/>
    <w:rsid w:val="001D6509"/>
    <w:rsid w:val="001D6539"/>
    <w:rsid w:val="001D657D"/>
    <w:rsid w:val="001D65BE"/>
    <w:rsid w:val="001D6706"/>
    <w:rsid w:val="001D6808"/>
    <w:rsid w:val="001D6839"/>
    <w:rsid w:val="001D683B"/>
    <w:rsid w:val="001D6884"/>
    <w:rsid w:val="001D6889"/>
    <w:rsid w:val="001D68BE"/>
    <w:rsid w:val="001D68C2"/>
    <w:rsid w:val="001D68CA"/>
    <w:rsid w:val="001D68CF"/>
    <w:rsid w:val="001D6922"/>
    <w:rsid w:val="001D6933"/>
    <w:rsid w:val="001D69A6"/>
    <w:rsid w:val="001D6B07"/>
    <w:rsid w:val="001D6B55"/>
    <w:rsid w:val="001D6B67"/>
    <w:rsid w:val="001D6C9D"/>
    <w:rsid w:val="001D6D15"/>
    <w:rsid w:val="001D6D41"/>
    <w:rsid w:val="001D6D6A"/>
    <w:rsid w:val="001D6DFD"/>
    <w:rsid w:val="001D6E75"/>
    <w:rsid w:val="001D6F09"/>
    <w:rsid w:val="001D7003"/>
    <w:rsid w:val="001D7010"/>
    <w:rsid w:val="001D7204"/>
    <w:rsid w:val="001D724B"/>
    <w:rsid w:val="001D7276"/>
    <w:rsid w:val="001D72A5"/>
    <w:rsid w:val="001D72D3"/>
    <w:rsid w:val="001D7467"/>
    <w:rsid w:val="001D74E3"/>
    <w:rsid w:val="001D7510"/>
    <w:rsid w:val="001D7584"/>
    <w:rsid w:val="001D75DE"/>
    <w:rsid w:val="001D7664"/>
    <w:rsid w:val="001D77A8"/>
    <w:rsid w:val="001D7858"/>
    <w:rsid w:val="001D78A9"/>
    <w:rsid w:val="001D79A2"/>
    <w:rsid w:val="001D79EC"/>
    <w:rsid w:val="001D79FC"/>
    <w:rsid w:val="001D7A1B"/>
    <w:rsid w:val="001D7A8F"/>
    <w:rsid w:val="001D7A9A"/>
    <w:rsid w:val="001D7C93"/>
    <w:rsid w:val="001D7EA8"/>
    <w:rsid w:val="001D7F92"/>
    <w:rsid w:val="001E0013"/>
    <w:rsid w:val="001E002C"/>
    <w:rsid w:val="001E0097"/>
    <w:rsid w:val="001E0103"/>
    <w:rsid w:val="001E0116"/>
    <w:rsid w:val="001E0156"/>
    <w:rsid w:val="001E0289"/>
    <w:rsid w:val="001E0293"/>
    <w:rsid w:val="001E02AD"/>
    <w:rsid w:val="001E03A5"/>
    <w:rsid w:val="001E03E3"/>
    <w:rsid w:val="001E045A"/>
    <w:rsid w:val="001E047B"/>
    <w:rsid w:val="001E0490"/>
    <w:rsid w:val="001E049A"/>
    <w:rsid w:val="001E04FA"/>
    <w:rsid w:val="001E051A"/>
    <w:rsid w:val="001E057D"/>
    <w:rsid w:val="001E05F3"/>
    <w:rsid w:val="001E0615"/>
    <w:rsid w:val="001E063A"/>
    <w:rsid w:val="001E0680"/>
    <w:rsid w:val="001E0693"/>
    <w:rsid w:val="001E06D2"/>
    <w:rsid w:val="001E06F3"/>
    <w:rsid w:val="001E0709"/>
    <w:rsid w:val="001E077A"/>
    <w:rsid w:val="001E07DD"/>
    <w:rsid w:val="001E0835"/>
    <w:rsid w:val="001E086B"/>
    <w:rsid w:val="001E08A3"/>
    <w:rsid w:val="001E091D"/>
    <w:rsid w:val="001E097F"/>
    <w:rsid w:val="001E098D"/>
    <w:rsid w:val="001E0A28"/>
    <w:rsid w:val="001E0A6C"/>
    <w:rsid w:val="001E0AF6"/>
    <w:rsid w:val="001E0B80"/>
    <w:rsid w:val="001E0BC9"/>
    <w:rsid w:val="001E0C74"/>
    <w:rsid w:val="001E0D1A"/>
    <w:rsid w:val="001E0DC8"/>
    <w:rsid w:val="001E0E0B"/>
    <w:rsid w:val="001E0E2F"/>
    <w:rsid w:val="001E0EB0"/>
    <w:rsid w:val="001E0FC7"/>
    <w:rsid w:val="001E0FEC"/>
    <w:rsid w:val="001E10C7"/>
    <w:rsid w:val="001E112D"/>
    <w:rsid w:val="001E112E"/>
    <w:rsid w:val="001E11EE"/>
    <w:rsid w:val="001E126D"/>
    <w:rsid w:val="001E1271"/>
    <w:rsid w:val="001E1333"/>
    <w:rsid w:val="001E1343"/>
    <w:rsid w:val="001E136F"/>
    <w:rsid w:val="001E1394"/>
    <w:rsid w:val="001E155B"/>
    <w:rsid w:val="001E157E"/>
    <w:rsid w:val="001E1584"/>
    <w:rsid w:val="001E1674"/>
    <w:rsid w:val="001E16B4"/>
    <w:rsid w:val="001E174A"/>
    <w:rsid w:val="001E1760"/>
    <w:rsid w:val="001E1880"/>
    <w:rsid w:val="001E1937"/>
    <w:rsid w:val="001E19B2"/>
    <w:rsid w:val="001E1A16"/>
    <w:rsid w:val="001E1B01"/>
    <w:rsid w:val="001E1B6D"/>
    <w:rsid w:val="001E1B82"/>
    <w:rsid w:val="001E1C83"/>
    <w:rsid w:val="001E1D0C"/>
    <w:rsid w:val="001E1E15"/>
    <w:rsid w:val="001E1EDC"/>
    <w:rsid w:val="001E1F5C"/>
    <w:rsid w:val="001E1F9D"/>
    <w:rsid w:val="001E2019"/>
    <w:rsid w:val="001E2093"/>
    <w:rsid w:val="001E211F"/>
    <w:rsid w:val="001E2214"/>
    <w:rsid w:val="001E23BF"/>
    <w:rsid w:val="001E23D7"/>
    <w:rsid w:val="001E242A"/>
    <w:rsid w:val="001E24D6"/>
    <w:rsid w:val="001E24DC"/>
    <w:rsid w:val="001E2558"/>
    <w:rsid w:val="001E255A"/>
    <w:rsid w:val="001E2589"/>
    <w:rsid w:val="001E2681"/>
    <w:rsid w:val="001E2684"/>
    <w:rsid w:val="001E2740"/>
    <w:rsid w:val="001E2747"/>
    <w:rsid w:val="001E28A4"/>
    <w:rsid w:val="001E2961"/>
    <w:rsid w:val="001E296D"/>
    <w:rsid w:val="001E29C0"/>
    <w:rsid w:val="001E29D1"/>
    <w:rsid w:val="001E2A53"/>
    <w:rsid w:val="001E2A59"/>
    <w:rsid w:val="001E2AD6"/>
    <w:rsid w:val="001E2BF0"/>
    <w:rsid w:val="001E2D0E"/>
    <w:rsid w:val="001E2E41"/>
    <w:rsid w:val="001E2F70"/>
    <w:rsid w:val="001E3018"/>
    <w:rsid w:val="001E306D"/>
    <w:rsid w:val="001E30BC"/>
    <w:rsid w:val="001E30CB"/>
    <w:rsid w:val="001E3169"/>
    <w:rsid w:val="001E31C7"/>
    <w:rsid w:val="001E32B5"/>
    <w:rsid w:val="001E32EA"/>
    <w:rsid w:val="001E3354"/>
    <w:rsid w:val="001E339C"/>
    <w:rsid w:val="001E340F"/>
    <w:rsid w:val="001E34B2"/>
    <w:rsid w:val="001E359A"/>
    <w:rsid w:val="001E35F4"/>
    <w:rsid w:val="001E3630"/>
    <w:rsid w:val="001E366B"/>
    <w:rsid w:val="001E36A2"/>
    <w:rsid w:val="001E36DF"/>
    <w:rsid w:val="001E3709"/>
    <w:rsid w:val="001E3788"/>
    <w:rsid w:val="001E38DD"/>
    <w:rsid w:val="001E3948"/>
    <w:rsid w:val="001E39F0"/>
    <w:rsid w:val="001E3A02"/>
    <w:rsid w:val="001E3A77"/>
    <w:rsid w:val="001E3A9B"/>
    <w:rsid w:val="001E3ADC"/>
    <w:rsid w:val="001E3B62"/>
    <w:rsid w:val="001E3BA8"/>
    <w:rsid w:val="001E3BC6"/>
    <w:rsid w:val="001E3CB7"/>
    <w:rsid w:val="001E3D62"/>
    <w:rsid w:val="001E3E50"/>
    <w:rsid w:val="001E3E8A"/>
    <w:rsid w:val="001E3F0A"/>
    <w:rsid w:val="001E3F51"/>
    <w:rsid w:val="001E3F8A"/>
    <w:rsid w:val="001E404B"/>
    <w:rsid w:val="001E4074"/>
    <w:rsid w:val="001E40C2"/>
    <w:rsid w:val="001E40C8"/>
    <w:rsid w:val="001E410B"/>
    <w:rsid w:val="001E424D"/>
    <w:rsid w:val="001E439E"/>
    <w:rsid w:val="001E43CA"/>
    <w:rsid w:val="001E4407"/>
    <w:rsid w:val="001E44D3"/>
    <w:rsid w:val="001E456B"/>
    <w:rsid w:val="001E45C6"/>
    <w:rsid w:val="001E45C7"/>
    <w:rsid w:val="001E45CB"/>
    <w:rsid w:val="001E45ED"/>
    <w:rsid w:val="001E4612"/>
    <w:rsid w:val="001E470A"/>
    <w:rsid w:val="001E47BB"/>
    <w:rsid w:val="001E4846"/>
    <w:rsid w:val="001E48A8"/>
    <w:rsid w:val="001E48DD"/>
    <w:rsid w:val="001E4980"/>
    <w:rsid w:val="001E49A3"/>
    <w:rsid w:val="001E4A24"/>
    <w:rsid w:val="001E4A9E"/>
    <w:rsid w:val="001E4AA6"/>
    <w:rsid w:val="001E4BA2"/>
    <w:rsid w:val="001E4C07"/>
    <w:rsid w:val="001E4C16"/>
    <w:rsid w:val="001E4C74"/>
    <w:rsid w:val="001E4C9B"/>
    <w:rsid w:val="001E4D18"/>
    <w:rsid w:val="001E4D53"/>
    <w:rsid w:val="001E4F2E"/>
    <w:rsid w:val="001E5011"/>
    <w:rsid w:val="001E50DF"/>
    <w:rsid w:val="001E51A3"/>
    <w:rsid w:val="001E5203"/>
    <w:rsid w:val="001E5286"/>
    <w:rsid w:val="001E5308"/>
    <w:rsid w:val="001E540A"/>
    <w:rsid w:val="001E5440"/>
    <w:rsid w:val="001E5457"/>
    <w:rsid w:val="001E54AC"/>
    <w:rsid w:val="001E54C5"/>
    <w:rsid w:val="001E54E3"/>
    <w:rsid w:val="001E54E9"/>
    <w:rsid w:val="001E5518"/>
    <w:rsid w:val="001E55A2"/>
    <w:rsid w:val="001E55D5"/>
    <w:rsid w:val="001E561E"/>
    <w:rsid w:val="001E5690"/>
    <w:rsid w:val="001E57A4"/>
    <w:rsid w:val="001E587A"/>
    <w:rsid w:val="001E58F9"/>
    <w:rsid w:val="001E59D4"/>
    <w:rsid w:val="001E5A69"/>
    <w:rsid w:val="001E5BA6"/>
    <w:rsid w:val="001E5C49"/>
    <w:rsid w:val="001E5C70"/>
    <w:rsid w:val="001E5CEE"/>
    <w:rsid w:val="001E5D1E"/>
    <w:rsid w:val="001E5D33"/>
    <w:rsid w:val="001E5E1D"/>
    <w:rsid w:val="001E6017"/>
    <w:rsid w:val="001E60DE"/>
    <w:rsid w:val="001E617D"/>
    <w:rsid w:val="001E621C"/>
    <w:rsid w:val="001E62A1"/>
    <w:rsid w:val="001E62BF"/>
    <w:rsid w:val="001E62CD"/>
    <w:rsid w:val="001E635B"/>
    <w:rsid w:val="001E63C4"/>
    <w:rsid w:val="001E63E4"/>
    <w:rsid w:val="001E645D"/>
    <w:rsid w:val="001E6576"/>
    <w:rsid w:val="001E65D7"/>
    <w:rsid w:val="001E6612"/>
    <w:rsid w:val="001E6658"/>
    <w:rsid w:val="001E669B"/>
    <w:rsid w:val="001E66C5"/>
    <w:rsid w:val="001E66FE"/>
    <w:rsid w:val="001E6750"/>
    <w:rsid w:val="001E6761"/>
    <w:rsid w:val="001E6766"/>
    <w:rsid w:val="001E6771"/>
    <w:rsid w:val="001E6878"/>
    <w:rsid w:val="001E688A"/>
    <w:rsid w:val="001E68B0"/>
    <w:rsid w:val="001E68B7"/>
    <w:rsid w:val="001E690E"/>
    <w:rsid w:val="001E6913"/>
    <w:rsid w:val="001E6947"/>
    <w:rsid w:val="001E69B1"/>
    <w:rsid w:val="001E69BA"/>
    <w:rsid w:val="001E6A1C"/>
    <w:rsid w:val="001E6A82"/>
    <w:rsid w:val="001E6AD8"/>
    <w:rsid w:val="001E6B13"/>
    <w:rsid w:val="001E6B9C"/>
    <w:rsid w:val="001E6C84"/>
    <w:rsid w:val="001E6CC3"/>
    <w:rsid w:val="001E6CF2"/>
    <w:rsid w:val="001E6D28"/>
    <w:rsid w:val="001E6D60"/>
    <w:rsid w:val="001E6F73"/>
    <w:rsid w:val="001E6FF5"/>
    <w:rsid w:val="001E7073"/>
    <w:rsid w:val="001E70E1"/>
    <w:rsid w:val="001E715E"/>
    <w:rsid w:val="001E72CA"/>
    <w:rsid w:val="001E73F9"/>
    <w:rsid w:val="001E7420"/>
    <w:rsid w:val="001E747C"/>
    <w:rsid w:val="001E74DD"/>
    <w:rsid w:val="001E751B"/>
    <w:rsid w:val="001E75B9"/>
    <w:rsid w:val="001E75FA"/>
    <w:rsid w:val="001E7667"/>
    <w:rsid w:val="001E7700"/>
    <w:rsid w:val="001E7710"/>
    <w:rsid w:val="001E77CE"/>
    <w:rsid w:val="001E7804"/>
    <w:rsid w:val="001E785B"/>
    <w:rsid w:val="001E78ED"/>
    <w:rsid w:val="001E7901"/>
    <w:rsid w:val="001E7902"/>
    <w:rsid w:val="001E7912"/>
    <w:rsid w:val="001E79D3"/>
    <w:rsid w:val="001E7A58"/>
    <w:rsid w:val="001E7A68"/>
    <w:rsid w:val="001E7A7B"/>
    <w:rsid w:val="001E7B5B"/>
    <w:rsid w:val="001E7B63"/>
    <w:rsid w:val="001E7B86"/>
    <w:rsid w:val="001E7BA5"/>
    <w:rsid w:val="001E7BB2"/>
    <w:rsid w:val="001E7C84"/>
    <w:rsid w:val="001E7CD2"/>
    <w:rsid w:val="001E7CD5"/>
    <w:rsid w:val="001E7D34"/>
    <w:rsid w:val="001E7DCC"/>
    <w:rsid w:val="001E7DE3"/>
    <w:rsid w:val="001E7DFA"/>
    <w:rsid w:val="001E7E9C"/>
    <w:rsid w:val="001E7F64"/>
    <w:rsid w:val="001E7F8D"/>
    <w:rsid w:val="001E7FD0"/>
    <w:rsid w:val="001F005B"/>
    <w:rsid w:val="001F013E"/>
    <w:rsid w:val="001F015D"/>
    <w:rsid w:val="001F0179"/>
    <w:rsid w:val="001F01BA"/>
    <w:rsid w:val="001F027F"/>
    <w:rsid w:val="001F0395"/>
    <w:rsid w:val="001F03B2"/>
    <w:rsid w:val="001F03C4"/>
    <w:rsid w:val="001F042A"/>
    <w:rsid w:val="001F0446"/>
    <w:rsid w:val="001F0475"/>
    <w:rsid w:val="001F0569"/>
    <w:rsid w:val="001F0603"/>
    <w:rsid w:val="001F065C"/>
    <w:rsid w:val="001F069D"/>
    <w:rsid w:val="001F06AA"/>
    <w:rsid w:val="001F06B2"/>
    <w:rsid w:val="001F06B4"/>
    <w:rsid w:val="001F06C8"/>
    <w:rsid w:val="001F0773"/>
    <w:rsid w:val="001F0807"/>
    <w:rsid w:val="001F0836"/>
    <w:rsid w:val="001F084C"/>
    <w:rsid w:val="001F08A7"/>
    <w:rsid w:val="001F09C0"/>
    <w:rsid w:val="001F0AA4"/>
    <w:rsid w:val="001F0AB1"/>
    <w:rsid w:val="001F0B81"/>
    <w:rsid w:val="001F0B89"/>
    <w:rsid w:val="001F0B9B"/>
    <w:rsid w:val="001F0C43"/>
    <w:rsid w:val="001F0C62"/>
    <w:rsid w:val="001F0D1C"/>
    <w:rsid w:val="001F0E4C"/>
    <w:rsid w:val="001F0E56"/>
    <w:rsid w:val="001F0EF1"/>
    <w:rsid w:val="001F0FC3"/>
    <w:rsid w:val="001F0FC7"/>
    <w:rsid w:val="001F1002"/>
    <w:rsid w:val="001F10A4"/>
    <w:rsid w:val="001F1150"/>
    <w:rsid w:val="001F11B6"/>
    <w:rsid w:val="001F11DC"/>
    <w:rsid w:val="001F12A4"/>
    <w:rsid w:val="001F1336"/>
    <w:rsid w:val="001F13FD"/>
    <w:rsid w:val="001F144C"/>
    <w:rsid w:val="001F14A9"/>
    <w:rsid w:val="001F152D"/>
    <w:rsid w:val="001F156E"/>
    <w:rsid w:val="001F1660"/>
    <w:rsid w:val="001F176B"/>
    <w:rsid w:val="001F1866"/>
    <w:rsid w:val="001F18E9"/>
    <w:rsid w:val="001F1924"/>
    <w:rsid w:val="001F1955"/>
    <w:rsid w:val="001F1981"/>
    <w:rsid w:val="001F1B27"/>
    <w:rsid w:val="001F1B45"/>
    <w:rsid w:val="001F1C07"/>
    <w:rsid w:val="001F1C5D"/>
    <w:rsid w:val="001F1C7D"/>
    <w:rsid w:val="001F1E36"/>
    <w:rsid w:val="001F1F1D"/>
    <w:rsid w:val="001F1F2C"/>
    <w:rsid w:val="001F1F82"/>
    <w:rsid w:val="001F1FB2"/>
    <w:rsid w:val="001F20C3"/>
    <w:rsid w:val="001F20FB"/>
    <w:rsid w:val="001F2104"/>
    <w:rsid w:val="001F212B"/>
    <w:rsid w:val="001F21A2"/>
    <w:rsid w:val="001F21A4"/>
    <w:rsid w:val="001F21B8"/>
    <w:rsid w:val="001F2223"/>
    <w:rsid w:val="001F2317"/>
    <w:rsid w:val="001F2382"/>
    <w:rsid w:val="001F2485"/>
    <w:rsid w:val="001F2505"/>
    <w:rsid w:val="001F255E"/>
    <w:rsid w:val="001F2585"/>
    <w:rsid w:val="001F25B4"/>
    <w:rsid w:val="001F26D1"/>
    <w:rsid w:val="001F26FF"/>
    <w:rsid w:val="001F2702"/>
    <w:rsid w:val="001F2789"/>
    <w:rsid w:val="001F2A08"/>
    <w:rsid w:val="001F2A9A"/>
    <w:rsid w:val="001F2B32"/>
    <w:rsid w:val="001F2B45"/>
    <w:rsid w:val="001F2B67"/>
    <w:rsid w:val="001F2C75"/>
    <w:rsid w:val="001F2D13"/>
    <w:rsid w:val="001F2D91"/>
    <w:rsid w:val="001F2DD7"/>
    <w:rsid w:val="001F2E03"/>
    <w:rsid w:val="001F2E30"/>
    <w:rsid w:val="001F2E82"/>
    <w:rsid w:val="001F2E93"/>
    <w:rsid w:val="001F2F2F"/>
    <w:rsid w:val="001F2F8B"/>
    <w:rsid w:val="001F2FCF"/>
    <w:rsid w:val="001F305F"/>
    <w:rsid w:val="001F30FD"/>
    <w:rsid w:val="001F31DC"/>
    <w:rsid w:val="001F31EF"/>
    <w:rsid w:val="001F326E"/>
    <w:rsid w:val="001F32A7"/>
    <w:rsid w:val="001F3308"/>
    <w:rsid w:val="001F3340"/>
    <w:rsid w:val="001F3398"/>
    <w:rsid w:val="001F34B7"/>
    <w:rsid w:val="001F3545"/>
    <w:rsid w:val="001F367E"/>
    <w:rsid w:val="001F36CF"/>
    <w:rsid w:val="001F3743"/>
    <w:rsid w:val="001F382F"/>
    <w:rsid w:val="001F3858"/>
    <w:rsid w:val="001F3B40"/>
    <w:rsid w:val="001F3B59"/>
    <w:rsid w:val="001F3BE0"/>
    <w:rsid w:val="001F3D74"/>
    <w:rsid w:val="001F3E56"/>
    <w:rsid w:val="001F3F30"/>
    <w:rsid w:val="001F3F4F"/>
    <w:rsid w:val="001F404B"/>
    <w:rsid w:val="001F4112"/>
    <w:rsid w:val="001F41EC"/>
    <w:rsid w:val="001F424F"/>
    <w:rsid w:val="001F425F"/>
    <w:rsid w:val="001F42CA"/>
    <w:rsid w:val="001F435D"/>
    <w:rsid w:val="001F44A2"/>
    <w:rsid w:val="001F44BE"/>
    <w:rsid w:val="001F454F"/>
    <w:rsid w:val="001F4581"/>
    <w:rsid w:val="001F464C"/>
    <w:rsid w:val="001F46EE"/>
    <w:rsid w:val="001F47A4"/>
    <w:rsid w:val="001F496D"/>
    <w:rsid w:val="001F4993"/>
    <w:rsid w:val="001F4B34"/>
    <w:rsid w:val="001F4B5A"/>
    <w:rsid w:val="001F4B84"/>
    <w:rsid w:val="001F4C08"/>
    <w:rsid w:val="001F4C69"/>
    <w:rsid w:val="001F4D50"/>
    <w:rsid w:val="001F4D58"/>
    <w:rsid w:val="001F4D93"/>
    <w:rsid w:val="001F4DDF"/>
    <w:rsid w:val="001F4DFA"/>
    <w:rsid w:val="001F4E27"/>
    <w:rsid w:val="001F4E6A"/>
    <w:rsid w:val="001F4E96"/>
    <w:rsid w:val="001F4EC9"/>
    <w:rsid w:val="001F5007"/>
    <w:rsid w:val="001F5109"/>
    <w:rsid w:val="001F5110"/>
    <w:rsid w:val="001F51A0"/>
    <w:rsid w:val="001F51B9"/>
    <w:rsid w:val="001F51F4"/>
    <w:rsid w:val="001F53CF"/>
    <w:rsid w:val="001F5654"/>
    <w:rsid w:val="001F565C"/>
    <w:rsid w:val="001F568B"/>
    <w:rsid w:val="001F56A8"/>
    <w:rsid w:val="001F5744"/>
    <w:rsid w:val="001F574B"/>
    <w:rsid w:val="001F587A"/>
    <w:rsid w:val="001F5936"/>
    <w:rsid w:val="001F59CD"/>
    <w:rsid w:val="001F59DD"/>
    <w:rsid w:val="001F5A12"/>
    <w:rsid w:val="001F5A7E"/>
    <w:rsid w:val="001F5AAC"/>
    <w:rsid w:val="001F5B34"/>
    <w:rsid w:val="001F5B6A"/>
    <w:rsid w:val="001F5B7E"/>
    <w:rsid w:val="001F5CF4"/>
    <w:rsid w:val="001F5D75"/>
    <w:rsid w:val="001F5E23"/>
    <w:rsid w:val="001F5F04"/>
    <w:rsid w:val="001F5F25"/>
    <w:rsid w:val="001F5F55"/>
    <w:rsid w:val="001F5FA5"/>
    <w:rsid w:val="001F6092"/>
    <w:rsid w:val="001F6093"/>
    <w:rsid w:val="001F60A1"/>
    <w:rsid w:val="001F6113"/>
    <w:rsid w:val="001F615A"/>
    <w:rsid w:val="001F61B6"/>
    <w:rsid w:val="001F621A"/>
    <w:rsid w:val="001F62CF"/>
    <w:rsid w:val="001F632E"/>
    <w:rsid w:val="001F637C"/>
    <w:rsid w:val="001F63C5"/>
    <w:rsid w:val="001F63F3"/>
    <w:rsid w:val="001F6484"/>
    <w:rsid w:val="001F649F"/>
    <w:rsid w:val="001F64D6"/>
    <w:rsid w:val="001F653E"/>
    <w:rsid w:val="001F6556"/>
    <w:rsid w:val="001F65E0"/>
    <w:rsid w:val="001F66B4"/>
    <w:rsid w:val="001F66D0"/>
    <w:rsid w:val="001F6735"/>
    <w:rsid w:val="001F684C"/>
    <w:rsid w:val="001F68AA"/>
    <w:rsid w:val="001F697B"/>
    <w:rsid w:val="001F6A54"/>
    <w:rsid w:val="001F6A6A"/>
    <w:rsid w:val="001F6AC3"/>
    <w:rsid w:val="001F6B75"/>
    <w:rsid w:val="001F6B7F"/>
    <w:rsid w:val="001F6BAE"/>
    <w:rsid w:val="001F6BD1"/>
    <w:rsid w:val="001F6CCB"/>
    <w:rsid w:val="001F6E20"/>
    <w:rsid w:val="001F6E5F"/>
    <w:rsid w:val="001F6E7B"/>
    <w:rsid w:val="001F6EAE"/>
    <w:rsid w:val="001F6EDA"/>
    <w:rsid w:val="001F6EE0"/>
    <w:rsid w:val="001F6EFF"/>
    <w:rsid w:val="001F6F0D"/>
    <w:rsid w:val="001F6FBD"/>
    <w:rsid w:val="001F6FF4"/>
    <w:rsid w:val="001F701B"/>
    <w:rsid w:val="001F7062"/>
    <w:rsid w:val="001F707C"/>
    <w:rsid w:val="001F7081"/>
    <w:rsid w:val="001F713B"/>
    <w:rsid w:val="001F7197"/>
    <w:rsid w:val="001F7272"/>
    <w:rsid w:val="001F72AB"/>
    <w:rsid w:val="001F746B"/>
    <w:rsid w:val="001F74FE"/>
    <w:rsid w:val="001F7504"/>
    <w:rsid w:val="001F7570"/>
    <w:rsid w:val="001F758E"/>
    <w:rsid w:val="001F7658"/>
    <w:rsid w:val="001F7684"/>
    <w:rsid w:val="001F7686"/>
    <w:rsid w:val="001F76C2"/>
    <w:rsid w:val="001F78D2"/>
    <w:rsid w:val="001F79C3"/>
    <w:rsid w:val="001F7A30"/>
    <w:rsid w:val="001F7A47"/>
    <w:rsid w:val="001F7B05"/>
    <w:rsid w:val="001F7BCC"/>
    <w:rsid w:val="001F7C09"/>
    <w:rsid w:val="001F7C70"/>
    <w:rsid w:val="001F7CDA"/>
    <w:rsid w:val="001F7D9A"/>
    <w:rsid w:val="001F7DB5"/>
    <w:rsid w:val="001F7E06"/>
    <w:rsid w:val="001F7E96"/>
    <w:rsid w:val="001F7ECD"/>
    <w:rsid w:val="001F7EE1"/>
    <w:rsid w:val="001F7F42"/>
    <w:rsid w:val="001F7F85"/>
    <w:rsid w:val="001F7FA6"/>
    <w:rsid w:val="00200008"/>
    <w:rsid w:val="0020000B"/>
    <w:rsid w:val="00200015"/>
    <w:rsid w:val="00200076"/>
    <w:rsid w:val="00200193"/>
    <w:rsid w:val="0020031F"/>
    <w:rsid w:val="0020033D"/>
    <w:rsid w:val="0020037D"/>
    <w:rsid w:val="00200385"/>
    <w:rsid w:val="0020038B"/>
    <w:rsid w:val="002003E2"/>
    <w:rsid w:val="0020044C"/>
    <w:rsid w:val="002005B6"/>
    <w:rsid w:val="002007B9"/>
    <w:rsid w:val="00200838"/>
    <w:rsid w:val="00200901"/>
    <w:rsid w:val="00200999"/>
    <w:rsid w:val="002009A3"/>
    <w:rsid w:val="00200A02"/>
    <w:rsid w:val="00200A4A"/>
    <w:rsid w:val="00200AF8"/>
    <w:rsid w:val="00200B4E"/>
    <w:rsid w:val="00200BCE"/>
    <w:rsid w:val="00200BF0"/>
    <w:rsid w:val="00200C34"/>
    <w:rsid w:val="00200CBC"/>
    <w:rsid w:val="00200CCF"/>
    <w:rsid w:val="00200CFA"/>
    <w:rsid w:val="00200E5B"/>
    <w:rsid w:val="00200EC4"/>
    <w:rsid w:val="00200FF4"/>
    <w:rsid w:val="0020109E"/>
    <w:rsid w:val="002010A8"/>
    <w:rsid w:val="002010B2"/>
    <w:rsid w:val="002011C2"/>
    <w:rsid w:val="00201212"/>
    <w:rsid w:val="00201292"/>
    <w:rsid w:val="002012F8"/>
    <w:rsid w:val="00201450"/>
    <w:rsid w:val="00201483"/>
    <w:rsid w:val="002014D9"/>
    <w:rsid w:val="00201585"/>
    <w:rsid w:val="0020174B"/>
    <w:rsid w:val="00201795"/>
    <w:rsid w:val="002017CC"/>
    <w:rsid w:val="00201812"/>
    <w:rsid w:val="00201814"/>
    <w:rsid w:val="00201842"/>
    <w:rsid w:val="0020187C"/>
    <w:rsid w:val="0020190A"/>
    <w:rsid w:val="0020196C"/>
    <w:rsid w:val="00201A1B"/>
    <w:rsid w:val="00201A35"/>
    <w:rsid w:val="00201AA0"/>
    <w:rsid w:val="00201BC4"/>
    <w:rsid w:val="00201C0A"/>
    <w:rsid w:val="00201CC7"/>
    <w:rsid w:val="00201D02"/>
    <w:rsid w:val="00201D1C"/>
    <w:rsid w:val="00201E9E"/>
    <w:rsid w:val="00201F64"/>
    <w:rsid w:val="00201F70"/>
    <w:rsid w:val="00201FAA"/>
    <w:rsid w:val="00201FE5"/>
    <w:rsid w:val="0020203F"/>
    <w:rsid w:val="0020204E"/>
    <w:rsid w:val="0020208C"/>
    <w:rsid w:val="002021A2"/>
    <w:rsid w:val="002021C2"/>
    <w:rsid w:val="00202391"/>
    <w:rsid w:val="0020243E"/>
    <w:rsid w:val="0020249D"/>
    <w:rsid w:val="002025F7"/>
    <w:rsid w:val="0020260B"/>
    <w:rsid w:val="00202683"/>
    <w:rsid w:val="002026AE"/>
    <w:rsid w:val="002026C1"/>
    <w:rsid w:val="002027B3"/>
    <w:rsid w:val="002027FC"/>
    <w:rsid w:val="00202890"/>
    <w:rsid w:val="002028B5"/>
    <w:rsid w:val="00202921"/>
    <w:rsid w:val="0020293D"/>
    <w:rsid w:val="002029AB"/>
    <w:rsid w:val="002029BA"/>
    <w:rsid w:val="00202A39"/>
    <w:rsid w:val="00202A4D"/>
    <w:rsid w:val="00202A50"/>
    <w:rsid w:val="00202AA5"/>
    <w:rsid w:val="00202ABB"/>
    <w:rsid w:val="00202AF0"/>
    <w:rsid w:val="00202B7F"/>
    <w:rsid w:val="00202B96"/>
    <w:rsid w:val="00202C30"/>
    <w:rsid w:val="00202D55"/>
    <w:rsid w:val="00202E8D"/>
    <w:rsid w:val="00202E99"/>
    <w:rsid w:val="00202EA1"/>
    <w:rsid w:val="00202EB9"/>
    <w:rsid w:val="00202EEA"/>
    <w:rsid w:val="00202F04"/>
    <w:rsid w:val="00202F30"/>
    <w:rsid w:val="00202FBC"/>
    <w:rsid w:val="00202FC3"/>
    <w:rsid w:val="0020306F"/>
    <w:rsid w:val="002030E8"/>
    <w:rsid w:val="00203112"/>
    <w:rsid w:val="00203130"/>
    <w:rsid w:val="00203137"/>
    <w:rsid w:val="002031C5"/>
    <w:rsid w:val="002031FE"/>
    <w:rsid w:val="00203247"/>
    <w:rsid w:val="00203269"/>
    <w:rsid w:val="002032AD"/>
    <w:rsid w:val="002033A6"/>
    <w:rsid w:val="00203411"/>
    <w:rsid w:val="00203430"/>
    <w:rsid w:val="00203473"/>
    <w:rsid w:val="0020348F"/>
    <w:rsid w:val="00203591"/>
    <w:rsid w:val="002035AA"/>
    <w:rsid w:val="0020366B"/>
    <w:rsid w:val="00203770"/>
    <w:rsid w:val="0020382E"/>
    <w:rsid w:val="00203907"/>
    <w:rsid w:val="0020390C"/>
    <w:rsid w:val="00203993"/>
    <w:rsid w:val="002039AA"/>
    <w:rsid w:val="00203AA9"/>
    <w:rsid w:val="00203B37"/>
    <w:rsid w:val="00203B7D"/>
    <w:rsid w:val="00203C71"/>
    <w:rsid w:val="00203C97"/>
    <w:rsid w:val="00203CCF"/>
    <w:rsid w:val="00203CE3"/>
    <w:rsid w:val="00203CE9"/>
    <w:rsid w:val="00203D65"/>
    <w:rsid w:val="00203DE0"/>
    <w:rsid w:val="00203E4A"/>
    <w:rsid w:val="00203E8D"/>
    <w:rsid w:val="00203EE4"/>
    <w:rsid w:val="00203F92"/>
    <w:rsid w:val="00203FA6"/>
    <w:rsid w:val="00203FD2"/>
    <w:rsid w:val="0020414A"/>
    <w:rsid w:val="00204231"/>
    <w:rsid w:val="002042A2"/>
    <w:rsid w:val="002042F9"/>
    <w:rsid w:val="0020431C"/>
    <w:rsid w:val="00204376"/>
    <w:rsid w:val="002043BA"/>
    <w:rsid w:val="00204431"/>
    <w:rsid w:val="00204495"/>
    <w:rsid w:val="002044CF"/>
    <w:rsid w:val="002044DF"/>
    <w:rsid w:val="00204552"/>
    <w:rsid w:val="002045AA"/>
    <w:rsid w:val="002045B8"/>
    <w:rsid w:val="002045CF"/>
    <w:rsid w:val="0020460D"/>
    <w:rsid w:val="002046BB"/>
    <w:rsid w:val="002046CA"/>
    <w:rsid w:val="00204705"/>
    <w:rsid w:val="0020473F"/>
    <w:rsid w:val="002047AA"/>
    <w:rsid w:val="00204844"/>
    <w:rsid w:val="002049B9"/>
    <w:rsid w:val="002049D6"/>
    <w:rsid w:val="00204A84"/>
    <w:rsid w:val="00204AAB"/>
    <w:rsid w:val="00204AB2"/>
    <w:rsid w:val="00204B54"/>
    <w:rsid w:val="00204BD7"/>
    <w:rsid w:val="00204CAA"/>
    <w:rsid w:val="00204CEB"/>
    <w:rsid w:val="00204D34"/>
    <w:rsid w:val="00204E66"/>
    <w:rsid w:val="00204F29"/>
    <w:rsid w:val="00205000"/>
    <w:rsid w:val="0020503E"/>
    <w:rsid w:val="0020506C"/>
    <w:rsid w:val="00205359"/>
    <w:rsid w:val="002053A8"/>
    <w:rsid w:val="00205412"/>
    <w:rsid w:val="0020543C"/>
    <w:rsid w:val="00205446"/>
    <w:rsid w:val="002054BD"/>
    <w:rsid w:val="002054EB"/>
    <w:rsid w:val="002054EC"/>
    <w:rsid w:val="0020556C"/>
    <w:rsid w:val="0020560A"/>
    <w:rsid w:val="0020564F"/>
    <w:rsid w:val="0020567E"/>
    <w:rsid w:val="0020569D"/>
    <w:rsid w:val="00205737"/>
    <w:rsid w:val="002058A9"/>
    <w:rsid w:val="002058AE"/>
    <w:rsid w:val="00205916"/>
    <w:rsid w:val="00205986"/>
    <w:rsid w:val="00205A9C"/>
    <w:rsid w:val="00205B37"/>
    <w:rsid w:val="00205C3E"/>
    <w:rsid w:val="00205CAF"/>
    <w:rsid w:val="00205CD4"/>
    <w:rsid w:val="00205DCD"/>
    <w:rsid w:val="00205DD6"/>
    <w:rsid w:val="00205F45"/>
    <w:rsid w:val="00205F9F"/>
    <w:rsid w:val="00205FD1"/>
    <w:rsid w:val="00205FEE"/>
    <w:rsid w:val="00206009"/>
    <w:rsid w:val="00206011"/>
    <w:rsid w:val="00206093"/>
    <w:rsid w:val="002060D5"/>
    <w:rsid w:val="00206136"/>
    <w:rsid w:val="00206149"/>
    <w:rsid w:val="00206190"/>
    <w:rsid w:val="0020619C"/>
    <w:rsid w:val="002061A6"/>
    <w:rsid w:val="0020631C"/>
    <w:rsid w:val="0020633F"/>
    <w:rsid w:val="002063AE"/>
    <w:rsid w:val="0020641B"/>
    <w:rsid w:val="00206492"/>
    <w:rsid w:val="002064D4"/>
    <w:rsid w:val="00206507"/>
    <w:rsid w:val="00206546"/>
    <w:rsid w:val="00206559"/>
    <w:rsid w:val="00206572"/>
    <w:rsid w:val="002065B2"/>
    <w:rsid w:val="0020661C"/>
    <w:rsid w:val="00206665"/>
    <w:rsid w:val="00206798"/>
    <w:rsid w:val="002067C7"/>
    <w:rsid w:val="00206848"/>
    <w:rsid w:val="00206854"/>
    <w:rsid w:val="002068AB"/>
    <w:rsid w:val="002068C0"/>
    <w:rsid w:val="002068E1"/>
    <w:rsid w:val="002069A1"/>
    <w:rsid w:val="002069A4"/>
    <w:rsid w:val="002069B2"/>
    <w:rsid w:val="002069BA"/>
    <w:rsid w:val="00206AAE"/>
    <w:rsid w:val="00206AE1"/>
    <w:rsid w:val="00206AF1"/>
    <w:rsid w:val="00206B12"/>
    <w:rsid w:val="00206B2D"/>
    <w:rsid w:val="00206B45"/>
    <w:rsid w:val="00206B4A"/>
    <w:rsid w:val="00206C4A"/>
    <w:rsid w:val="00206C8F"/>
    <w:rsid w:val="00206D1A"/>
    <w:rsid w:val="00206DF1"/>
    <w:rsid w:val="00206E83"/>
    <w:rsid w:val="00206EBC"/>
    <w:rsid w:val="00206EC6"/>
    <w:rsid w:val="00206F03"/>
    <w:rsid w:val="00206F21"/>
    <w:rsid w:val="002071D7"/>
    <w:rsid w:val="00207242"/>
    <w:rsid w:val="002072BA"/>
    <w:rsid w:val="002072F4"/>
    <w:rsid w:val="00207317"/>
    <w:rsid w:val="0020733A"/>
    <w:rsid w:val="002073AF"/>
    <w:rsid w:val="00207466"/>
    <w:rsid w:val="002074D6"/>
    <w:rsid w:val="00207571"/>
    <w:rsid w:val="00207575"/>
    <w:rsid w:val="00207595"/>
    <w:rsid w:val="00207627"/>
    <w:rsid w:val="00207655"/>
    <w:rsid w:val="0020765D"/>
    <w:rsid w:val="0020770E"/>
    <w:rsid w:val="00207758"/>
    <w:rsid w:val="00207782"/>
    <w:rsid w:val="002077DD"/>
    <w:rsid w:val="00207805"/>
    <w:rsid w:val="002078BE"/>
    <w:rsid w:val="0020794E"/>
    <w:rsid w:val="0020795B"/>
    <w:rsid w:val="00207960"/>
    <w:rsid w:val="002079B9"/>
    <w:rsid w:val="002079D7"/>
    <w:rsid w:val="00207A33"/>
    <w:rsid w:val="00207A4D"/>
    <w:rsid w:val="00207AC9"/>
    <w:rsid w:val="00207B67"/>
    <w:rsid w:val="00207B6C"/>
    <w:rsid w:val="00207BB4"/>
    <w:rsid w:val="00207C33"/>
    <w:rsid w:val="00207CF4"/>
    <w:rsid w:val="00207DF9"/>
    <w:rsid w:val="00207E73"/>
    <w:rsid w:val="00207EC4"/>
    <w:rsid w:val="00207F0B"/>
    <w:rsid w:val="00207F29"/>
    <w:rsid w:val="00207F35"/>
    <w:rsid w:val="00207FEB"/>
    <w:rsid w:val="00207FF9"/>
    <w:rsid w:val="00210123"/>
    <w:rsid w:val="0021012E"/>
    <w:rsid w:val="00210140"/>
    <w:rsid w:val="0021027F"/>
    <w:rsid w:val="002102C9"/>
    <w:rsid w:val="002103CB"/>
    <w:rsid w:val="00210428"/>
    <w:rsid w:val="002104A5"/>
    <w:rsid w:val="00210539"/>
    <w:rsid w:val="0021059E"/>
    <w:rsid w:val="002105B7"/>
    <w:rsid w:val="002106C5"/>
    <w:rsid w:val="002106DF"/>
    <w:rsid w:val="002106E1"/>
    <w:rsid w:val="002107B8"/>
    <w:rsid w:val="002107FA"/>
    <w:rsid w:val="00210AB4"/>
    <w:rsid w:val="00210ABD"/>
    <w:rsid w:val="00210BE6"/>
    <w:rsid w:val="00210C22"/>
    <w:rsid w:val="00210CBA"/>
    <w:rsid w:val="00210CE5"/>
    <w:rsid w:val="00210D5A"/>
    <w:rsid w:val="00210D8E"/>
    <w:rsid w:val="00210E2C"/>
    <w:rsid w:val="00210F17"/>
    <w:rsid w:val="00210F25"/>
    <w:rsid w:val="00210F66"/>
    <w:rsid w:val="00210FC9"/>
    <w:rsid w:val="0021102F"/>
    <w:rsid w:val="00211141"/>
    <w:rsid w:val="00211147"/>
    <w:rsid w:val="00211171"/>
    <w:rsid w:val="00211198"/>
    <w:rsid w:val="002111C9"/>
    <w:rsid w:val="0021122B"/>
    <w:rsid w:val="0021128A"/>
    <w:rsid w:val="002112B7"/>
    <w:rsid w:val="00211302"/>
    <w:rsid w:val="0021149F"/>
    <w:rsid w:val="002114C4"/>
    <w:rsid w:val="002114FC"/>
    <w:rsid w:val="00211525"/>
    <w:rsid w:val="002115CC"/>
    <w:rsid w:val="00211691"/>
    <w:rsid w:val="002117F9"/>
    <w:rsid w:val="00211872"/>
    <w:rsid w:val="002118E7"/>
    <w:rsid w:val="00211923"/>
    <w:rsid w:val="0021193B"/>
    <w:rsid w:val="0021197C"/>
    <w:rsid w:val="002119F2"/>
    <w:rsid w:val="002119F6"/>
    <w:rsid w:val="00211A17"/>
    <w:rsid w:val="00211B35"/>
    <w:rsid w:val="00211B87"/>
    <w:rsid w:val="00211C3E"/>
    <w:rsid w:val="00211C4A"/>
    <w:rsid w:val="00211CDA"/>
    <w:rsid w:val="00211E86"/>
    <w:rsid w:val="00211F3B"/>
    <w:rsid w:val="00212154"/>
    <w:rsid w:val="0021215B"/>
    <w:rsid w:val="002121F3"/>
    <w:rsid w:val="00212243"/>
    <w:rsid w:val="00212268"/>
    <w:rsid w:val="002122DE"/>
    <w:rsid w:val="00212315"/>
    <w:rsid w:val="002123CB"/>
    <w:rsid w:val="00212452"/>
    <w:rsid w:val="00212463"/>
    <w:rsid w:val="00212522"/>
    <w:rsid w:val="002125B4"/>
    <w:rsid w:val="002125BF"/>
    <w:rsid w:val="0021261E"/>
    <w:rsid w:val="0021263B"/>
    <w:rsid w:val="00212719"/>
    <w:rsid w:val="0021272C"/>
    <w:rsid w:val="00212736"/>
    <w:rsid w:val="00212747"/>
    <w:rsid w:val="00212749"/>
    <w:rsid w:val="0021275A"/>
    <w:rsid w:val="00212798"/>
    <w:rsid w:val="002127CD"/>
    <w:rsid w:val="002127FA"/>
    <w:rsid w:val="0021280F"/>
    <w:rsid w:val="00212832"/>
    <w:rsid w:val="00212881"/>
    <w:rsid w:val="002128EC"/>
    <w:rsid w:val="002129E2"/>
    <w:rsid w:val="002129E7"/>
    <w:rsid w:val="00212A3B"/>
    <w:rsid w:val="00212A4A"/>
    <w:rsid w:val="00212A77"/>
    <w:rsid w:val="00212A80"/>
    <w:rsid w:val="00212C32"/>
    <w:rsid w:val="00212D4E"/>
    <w:rsid w:val="00212EBC"/>
    <w:rsid w:val="00212F17"/>
    <w:rsid w:val="00212F5A"/>
    <w:rsid w:val="00213022"/>
    <w:rsid w:val="002130B7"/>
    <w:rsid w:val="002130C0"/>
    <w:rsid w:val="002130FA"/>
    <w:rsid w:val="002131CB"/>
    <w:rsid w:val="0021320C"/>
    <w:rsid w:val="00213298"/>
    <w:rsid w:val="002132C6"/>
    <w:rsid w:val="00213307"/>
    <w:rsid w:val="0021339F"/>
    <w:rsid w:val="002133E0"/>
    <w:rsid w:val="00213480"/>
    <w:rsid w:val="0021353D"/>
    <w:rsid w:val="00213549"/>
    <w:rsid w:val="0021355E"/>
    <w:rsid w:val="002135E8"/>
    <w:rsid w:val="00213631"/>
    <w:rsid w:val="00213695"/>
    <w:rsid w:val="002136EA"/>
    <w:rsid w:val="00213727"/>
    <w:rsid w:val="0021372D"/>
    <w:rsid w:val="002137B5"/>
    <w:rsid w:val="00213837"/>
    <w:rsid w:val="00213881"/>
    <w:rsid w:val="00213934"/>
    <w:rsid w:val="00213AB1"/>
    <w:rsid w:val="00213AC7"/>
    <w:rsid w:val="00213C65"/>
    <w:rsid w:val="00213C81"/>
    <w:rsid w:val="00213CF8"/>
    <w:rsid w:val="00213D32"/>
    <w:rsid w:val="00213DF3"/>
    <w:rsid w:val="00213F79"/>
    <w:rsid w:val="00213F99"/>
    <w:rsid w:val="00213FAD"/>
    <w:rsid w:val="00214025"/>
    <w:rsid w:val="00214029"/>
    <w:rsid w:val="00214084"/>
    <w:rsid w:val="002140AC"/>
    <w:rsid w:val="002140C3"/>
    <w:rsid w:val="002140F7"/>
    <w:rsid w:val="00214112"/>
    <w:rsid w:val="0021418B"/>
    <w:rsid w:val="0021420C"/>
    <w:rsid w:val="00214236"/>
    <w:rsid w:val="0021424D"/>
    <w:rsid w:val="002142BC"/>
    <w:rsid w:val="002142F0"/>
    <w:rsid w:val="00214359"/>
    <w:rsid w:val="002143AF"/>
    <w:rsid w:val="002143D9"/>
    <w:rsid w:val="00214512"/>
    <w:rsid w:val="0021452D"/>
    <w:rsid w:val="00214535"/>
    <w:rsid w:val="00214546"/>
    <w:rsid w:val="002145ED"/>
    <w:rsid w:val="002145FB"/>
    <w:rsid w:val="0021464E"/>
    <w:rsid w:val="0021467F"/>
    <w:rsid w:val="00214757"/>
    <w:rsid w:val="0021492C"/>
    <w:rsid w:val="00214941"/>
    <w:rsid w:val="00214A24"/>
    <w:rsid w:val="00214A52"/>
    <w:rsid w:val="00214A7A"/>
    <w:rsid w:val="00214B23"/>
    <w:rsid w:val="00214B63"/>
    <w:rsid w:val="00214B7E"/>
    <w:rsid w:val="00214C1A"/>
    <w:rsid w:val="00214CDD"/>
    <w:rsid w:val="00214D88"/>
    <w:rsid w:val="00214E10"/>
    <w:rsid w:val="00214F5F"/>
    <w:rsid w:val="00214F67"/>
    <w:rsid w:val="002150D3"/>
    <w:rsid w:val="00215139"/>
    <w:rsid w:val="002151DB"/>
    <w:rsid w:val="002152EA"/>
    <w:rsid w:val="002152F7"/>
    <w:rsid w:val="00215302"/>
    <w:rsid w:val="002153A2"/>
    <w:rsid w:val="002153D0"/>
    <w:rsid w:val="00215478"/>
    <w:rsid w:val="002154D9"/>
    <w:rsid w:val="00215552"/>
    <w:rsid w:val="0021565F"/>
    <w:rsid w:val="002156F5"/>
    <w:rsid w:val="0021574E"/>
    <w:rsid w:val="00215860"/>
    <w:rsid w:val="002158EF"/>
    <w:rsid w:val="002158F9"/>
    <w:rsid w:val="00215913"/>
    <w:rsid w:val="00215966"/>
    <w:rsid w:val="00215968"/>
    <w:rsid w:val="002159C0"/>
    <w:rsid w:val="00215A19"/>
    <w:rsid w:val="00215A24"/>
    <w:rsid w:val="00215A41"/>
    <w:rsid w:val="00215A44"/>
    <w:rsid w:val="00215ABA"/>
    <w:rsid w:val="00215AD2"/>
    <w:rsid w:val="00215AF7"/>
    <w:rsid w:val="00215B21"/>
    <w:rsid w:val="00215BF2"/>
    <w:rsid w:val="00215C7D"/>
    <w:rsid w:val="00215CA3"/>
    <w:rsid w:val="00215D7C"/>
    <w:rsid w:val="00215D88"/>
    <w:rsid w:val="00215D9F"/>
    <w:rsid w:val="00215DF1"/>
    <w:rsid w:val="00215E16"/>
    <w:rsid w:val="00215E65"/>
    <w:rsid w:val="00215FC9"/>
    <w:rsid w:val="002160C9"/>
    <w:rsid w:val="00216126"/>
    <w:rsid w:val="0021618A"/>
    <w:rsid w:val="002162A8"/>
    <w:rsid w:val="00216304"/>
    <w:rsid w:val="00216319"/>
    <w:rsid w:val="00216351"/>
    <w:rsid w:val="0021638E"/>
    <w:rsid w:val="002163D4"/>
    <w:rsid w:val="00216461"/>
    <w:rsid w:val="00216470"/>
    <w:rsid w:val="00216481"/>
    <w:rsid w:val="00216565"/>
    <w:rsid w:val="002166A9"/>
    <w:rsid w:val="002167FA"/>
    <w:rsid w:val="00216848"/>
    <w:rsid w:val="0021684B"/>
    <w:rsid w:val="00216850"/>
    <w:rsid w:val="00216870"/>
    <w:rsid w:val="00216881"/>
    <w:rsid w:val="00216A11"/>
    <w:rsid w:val="00216A24"/>
    <w:rsid w:val="00216A4F"/>
    <w:rsid w:val="00216A7E"/>
    <w:rsid w:val="00216B43"/>
    <w:rsid w:val="00216BF6"/>
    <w:rsid w:val="00216CF0"/>
    <w:rsid w:val="00216D8B"/>
    <w:rsid w:val="00216DD0"/>
    <w:rsid w:val="00216E3A"/>
    <w:rsid w:val="00216EAC"/>
    <w:rsid w:val="00216F8C"/>
    <w:rsid w:val="0021703B"/>
    <w:rsid w:val="0021708E"/>
    <w:rsid w:val="0021718D"/>
    <w:rsid w:val="00217217"/>
    <w:rsid w:val="0021725B"/>
    <w:rsid w:val="002172A3"/>
    <w:rsid w:val="002172F3"/>
    <w:rsid w:val="00217510"/>
    <w:rsid w:val="00217530"/>
    <w:rsid w:val="0021756B"/>
    <w:rsid w:val="002175B0"/>
    <w:rsid w:val="002175C6"/>
    <w:rsid w:val="002175D7"/>
    <w:rsid w:val="0021761A"/>
    <w:rsid w:val="00217641"/>
    <w:rsid w:val="00217644"/>
    <w:rsid w:val="00217672"/>
    <w:rsid w:val="0021770C"/>
    <w:rsid w:val="002177BA"/>
    <w:rsid w:val="0021784C"/>
    <w:rsid w:val="002178E5"/>
    <w:rsid w:val="00217A39"/>
    <w:rsid w:val="00217B12"/>
    <w:rsid w:val="00217C56"/>
    <w:rsid w:val="00217E1A"/>
    <w:rsid w:val="00217F36"/>
    <w:rsid w:val="00217F41"/>
    <w:rsid w:val="00217F54"/>
    <w:rsid w:val="0022009C"/>
    <w:rsid w:val="0022012C"/>
    <w:rsid w:val="002201B5"/>
    <w:rsid w:val="0022023E"/>
    <w:rsid w:val="00220285"/>
    <w:rsid w:val="002202DC"/>
    <w:rsid w:val="00220315"/>
    <w:rsid w:val="0022032D"/>
    <w:rsid w:val="0022033B"/>
    <w:rsid w:val="0022047F"/>
    <w:rsid w:val="002204B3"/>
    <w:rsid w:val="002204C8"/>
    <w:rsid w:val="0022054D"/>
    <w:rsid w:val="0022056D"/>
    <w:rsid w:val="0022059F"/>
    <w:rsid w:val="002205DA"/>
    <w:rsid w:val="00220626"/>
    <w:rsid w:val="00220628"/>
    <w:rsid w:val="00220779"/>
    <w:rsid w:val="002207A5"/>
    <w:rsid w:val="0022087B"/>
    <w:rsid w:val="002208C8"/>
    <w:rsid w:val="00220915"/>
    <w:rsid w:val="002209B1"/>
    <w:rsid w:val="002209E0"/>
    <w:rsid w:val="00220A74"/>
    <w:rsid w:val="00220A8E"/>
    <w:rsid w:val="00220AB9"/>
    <w:rsid w:val="00220AE8"/>
    <w:rsid w:val="00220B40"/>
    <w:rsid w:val="00220BE3"/>
    <w:rsid w:val="00220D10"/>
    <w:rsid w:val="00220D27"/>
    <w:rsid w:val="00220DB1"/>
    <w:rsid w:val="00220DD1"/>
    <w:rsid w:val="00220F0E"/>
    <w:rsid w:val="00220F1E"/>
    <w:rsid w:val="00220F2E"/>
    <w:rsid w:val="002210AE"/>
    <w:rsid w:val="002210F3"/>
    <w:rsid w:val="0022128F"/>
    <w:rsid w:val="002213A6"/>
    <w:rsid w:val="0022143A"/>
    <w:rsid w:val="002214C4"/>
    <w:rsid w:val="002214CA"/>
    <w:rsid w:val="002215A5"/>
    <w:rsid w:val="002215B4"/>
    <w:rsid w:val="00221661"/>
    <w:rsid w:val="00221712"/>
    <w:rsid w:val="002218C9"/>
    <w:rsid w:val="002218FD"/>
    <w:rsid w:val="002218FE"/>
    <w:rsid w:val="00221901"/>
    <w:rsid w:val="0022194B"/>
    <w:rsid w:val="00221977"/>
    <w:rsid w:val="00221A09"/>
    <w:rsid w:val="00221A8B"/>
    <w:rsid w:val="00221ABE"/>
    <w:rsid w:val="00221B07"/>
    <w:rsid w:val="00221B29"/>
    <w:rsid w:val="00221B35"/>
    <w:rsid w:val="00221B39"/>
    <w:rsid w:val="00221BFB"/>
    <w:rsid w:val="00221BFC"/>
    <w:rsid w:val="00221C8E"/>
    <w:rsid w:val="00221D23"/>
    <w:rsid w:val="00221EC0"/>
    <w:rsid w:val="00221FF4"/>
    <w:rsid w:val="0022205F"/>
    <w:rsid w:val="00222375"/>
    <w:rsid w:val="0022248E"/>
    <w:rsid w:val="002224A4"/>
    <w:rsid w:val="002224DA"/>
    <w:rsid w:val="0022251F"/>
    <w:rsid w:val="0022252F"/>
    <w:rsid w:val="00222635"/>
    <w:rsid w:val="0022265D"/>
    <w:rsid w:val="00222682"/>
    <w:rsid w:val="002227DB"/>
    <w:rsid w:val="00222817"/>
    <w:rsid w:val="0022281C"/>
    <w:rsid w:val="0022282D"/>
    <w:rsid w:val="002228D8"/>
    <w:rsid w:val="00222928"/>
    <w:rsid w:val="00222954"/>
    <w:rsid w:val="00222A36"/>
    <w:rsid w:val="00222AA6"/>
    <w:rsid w:val="00222AE5"/>
    <w:rsid w:val="00222BA4"/>
    <w:rsid w:val="00222C09"/>
    <w:rsid w:val="00222C7A"/>
    <w:rsid w:val="00222CC5"/>
    <w:rsid w:val="00222D5B"/>
    <w:rsid w:val="00222D68"/>
    <w:rsid w:val="00222D7E"/>
    <w:rsid w:val="00222E43"/>
    <w:rsid w:val="00222EFF"/>
    <w:rsid w:val="00222F0B"/>
    <w:rsid w:val="00222F46"/>
    <w:rsid w:val="00222FFD"/>
    <w:rsid w:val="00223004"/>
    <w:rsid w:val="0022307B"/>
    <w:rsid w:val="002230F0"/>
    <w:rsid w:val="0022311B"/>
    <w:rsid w:val="0022315D"/>
    <w:rsid w:val="00223286"/>
    <w:rsid w:val="0022329B"/>
    <w:rsid w:val="0022331B"/>
    <w:rsid w:val="00223427"/>
    <w:rsid w:val="0022346C"/>
    <w:rsid w:val="002235CA"/>
    <w:rsid w:val="00223689"/>
    <w:rsid w:val="002236A9"/>
    <w:rsid w:val="00223769"/>
    <w:rsid w:val="0022376B"/>
    <w:rsid w:val="002237C6"/>
    <w:rsid w:val="0022380D"/>
    <w:rsid w:val="0022382B"/>
    <w:rsid w:val="00223889"/>
    <w:rsid w:val="00223996"/>
    <w:rsid w:val="00223B21"/>
    <w:rsid w:val="00223B50"/>
    <w:rsid w:val="00223B57"/>
    <w:rsid w:val="00223B58"/>
    <w:rsid w:val="00223B99"/>
    <w:rsid w:val="00223BED"/>
    <w:rsid w:val="00223C36"/>
    <w:rsid w:val="00223CC4"/>
    <w:rsid w:val="00223DC0"/>
    <w:rsid w:val="00223DE4"/>
    <w:rsid w:val="00223EAE"/>
    <w:rsid w:val="00223ED7"/>
    <w:rsid w:val="00223F03"/>
    <w:rsid w:val="0022404B"/>
    <w:rsid w:val="00224074"/>
    <w:rsid w:val="002240EC"/>
    <w:rsid w:val="00224124"/>
    <w:rsid w:val="00224140"/>
    <w:rsid w:val="00224174"/>
    <w:rsid w:val="002241DD"/>
    <w:rsid w:val="00224209"/>
    <w:rsid w:val="00224240"/>
    <w:rsid w:val="0022427C"/>
    <w:rsid w:val="002242E0"/>
    <w:rsid w:val="0022432C"/>
    <w:rsid w:val="00224415"/>
    <w:rsid w:val="0022455D"/>
    <w:rsid w:val="00224593"/>
    <w:rsid w:val="002245E7"/>
    <w:rsid w:val="0022461C"/>
    <w:rsid w:val="00224651"/>
    <w:rsid w:val="002247CB"/>
    <w:rsid w:val="002247CE"/>
    <w:rsid w:val="00224830"/>
    <w:rsid w:val="0022486A"/>
    <w:rsid w:val="002248A0"/>
    <w:rsid w:val="002248D6"/>
    <w:rsid w:val="002248F3"/>
    <w:rsid w:val="00224929"/>
    <w:rsid w:val="00224955"/>
    <w:rsid w:val="002249EF"/>
    <w:rsid w:val="00224AE0"/>
    <w:rsid w:val="00224AF4"/>
    <w:rsid w:val="00224B46"/>
    <w:rsid w:val="00224C9C"/>
    <w:rsid w:val="00224CD8"/>
    <w:rsid w:val="00224CF1"/>
    <w:rsid w:val="00224CF4"/>
    <w:rsid w:val="00224D6C"/>
    <w:rsid w:val="00224DD8"/>
    <w:rsid w:val="00224DE1"/>
    <w:rsid w:val="00224E5B"/>
    <w:rsid w:val="00224EA6"/>
    <w:rsid w:val="00224F4D"/>
    <w:rsid w:val="002250EE"/>
    <w:rsid w:val="002250F6"/>
    <w:rsid w:val="00225106"/>
    <w:rsid w:val="0022510D"/>
    <w:rsid w:val="0022529F"/>
    <w:rsid w:val="0022531C"/>
    <w:rsid w:val="0022534A"/>
    <w:rsid w:val="0022538E"/>
    <w:rsid w:val="0022539D"/>
    <w:rsid w:val="002253F1"/>
    <w:rsid w:val="002253F8"/>
    <w:rsid w:val="0022548F"/>
    <w:rsid w:val="002254B3"/>
    <w:rsid w:val="0022558B"/>
    <w:rsid w:val="002256A7"/>
    <w:rsid w:val="002256BD"/>
    <w:rsid w:val="0022575B"/>
    <w:rsid w:val="00225760"/>
    <w:rsid w:val="002257F2"/>
    <w:rsid w:val="0022585C"/>
    <w:rsid w:val="0022587E"/>
    <w:rsid w:val="00225890"/>
    <w:rsid w:val="002258A0"/>
    <w:rsid w:val="00225938"/>
    <w:rsid w:val="002259D3"/>
    <w:rsid w:val="002259EC"/>
    <w:rsid w:val="00225A36"/>
    <w:rsid w:val="00225AEF"/>
    <w:rsid w:val="00225B58"/>
    <w:rsid w:val="00225B59"/>
    <w:rsid w:val="00225B5E"/>
    <w:rsid w:val="00225D98"/>
    <w:rsid w:val="00225DA8"/>
    <w:rsid w:val="00225DAF"/>
    <w:rsid w:val="00225DBE"/>
    <w:rsid w:val="00225E39"/>
    <w:rsid w:val="00225E75"/>
    <w:rsid w:val="00225ECA"/>
    <w:rsid w:val="00225F02"/>
    <w:rsid w:val="00225F42"/>
    <w:rsid w:val="00225FA9"/>
    <w:rsid w:val="0022616A"/>
    <w:rsid w:val="00226172"/>
    <w:rsid w:val="00226179"/>
    <w:rsid w:val="002262A3"/>
    <w:rsid w:val="00226355"/>
    <w:rsid w:val="00226360"/>
    <w:rsid w:val="002263B7"/>
    <w:rsid w:val="002263CA"/>
    <w:rsid w:val="002263D4"/>
    <w:rsid w:val="002263F4"/>
    <w:rsid w:val="002263FC"/>
    <w:rsid w:val="00226408"/>
    <w:rsid w:val="00226446"/>
    <w:rsid w:val="002264DE"/>
    <w:rsid w:val="002265C7"/>
    <w:rsid w:val="0022663E"/>
    <w:rsid w:val="002266D7"/>
    <w:rsid w:val="00226763"/>
    <w:rsid w:val="0022688A"/>
    <w:rsid w:val="002268A8"/>
    <w:rsid w:val="0022698D"/>
    <w:rsid w:val="00226A7E"/>
    <w:rsid w:val="00226A92"/>
    <w:rsid w:val="00226B28"/>
    <w:rsid w:val="00226B38"/>
    <w:rsid w:val="00226C82"/>
    <w:rsid w:val="00226CEA"/>
    <w:rsid w:val="00226CF8"/>
    <w:rsid w:val="00226D69"/>
    <w:rsid w:val="00226EDC"/>
    <w:rsid w:val="00226FAF"/>
    <w:rsid w:val="0022700A"/>
    <w:rsid w:val="0022704A"/>
    <w:rsid w:val="002270FF"/>
    <w:rsid w:val="0022711A"/>
    <w:rsid w:val="002271E7"/>
    <w:rsid w:val="0022723B"/>
    <w:rsid w:val="0022726C"/>
    <w:rsid w:val="00227310"/>
    <w:rsid w:val="00227320"/>
    <w:rsid w:val="00227377"/>
    <w:rsid w:val="0022742E"/>
    <w:rsid w:val="0022746E"/>
    <w:rsid w:val="00227615"/>
    <w:rsid w:val="00227658"/>
    <w:rsid w:val="002276BC"/>
    <w:rsid w:val="0022779E"/>
    <w:rsid w:val="002277A9"/>
    <w:rsid w:val="002277F9"/>
    <w:rsid w:val="00227841"/>
    <w:rsid w:val="002278AC"/>
    <w:rsid w:val="002278DF"/>
    <w:rsid w:val="00227982"/>
    <w:rsid w:val="002279FB"/>
    <w:rsid w:val="002279FF"/>
    <w:rsid w:val="00227A60"/>
    <w:rsid w:val="00227A79"/>
    <w:rsid w:val="00227A88"/>
    <w:rsid w:val="00227AB9"/>
    <w:rsid w:val="00227AE5"/>
    <w:rsid w:val="00227AEE"/>
    <w:rsid w:val="00227B0F"/>
    <w:rsid w:val="00227BED"/>
    <w:rsid w:val="00227C31"/>
    <w:rsid w:val="00227D9C"/>
    <w:rsid w:val="00227E93"/>
    <w:rsid w:val="00227F4A"/>
    <w:rsid w:val="00227F77"/>
    <w:rsid w:val="00230054"/>
    <w:rsid w:val="002300E5"/>
    <w:rsid w:val="002300FF"/>
    <w:rsid w:val="00230147"/>
    <w:rsid w:val="002301DF"/>
    <w:rsid w:val="00230229"/>
    <w:rsid w:val="00230255"/>
    <w:rsid w:val="0023029F"/>
    <w:rsid w:val="00230303"/>
    <w:rsid w:val="00230370"/>
    <w:rsid w:val="002303C1"/>
    <w:rsid w:val="002303CE"/>
    <w:rsid w:val="00230453"/>
    <w:rsid w:val="0023045A"/>
    <w:rsid w:val="002304C8"/>
    <w:rsid w:val="002304F7"/>
    <w:rsid w:val="0023055D"/>
    <w:rsid w:val="00230579"/>
    <w:rsid w:val="002305ED"/>
    <w:rsid w:val="0023066F"/>
    <w:rsid w:val="002306A4"/>
    <w:rsid w:val="00230751"/>
    <w:rsid w:val="002307C4"/>
    <w:rsid w:val="00230812"/>
    <w:rsid w:val="00230848"/>
    <w:rsid w:val="0023084D"/>
    <w:rsid w:val="002308AA"/>
    <w:rsid w:val="00230A94"/>
    <w:rsid w:val="00230AA4"/>
    <w:rsid w:val="00230B4D"/>
    <w:rsid w:val="00230BB5"/>
    <w:rsid w:val="00230C18"/>
    <w:rsid w:val="00230C45"/>
    <w:rsid w:val="00230CA4"/>
    <w:rsid w:val="00230CC1"/>
    <w:rsid w:val="00230E12"/>
    <w:rsid w:val="00230EC4"/>
    <w:rsid w:val="00230F16"/>
    <w:rsid w:val="00230F22"/>
    <w:rsid w:val="00230F95"/>
    <w:rsid w:val="00231049"/>
    <w:rsid w:val="002310F8"/>
    <w:rsid w:val="0023122A"/>
    <w:rsid w:val="002312B3"/>
    <w:rsid w:val="002314D2"/>
    <w:rsid w:val="00231577"/>
    <w:rsid w:val="00231680"/>
    <w:rsid w:val="002316B0"/>
    <w:rsid w:val="002316B8"/>
    <w:rsid w:val="00231710"/>
    <w:rsid w:val="0023172D"/>
    <w:rsid w:val="002317B2"/>
    <w:rsid w:val="002317B9"/>
    <w:rsid w:val="0023186C"/>
    <w:rsid w:val="0023188A"/>
    <w:rsid w:val="002318B9"/>
    <w:rsid w:val="002318C1"/>
    <w:rsid w:val="002318E5"/>
    <w:rsid w:val="0023195D"/>
    <w:rsid w:val="00231A55"/>
    <w:rsid w:val="00231AF8"/>
    <w:rsid w:val="00231B4D"/>
    <w:rsid w:val="00231C19"/>
    <w:rsid w:val="00231C61"/>
    <w:rsid w:val="00231C81"/>
    <w:rsid w:val="00231CE9"/>
    <w:rsid w:val="00231D47"/>
    <w:rsid w:val="00231E7D"/>
    <w:rsid w:val="00231F21"/>
    <w:rsid w:val="00231FE5"/>
    <w:rsid w:val="00231FF2"/>
    <w:rsid w:val="002320F7"/>
    <w:rsid w:val="00232215"/>
    <w:rsid w:val="00232273"/>
    <w:rsid w:val="0023227C"/>
    <w:rsid w:val="00232291"/>
    <w:rsid w:val="002322D1"/>
    <w:rsid w:val="002322F7"/>
    <w:rsid w:val="0023232B"/>
    <w:rsid w:val="00232398"/>
    <w:rsid w:val="002323CA"/>
    <w:rsid w:val="002323E8"/>
    <w:rsid w:val="00232473"/>
    <w:rsid w:val="00232571"/>
    <w:rsid w:val="002325AA"/>
    <w:rsid w:val="002325BB"/>
    <w:rsid w:val="0023264D"/>
    <w:rsid w:val="00232676"/>
    <w:rsid w:val="0023272B"/>
    <w:rsid w:val="002327BC"/>
    <w:rsid w:val="00232877"/>
    <w:rsid w:val="002328BD"/>
    <w:rsid w:val="0023297D"/>
    <w:rsid w:val="002329D2"/>
    <w:rsid w:val="002329D6"/>
    <w:rsid w:val="00232A58"/>
    <w:rsid w:val="00232AC5"/>
    <w:rsid w:val="00232ACA"/>
    <w:rsid w:val="00232BB7"/>
    <w:rsid w:val="00232BFB"/>
    <w:rsid w:val="00232D53"/>
    <w:rsid w:val="00232DA3"/>
    <w:rsid w:val="00232E81"/>
    <w:rsid w:val="00232F40"/>
    <w:rsid w:val="00232F98"/>
    <w:rsid w:val="00232FB3"/>
    <w:rsid w:val="00233022"/>
    <w:rsid w:val="0023303C"/>
    <w:rsid w:val="0023305C"/>
    <w:rsid w:val="00233073"/>
    <w:rsid w:val="0023311D"/>
    <w:rsid w:val="002331B5"/>
    <w:rsid w:val="002331F9"/>
    <w:rsid w:val="0023321F"/>
    <w:rsid w:val="002332B3"/>
    <w:rsid w:val="0023337F"/>
    <w:rsid w:val="0023339D"/>
    <w:rsid w:val="0023349F"/>
    <w:rsid w:val="002334C2"/>
    <w:rsid w:val="0023351A"/>
    <w:rsid w:val="00233577"/>
    <w:rsid w:val="00233598"/>
    <w:rsid w:val="002335EF"/>
    <w:rsid w:val="002336D5"/>
    <w:rsid w:val="002336F9"/>
    <w:rsid w:val="00233706"/>
    <w:rsid w:val="0023373E"/>
    <w:rsid w:val="002337CE"/>
    <w:rsid w:val="0023381C"/>
    <w:rsid w:val="002338CB"/>
    <w:rsid w:val="00233A36"/>
    <w:rsid w:val="00233B67"/>
    <w:rsid w:val="00233BCB"/>
    <w:rsid w:val="00233C8F"/>
    <w:rsid w:val="00233D9D"/>
    <w:rsid w:val="00233DEC"/>
    <w:rsid w:val="00233E19"/>
    <w:rsid w:val="00233EDF"/>
    <w:rsid w:val="00233F46"/>
    <w:rsid w:val="002340AD"/>
    <w:rsid w:val="00234196"/>
    <w:rsid w:val="002341DE"/>
    <w:rsid w:val="0023424A"/>
    <w:rsid w:val="002342B0"/>
    <w:rsid w:val="0023437C"/>
    <w:rsid w:val="002343C9"/>
    <w:rsid w:val="0023452C"/>
    <w:rsid w:val="0023453A"/>
    <w:rsid w:val="00234680"/>
    <w:rsid w:val="00234861"/>
    <w:rsid w:val="00234A44"/>
    <w:rsid w:val="00234A82"/>
    <w:rsid w:val="00234B43"/>
    <w:rsid w:val="00234BBE"/>
    <w:rsid w:val="00234C2F"/>
    <w:rsid w:val="00234CF8"/>
    <w:rsid w:val="00234DFC"/>
    <w:rsid w:val="00234F3E"/>
    <w:rsid w:val="00234F4A"/>
    <w:rsid w:val="00235039"/>
    <w:rsid w:val="0023504E"/>
    <w:rsid w:val="00235094"/>
    <w:rsid w:val="002350C2"/>
    <w:rsid w:val="002350C4"/>
    <w:rsid w:val="0023513D"/>
    <w:rsid w:val="00235175"/>
    <w:rsid w:val="00235393"/>
    <w:rsid w:val="00235426"/>
    <w:rsid w:val="002355C8"/>
    <w:rsid w:val="002356FB"/>
    <w:rsid w:val="00235711"/>
    <w:rsid w:val="00235766"/>
    <w:rsid w:val="002357F8"/>
    <w:rsid w:val="0023583F"/>
    <w:rsid w:val="002358B8"/>
    <w:rsid w:val="002358FD"/>
    <w:rsid w:val="00235A89"/>
    <w:rsid w:val="00235ACC"/>
    <w:rsid w:val="00235AE3"/>
    <w:rsid w:val="00235B2B"/>
    <w:rsid w:val="00235B4A"/>
    <w:rsid w:val="00235B51"/>
    <w:rsid w:val="00235B59"/>
    <w:rsid w:val="00235C09"/>
    <w:rsid w:val="00235C7C"/>
    <w:rsid w:val="00235E92"/>
    <w:rsid w:val="00235EF2"/>
    <w:rsid w:val="00235F79"/>
    <w:rsid w:val="00235F83"/>
    <w:rsid w:val="00235FA2"/>
    <w:rsid w:val="00235FE9"/>
    <w:rsid w:val="00236027"/>
    <w:rsid w:val="00236040"/>
    <w:rsid w:val="002360EB"/>
    <w:rsid w:val="00236164"/>
    <w:rsid w:val="00236251"/>
    <w:rsid w:val="002362B8"/>
    <w:rsid w:val="00236350"/>
    <w:rsid w:val="00236356"/>
    <w:rsid w:val="0023639A"/>
    <w:rsid w:val="002363A4"/>
    <w:rsid w:val="002364B4"/>
    <w:rsid w:val="0023653F"/>
    <w:rsid w:val="002365DE"/>
    <w:rsid w:val="00236646"/>
    <w:rsid w:val="002366AD"/>
    <w:rsid w:val="002366CC"/>
    <w:rsid w:val="002366DE"/>
    <w:rsid w:val="002366EA"/>
    <w:rsid w:val="00236712"/>
    <w:rsid w:val="002367F6"/>
    <w:rsid w:val="00236803"/>
    <w:rsid w:val="00236849"/>
    <w:rsid w:val="0023687E"/>
    <w:rsid w:val="002368F7"/>
    <w:rsid w:val="00236A4F"/>
    <w:rsid w:val="00236B2A"/>
    <w:rsid w:val="00236D59"/>
    <w:rsid w:val="00236D5B"/>
    <w:rsid w:val="00236D6D"/>
    <w:rsid w:val="00236E09"/>
    <w:rsid w:val="00236EF4"/>
    <w:rsid w:val="00236F8B"/>
    <w:rsid w:val="00236FEB"/>
    <w:rsid w:val="0023703E"/>
    <w:rsid w:val="00237082"/>
    <w:rsid w:val="00237128"/>
    <w:rsid w:val="00237206"/>
    <w:rsid w:val="00237223"/>
    <w:rsid w:val="00237259"/>
    <w:rsid w:val="002372FF"/>
    <w:rsid w:val="00237337"/>
    <w:rsid w:val="00237396"/>
    <w:rsid w:val="002373C4"/>
    <w:rsid w:val="00237488"/>
    <w:rsid w:val="00237498"/>
    <w:rsid w:val="002374A3"/>
    <w:rsid w:val="002374B2"/>
    <w:rsid w:val="00237500"/>
    <w:rsid w:val="00237583"/>
    <w:rsid w:val="00237587"/>
    <w:rsid w:val="0023783F"/>
    <w:rsid w:val="00237849"/>
    <w:rsid w:val="002378A3"/>
    <w:rsid w:val="00237972"/>
    <w:rsid w:val="00237AD8"/>
    <w:rsid w:val="00237AF3"/>
    <w:rsid w:val="00237B70"/>
    <w:rsid w:val="00237BA0"/>
    <w:rsid w:val="00237C68"/>
    <w:rsid w:val="00237CAF"/>
    <w:rsid w:val="00237CCC"/>
    <w:rsid w:val="00237DEE"/>
    <w:rsid w:val="00237E42"/>
    <w:rsid w:val="00237F21"/>
    <w:rsid w:val="00237FBB"/>
    <w:rsid w:val="0024009C"/>
    <w:rsid w:val="002400AE"/>
    <w:rsid w:val="00240198"/>
    <w:rsid w:val="002401EC"/>
    <w:rsid w:val="00240250"/>
    <w:rsid w:val="002402CC"/>
    <w:rsid w:val="002402EA"/>
    <w:rsid w:val="0024038A"/>
    <w:rsid w:val="002404C1"/>
    <w:rsid w:val="00240505"/>
    <w:rsid w:val="0024050B"/>
    <w:rsid w:val="00240540"/>
    <w:rsid w:val="002405CF"/>
    <w:rsid w:val="0024065C"/>
    <w:rsid w:val="00240705"/>
    <w:rsid w:val="002407D7"/>
    <w:rsid w:val="0024084D"/>
    <w:rsid w:val="002408C2"/>
    <w:rsid w:val="002408DE"/>
    <w:rsid w:val="002408F8"/>
    <w:rsid w:val="00240913"/>
    <w:rsid w:val="00240970"/>
    <w:rsid w:val="0024099D"/>
    <w:rsid w:val="00240AB5"/>
    <w:rsid w:val="00240B53"/>
    <w:rsid w:val="00240BD0"/>
    <w:rsid w:val="00240C53"/>
    <w:rsid w:val="00240CF3"/>
    <w:rsid w:val="00240D53"/>
    <w:rsid w:val="00240D5A"/>
    <w:rsid w:val="00240D96"/>
    <w:rsid w:val="00240DAF"/>
    <w:rsid w:val="00240E6F"/>
    <w:rsid w:val="00240E94"/>
    <w:rsid w:val="0024102D"/>
    <w:rsid w:val="00241039"/>
    <w:rsid w:val="0024103D"/>
    <w:rsid w:val="002410CB"/>
    <w:rsid w:val="0024110D"/>
    <w:rsid w:val="00241269"/>
    <w:rsid w:val="0024128A"/>
    <w:rsid w:val="00241293"/>
    <w:rsid w:val="002412DA"/>
    <w:rsid w:val="00241408"/>
    <w:rsid w:val="0024146E"/>
    <w:rsid w:val="00241520"/>
    <w:rsid w:val="00241648"/>
    <w:rsid w:val="002417A3"/>
    <w:rsid w:val="002417DE"/>
    <w:rsid w:val="00241881"/>
    <w:rsid w:val="002418DD"/>
    <w:rsid w:val="0024195A"/>
    <w:rsid w:val="002419DC"/>
    <w:rsid w:val="00241A3E"/>
    <w:rsid w:val="00241A44"/>
    <w:rsid w:val="00241A82"/>
    <w:rsid w:val="00241B4A"/>
    <w:rsid w:val="00241C2C"/>
    <w:rsid w:val="00241D0C"/>
    <w:rsid w:val="00241D3C"/>
    <w:rsid w:val="00241D61"/>
    <w:rsid w:val="00241D80"/>
    <w:rsid w:val="00241DA4"/>
    <w:rsid w:val="00241DE3"/>
    <w:rsid w:val="00241E5C"/>
    <w:rsid w:val="00241E72"/>
    <w:rsid w:val="00241E7A"/>
    <w:rsid w:val="00241EE8"/>
    <w:rsid w:val="00241EFF"/>
    <w:rsid w:val="00241F22"/>
    <w:rsid w:val="00241FBB"/>
    <w:rsid w:val="00242000"/>
    <w:rsid w:val="00242060"/>
    <w:rsid w:val="00242129"/>
    <w:rsid w:val="002421BB"/>
    <w:rsid w:val="002421C2"/>
    <w:rsid w:val="002421C4"/>
    <w:rsid w:val="0024237C"/>
    <w:rsid w:val="0024237E"/>
    <w:rsid w:val="00242472"/>
    <w:rsid w:val="00242494"/>
    <w:rsid w:val="00242499"/>
    <w:rsid w:val="002424A1"/>
    <w:rsid w:val="0024251B"/>
    <w:rsid w:val="00242543"/>
    <w:rsid w:val="002425D3"/>
    <w:rsid w:val="002425FA"/>
    <w:rsid w:val="0024260F"/>
    <w:rsid w:val="00242667"/>
    <w:rsid w:val="002426B0"/>
    <w:rsid w:val="0024271A"/>
    <w:rsid w:val="00242744"/>
    <w:rsid w:val="002427EE"/>
    <w:rsid w:val="00242810"/>
    <w:rsid w:val="00242833"/>
    <w:rsid w:val="0024283D"/>
    <w:rsid w:val="0024288B"/>
    <w:rsid w:val="0024294C"/>
    <w:rsid w:val="002429B2"/>
    <w:rsid w:val="00242B16"/>
    <w:rsid w:val="00242B30"/>
    <w:rsid w:val="00242B40"/>
    <w:rsid w:val="00242B4D"/>
    <w:rsid w:val="00242C30"/>
    <w:rsid w:val="00242C5F"/>
    <w:rsid w:val="00242C61"/>
    <w:rsid w:val="00242C93"/>
    <w:rsid w:val="00242C97"/>
    <w:rsid w:val="00242D30"/>
    <w:rsid w:val="00242E0D"/>
    <w:rsid w:val="00242EEC"/>
    <w:rsid w:val="00242EFB"/>
    <w:rsid w:val="00242F85"/>
    <w:rsid w:val="0024300D"/>
    <w:rsid w:val="002430DA"/>
    <w:rsid w:val="00243157"/>
    <w:rsid w:val="00243272"/>
    <w:rsid w:val="00243287"/>
    <w:rsid w:val="00243373"/>
    <w:rsid w:val="002434D7"/>
    <w:rsid w:val="00243575"/>
    <w:rsid w:val="00243696"/>
    <w:rsid w:val="002436F4"/>
    <w:rsid w:val="002437D1"/>
    <w:rsid w:val="00243945"/>
    <w:rsid w:val="00243A3B"/>
    <w:rsid w:val="00243A54"/>
    <w:rsid w:val="00243B6F"/>
    <w:rsid w:val="00243BCF"/>
    <w:rsid w:val="00243BEC"/>
    <w:rsid w:val="00243BFE"/>
    <w:rsid w:val="00243CA2"/>
    <w:rsid w:val="00243CA8"/>
    <w:rsid w:val="00243E8C"/>
    <w:rsid w:val="00243EBD"/>
    <w:rsid w:val="00243EEC"/>
    <w:rsid w:val="00243F43"/>
    <w:rsid w:val="00244024"/>
    <w:rsid w:val="002441D6"/>
    <w:rsid w:val="002441F3"/>
    <w:rsid w:val="00244208"/>
    <w:rsid w:val="00244247"/>
    <w:rsid w:val="00244272"/>
    <w:rsid w:val="0024435E"/>
    <w:rsid w:val="002443DB"/>
    <w:rsid w:val="0024452C"/>
    <w:rsid w:val="002445BD"/>
    <w:rsid w:val="002445D4"/>
    <w:rsid w:val="00244662"/>
    <w:rsid w:val="002446B3"/>
    <w:rsid w:val="00244715"/>
    <w:rsid w:val="00244723"/>
    <w:rsid w:val="00244794"/>
    <w:rsid w:val="002447CF"/>
    <w:rsid w:val="0024486F"/>
    <w:rsid w:val="00244921"/>
    <w:rsid w:val="002449B7"/>
    <w:rsid w:val="002449BE"/>
    <w:rsid w:val="00244A08"/>
    <w:rsid w:val="00244B43"/>
    <w:rsid w:val="00244BB9"/>
    <w:rsid w:val="00244C46"/>
    <w:rsid w:val="00244CE1"/>
    <w:rsid w:val="00244D9E"/>
    <w:rsid w:val="00244DCB"/>
    <w:rsid w:val="00244E5E"/>
    <w:rsid w:val="00244F11"/>
    <w:rsid w:val="00244FC4"/>
    <w:rsid w:val="00245007"/>
    <w:rsid w:val="00245040"/>
    <w:rsid w:val="00245068"/>
    <w:rsid w:val="00245186"/>
    <w:rsid w:val="00245242"/>
    <w:rsid w:val="002452A9"/>
    <w:rsid w:val="00245316"/>
    <w:rsid w:val="00245325"/>
    <w:rsid w:val="00245381"/>
    <w:rsid w:val="0024540F"/>
    <w:rsid w:val="002455ED"/>
    <w:rsid w:val="002455F3"/>
    <w:rsid w:val="0024564B"/>
    <w:rsid w:val="00245703"/>
    <w:rsid w:val="00245771"/>
    <w:rsid w:val="0024581C"/>
    <w:rsid w:val="00245892"/>
    <w:rsid w:val="002458D6"/>
    <w:rsid w:val="002458E7"/>
    <w:rsid w:val="002458FF"/>
    <w:rsid w:val="00245922"/>
    <w:rsid w:val="0024593B"/>
    <w:rsid w:val="0024597F"/>
    <w:rsid w:val="00245A34"/>
    <w:rsid w:val="00245A87"/>
    <w:rsid w:val="00245B74"/>
    <w:rsid w:val="00245BC3"/>
    <w:rsid w:val="00245C2C"/>
    <w:rsid w:val="00245C6E"/>
    <w:rsid w:val="00245C70"/>
    <w:rsid w:val="00245C9C"/>
    <w:rsid w:val="00245CE2"/>
    <w:rsid w:val="00245D00"/>
    <w:rsid w:val="00245D51"/>
    <w:rsid w:val="00245E23"/>
    <w:rsid w:val="00245EF2"/>
    <w:rsid w:val="00245EFD"/>
    <w:rsid w:val="00245F64"/>
    <w:rsid w:val="00245FD9"/>
    <w:rsid w:val="0024600E"/>
    <w:rsid w:val="0024603A"/>
    <w:rsid w:val="00246135"/>
    <w:rsid w:val="00246158"/>
    <w:rsid w:val="002461BA"/>
    <w:rsid w:val="00246225"/>
    <w:rsid w:val="00246245"/>
    <w:rsid w:val="00246261"/>
    <w:rsid w:val="002463B4"/>
    <w:rsid w:val="00246510"/>
    <w:rsid w:val="00246541"/>
    <w:rsid w:val="00246583"/>
    <w:rsid w:val="0024668D"/>
    <w:rsid w:val="002466A0"/>
    <w:rsid w:val="002466A7"/>
    <w:rsid w:val="00246712"/>
    <w:rsid w:val="00246797"/>
    <w:rsid w:val="00246822"/>
    <w:rsid w:val="00246839"/>
    <w:rsid w:val="0024685B"/>
    <w:rsid w:val="002468AD"/>
    <w:rsid w:val="002468E5"/>
    <w:rsid w:val="00246925"/>
    <w:rsid w:val="002469AA"/>
    <w:rsid w:val="002469D8"/>
    <w:rsid w:val="00246B00"/>
    <w:rsid w:val="00246B70"/>
    <w:rsid w:val="00246BCB"/>
    <w:rsid w:val="00246CD6"/>
    <w:rsid w:val="00246DFC"/>
    <w:rsid w:val="00246E0A"/>
    <w:rsid w:val="00246EB3"/>
    <w:rsid w:val="00246EBD"/>
    <w:rsid w:val="00246F89"/>
    <w:rsid w:val="00247007"/>
    <w:rsid w:val="002470A1"/>
    <w:rsid w:val="00247143"/>
    <w:rsid w:val="00247192"/>
    <w:rsid w:val="0024720A"/>
    <w:rsid w:val="00247287"/>
    <w:rsid w:val="0024728B"/>
    <w:rsid w:val="00247322"/>
    <w:rsid w:val="0024743B"/>
    <w:rsid w:val="00247451"/>
    <w:rsid w:val="002474BF"/>
    <w:rsid w:val="0024756C"/>
    <w:rsid w:val="00247772"/>
    <w:rsid w:val="002477A2"/>
    <w:rsid w:val="002478E5"/>
    <w:rsid w:val="00247942"/>
    <w:rsid w:val="00247967"/>
    <w:rsid w:val="002479F9"/>
    <w:rsid w:val="00247A13"/>
    <w:rsid w:val="00247A4C"/>
    <w:rsid w:val="00247A7E"/>
    <w:rsid w:val="00247ACE"/>
    <w:rsid w:val="00247AFF"/>
    <w:rsid w:val="00247B35"/>
    <w:rsid w:val="00247B51"/>
    <w:rsid w:val="00247C7E"/>
    <w:rsid w:val="00247C83"/>
    <w:rsid w:val="00247CAE"/>
    <w:rsid w:val="00247CFE"/>
    <w:rsid w:val="00247D23"/>
    <w:rsid w:val="00247D7B"/>
    <w:rsid w:val="00247E05"/>
    <w:rsid w:val="00247F8C"/>
    <w:rsid w:val="00247F99"/>
    <w:rsid w:val="00247FF1"/>
    <w:rsid w:val="00250018"/>
    <w:rsid w:val="0025004B"/>
    <w:rsid w:val="002500D4"/>
    <w:rsid w:val="002501DD"/>
    <w:rsid w:val="0025021F"/>
    <w:rsid w:val="00250246"/>
    <w:rsid w:val="002502BC"/>
    <w:rsid w:val="00250326"/>
    <w:rsid w:val="0025036E"/>
    <w:rsid w:val="002503DB"/>
    <w:rsid w:val="0025045E"/>
    <w:rsid w:val="00250490"/>
    <w:rsid w:val="00250491"/>
    <w:rsid w:val="002504DC"/>
    <w:rsid w:val="002504E2"/>
    <w:rsid w:val="00250532"/>
    <w:rsid w:val="00250541"/>
    <w:rsid w:val="00250543"/>
    <w:rsid w:val="0025057B"/>
    <w:rsid w:val="002505AB"/>
    <w:rsid w:val="00250635"/>
    <w:rsid w:val="0025077B"/>
    <w:rsid w:val="00250793"/>
    <w:rsid w:val="00250863"/>
    <w:rsid w:val="00250874"/>
    <w:rsid w:val="00250920"/>
    <w:rsid w:val="00250993"/>
    <w:rsid w:val="00250AC8"/>
    <w:rsid w:val="00250B30"/>
    <w:rsid w:val="00250B78"/>
    <w:rsid w:val="00250BFA"/>
    <w:rsid w:val="00250C25"/>
    <w:rsid w:val="00250D0E"/>
    <w:rsid w:val="00250DBD"/>
    <w:rsid w:val="00250E4B"/>
    <w:rsid w:val="00250E57"/>
    <w:rsid w:val="00250F0A"/>
    <w:rsid w:val="00250F82"/>
    <w:rsid w:val="00250FC2"/>
    <w:rsid w:val="00250FCB"/>
    <w:rsid w:val="00250FF3"/>
    <w:rsid w:val="00251031"/>
    <w:rsid w:val="00251036"/>
    <w:rsid w:val="002510D3"/>
    <w:rsid w:val="0025112A"/>
    <w:rsid w:val="00251197"/>
    <w:rsid w:val="002511B2"/>
    <w:rsid w:val="002511D0"/>
    <w:rsid w:val="002511E0"/>
    <w:rsid w:val="00251229"/>
    <w:rsid w:val="0025130B"/>
    <w:rsid w:val="002513B7"/>
    <w:rsid w:val="00251405"/>
    <w:rsid w:val="00251476"/>
    <w:rsid w:val="00251492"/>
    <w:rsid w:val="002514A5"/>
    <w:rsid w:val="00251546"/>
    <w:rsid w:val="0025166C"/>
    <w:rsid w:val="00251673"/>
    <w:rsid w:val="00251680"/>
    <w:rsid w:val="002517AA"/>
    <w:rsid w:val="002517C2"/>
    <w:rsid w:val="002518EA"/>
    <w:rsid w:val="00251946"/>
    <w:rsid w:val="002519AE"/>
    <w:rsid w:val="00251A1C"/>
    <w:rsid w:val="00251A70"/>
    <w:rsid w:val="00251AA4"/>
    <w:rsid w:val="00251ADB"/>
    <w:rsid w:val="00251AFE"/>
    <w:rsid w:val="00251B19"/>
    <w:rsid w:val="00251B24"/>
    <w:rsid w:val="00251B2D"/>
    <w:rsid w:val="00251B35"/>
    <w:rsid w:val="00251B4F"/>
    <w:rsid w:val="00251C1A"/>
    <w:rsid w:val="00251C37"/>
    <w:rsid w:val="00251C7C"/>
    <w:rsid w:val="00251CC8"/>
    <w:rsid w:val="00251D51"/>
    <w:rsid w:val="00251DE2"/>
    <w:rsid w:val="00251E1D"/>
    <w:rsid w:val="00251E69"/>
    <w:rsid w:val="00251F23"/>
    <w:rsid w:val="00251FBD"/>
    <w:rsid w:val="00251FEE"/>
    <w:rsid w:val="00252022"/>
    <w:rsid w:val="002520B0"/>
    <w:rsid w:val="002520B7"/>
    <w:rsid w:val="002520BD"/>
    <w:rsid w:val="00252132"/>
    <w:rsid w:val="002521B7"/>
    <w:rsid w:val="0025223B"/>
    <w:rsid w:val="002522CE"/>
    <w:rsid w:val="00252361"/>
    <w:rsid w:val="0025247E"/>
    <w:rsid w:val="002524E1"/>
    <w:rsid w:val="0025250D"/>
    <w:rsid w:val="0025259D"/>
    <w:rsid w:val="0025264D"/>
    <w:rsid w:val="00252685"/>
    <w:rsid w:val="0025275F"/>
    <w:rsid w:val="00252767"/>
    <w:rsid w:val="00252781"/>
    <w:rsid w:val="002528DB"/>
    <w:rsid w:val="002528DE"/>
    <w:rsid w:val="002528E8"/>
    <w:rsid w:val="00252A95"/>
    <w:rsid w:val="00252BEF"/>
    <w:rsid w:val="00252C3D"/>
    <w:rsid w:val="00252C57"/>
    <w:rsid w:val="00252D60"/>
    <w:rsid w:val="00252D69"/>
    <w:rsid w:val="00252D87"/>
    <w:rsid w:val="00252DF3"/>
    <w:rsid w:val="00252DFF"/>
    <w:rsid w:val="00252EAA"/>
    <w:rsid w:val="00252EAB"/>
    <w:rsid w:val="00252EE7"/>
    <w:rsid w:val="00252F3D"/>
    <w:rsid w:val="00252F4A"/>
    <w:rsid w:val="00252FAF"/>
    <w:rsid w:val="00252FB6"/>
    <w:rsid w:val="002530BB"/>
    <w:rsid w:val="00253178"/>
    <w:rsid w:val="002531B9"/>
    <w:rsid w:val="00253266"/>
    <w:rsid w:val="0025336C"/>
    <w:rsid w:val="0025345A"/>
    <w:rsid w:val="0025350E"/>
    <w:rsid w:val="0025357B"/>
    <w:rsid w:val="00253755"/>
    <w:rsid w:val="0025378F"/>
    <w:rsid w:val="00253817"/>
    <w:rsid w:val="00253878"/>
    <w:rsid w:val="00253893"/>
    <w:rsid w:val="00253903"/>
    <w:rsid w:val="002539F9"/>
    <w:rsid w:val="00253A13"/>
    <w:rsid w:val="00253A21"/>
    <w:rsid w:val="00253A3E"/>
    <w:rsid w:val="00253AD2"/>
    <w:rsid w:val="00253B56"/>
    <w:rsid w:val="00253DF1"/>
    <w:rsid w:val="00253DFC"/>
    <w:rsid w:val="00253E36"/>
    <w:rsid w:val="00253F15"/>
    <w:rsid w:val="00253F33"/>
    <w:rsid w:val="00253F97"/>
    <w:rsid w:val="00254019"/>
    <w:rsid w:val="002540C6"/>
    <w:rsid w:val="00254165"/>
    <w:rsid w:val="002541AE"/>
    <w:rsid w:val="002541ED"/>
    <w:rsid w:val="002542A3"/>
    <w:rsid w:val="002543D8"/>
    <w:rsid w:val="002543D9"/>
    <w:rsid w:val="0025441B"/>
    <w:rsid w:val="0025445A"/>
    <w:rsid w:val="00254462"/>
    <w:rsid w:val="0025446F"/>
    <w:rsid w:val="00254473"/>
    <w:rsid w:val="0025453F"/>
    <w:rsid w:val="0025455D"/>
    <w:rsid w:val="002546E4"/>
    <w:rsid w:val="00254707"/>
    <w:rsid w:val="0025472D"/>
    <w:rsid w:val="00254736"/>
    <w:rsid w:val="0025477F"/>
    <w:rsid w:val="002547B8"/>
    <w:rsid w:val="002547FA"/>
    <w:rsid w:val="0025483D"/>
    <w:rsid w:val="00254872"/>
    <w:rsid w:val="002548E5"/>
    <w:rsid w:val="00254943"/>
    <w:rsid w:val="002549A0"/>
    <w:rsid w:val="00254A1F"/>
    <w:rsid w:val="00254BCA"/>
    <w:rsid w:val="00254BFF"/>
    <w:rsid w:val="00254C8C"/>
    <w:rsid w:val="00254CA7"/>
    <w:rsid w:val="00254D80"/>
    <w:rsid w:val="00254EDE"/>
    <w:rsid w:val="00254F4D"/>
    <w:rsid w:val="00254F87"/>
    <w:rsid w:val="00254F9C"/>
    <w:rsid w:val="00254FB6"/>
    <w:rsid w:val="00254FDD"/>
    <w:rsid w:val="00254FE6"/>
    <w:rsid w:val="00255076"/>
    <w:rsid w:val="002550AF"/>
    <w:rsid w:val="0025511F"/>
    <w:rsid w:val="00255133"/>
    <w:rsid w:val="0025516B"/>
    <w:rsid w:val="002551A3"/>
    <w:rsid w:val="002551E8"/>
    <w:rsid w:val="002551F1"/>
    <w:rsid w:val="002552DD"/>
    <w:rsid w:val="002552E9"/>
    <w:rsid w:val="00255305"/>
    <w:rsid w:val="0025531E"/>
    <w:rsid w:val="0025534F"/>
    <w:rsid w:val="00255357"/>
    <w:rsid w:val="0025546A"/>
    <w:rsid w:val="00255494"/>
    <w:rsid w:val="00255528"/>
    <w:rsid w:val="00255529"/>
    <w:rsid w:val="0025553D"/>
    <w:rsid w:val="002555BA"/>
    <w:rsid w:val="00255668"/>
    <w:rsid w:val="00255729"/>
    <w:rsid w:val="00255799"/>
    <w:rsid w:val="00255844"/>
    <w:rsid w:val="0025584B"/>
    <w:rsid w:val="002558C4"/>
    <w:rsid w:val="002559AA"/>
    <w:rsid w:val="002559CC"/>
    <w:rsid w:val="00255A1B"/>
    <w:rsid w:val="00255A47"/>
    <w:rsid w:val="00255AB8"/>
    <w:rsid w:val="00255B05"/>
    <w:rsid w:val="00255B77"/>
    <w:rsid w:val="00255BC3"/>
    <w:rsid w:val="00255BC5"/>
    <w:rsid w:val="00255C2F"/>
    <w:rsid w:val="00255C3F"/>
    <w:rsid w:val="00255CC1"/>
    <w:rsid w:val="00255D23"/>
    <w:rsid w:val="00255DC1"/>
    <w:rsid w:val="00255E80"/>
    <w:rsid w:val="00255EE4"/>
    <w:rsid w:val="00255EF9"/>
    <w:rsid w:val="002560A6"/>
    <w:rsid w:val="002560F8"/>
    <w:rsid w:val="00256117"/>
    <w:rsid w:val="00256168"/>
    <w:rsid w:val="002561DB"/>
    <w:rsid w:val="002562CD"/>
    <w:rsid w:val="002562FA"/>
    <w:rsid w:val="0025631D"/>
    <w:rsid w:val="00256397"/>
    <w:rsid w:val="002563A2"/>
    <w:rsid w:val="002563C0"/>
    <w:rsid w:val="002563E9"/>
    <w:rsid w:val="002564CD"/>
    <w:rsid w:val="0025651B"/>
    <w:rsid w:val="0025652F"/>
    <w:rsid w:val="002565CD"/>
    <w:rsid w:val="002565D2"/>
    <w:rsid w:val="002565E7"/>
    <w:rsid w:val="0025662E"/>
    <w:rsid w:val="0025667C"/>
    <w:rsid w:val="00256691"/>
    <w:rsid w:val="00256713"/>
    <w:rsid w:val="00256809"/>
    <w:rsid w:val="002568D4"/>
    <w:rsid w:val="002568F3"/>
    <w:rsid w:val="00256973"/>
    <w:rsid w:val="002569E0"/>
    <w:rsid w:val="00256A39"/>
    <w:rsid w:val="00256A77"/>
    <w:rsid w:val="00256A80"/>
    <w:rsid w:val="00256BDB"/>
    <w:rsid w:val="00256C9D"/>
    <w:rsid w:val="00256CAA"/>
    <w:rsid w:val="00256D44"/>
    <w:rsid w:val="00256DF2"/>
    <w:rsid w:val="00256E3E"/>
    <w:rsid w:val="00256E4A"/>
    <w:rsid w:val="00256E97"/>
    <w:rsid w:val="00256FDE"/>
    <w:rsid w:val="00257008"/>
    <w:rsid w:val="0025712E"/>
    <w:rsid w:val="00257238"/>
    <w:rsid w:val="0025734C"/>
    <w:rsid w:val="0025742B"/>
    <w:rsid w:val="00257442"/>
    <w:rsid w:val="00257498"/>
    <w:rsid w:val="0025751D"/>
    <w:rsid w:val="0025769C"/>
    <w:rsid w:val="002576BC"/>
    <w:rsid w:val="0025772F"/>
    <w:rsid w:val="0025775E"/>
    <w:rsid w:val="00257847"/>
    <w:rsid w:val="002578AC"/>
    <w:rsid w:val="002578E6"/>
    <w:rsid w:val="002578F5"/>
    <w:rsid w:val="0025790A"/>
    <w:rsid w:val="00257916"/>
    <w:rsid w:val="0025794C"/>
    <w:rsid w:val="00257957"/>
    <w:rsid w:val="00257989"/>
    <w:rsid w:val="00257A20"/>
    <w:rsid w:val="00257A64"/>
    <w:rsid w:val="00257C51"/>
    <w:rsid w:val="00257CFA"/>
    <w:rsid w:val="00257D28"/>
    <w:rsid w:val="00257D88"/>
    <w:rsid w:val="00257DAC"/>
    <w:rsid w:val="00257DB5"/>
    <w:rsid w:val="00257DE1"/>
    <w:rsid w:val="00257E1B"/>
    <w:rsid w:val="00257E99"/>
    <w:rsid w:val="00257F0A"/>
    <w:rsid w:val="00257F1A"/>
    <w:rsid w:val="0026001C"/>
    <w:rsid w:val="00260087"/>
    <w:rsid w:val="00260092"/>
    <w:rsid w:val="00260127"/>
    <w:rsid w:val="0026012D"/>
    <w:rsid w:val="00260192"/>
    <w:rsid w:val="002601E8"/>
    <w:rsid w:val="00260280"/>
    <w:rsid w:val="002603D7"/>
    <w:rsid w:val="00260406"/>
    <w:rsid w:val="0026046B"/>
    <w:rsid w:val="0026048B"/>
    <w:rsid w:val="00260643"/>
    <w:rsid w:val="0026073D"/>
    <w:rsid w:val="002607EF"/>
    <w:rsid w:val="0026082D"/>
    <w:rsid w:val="002608F1"/>
    <w:rsid w:val="00260940"/>
    <w:rsid w:val="00260990"/>
    <w:rsid w:val="00260991"/>
    <w:rsid w:val="002609D7"/>
    <w:rsid w:val="00260AD6"/>
    <w:rsid w:val="00260B72"/>
    <w:rsid w:val="00260BD8"/>
    <w:rsid w:val="00260C2E"/>
    <w:rsid w:val="00260D04"/>
    <w:rsid w:val="00260D23"/>
    <w:rsid w:val="00260EB7"/>
    <w:rsid w:val="00260FF2"/>
    <w:rsid w:val="0026105F"/>
    <w:rsid w:val="002610C6"/>
    <w:rsid w:val="002610EF"/>
    <w:rsid w:val="00261188"/>
    <w:rsid w:val="00261191"/>
    <w:rsid w:val="002611DD"/>
    <w:rsid w:val="00261209"/>
    <w:rsid w:val="0026122E"/>
    <w:rsid w:val="00261261"/>
    <w:rsid w:val="00261304"/>
    <w:rsid w:val="00261331"/>
    <w:rsid w:val="00261397"/>
    <w:rsid w:val="002613E1"/>
    <w:rsid w:val="00261679"/>
    <w:rsid w:val="0026169D"/>
    <w:rsid w:val="00261747"/>
    <w:rsid w:val="0026181B"/>
    <w:rsid w:val="00261840"/>
    <w:rsid w:val="0026188C"/>
    <w:rsid w:val="002618DD"/>
    <w:rsid w:val="0026193C"/>
    <w:rsid w:val="002619F5"/>
    <w:rsid w:val="00261A7C"/>
    <w:rsid w:val="00261ACC"/>
    <w:rsid w:val="00261B14"/>
    <w:rsid w:val="00261BBE"/>
    <w:rsid w:val="00261C22"/>
    <w:rsid w:val="00261CE3"/>
    <w:rsid w:val="00261D43"/>
    <w:rsid w:val="00261D80"/>
    <w:rsid w:val="00261DC9"/>
    <w:rsid w:val="00261DEE"/>
    <w:rsid w:val="00261E41"/>
    <w:rsid w:val="0026204F"/>
    <w:rsid w:val="00262126"/>
    <w:rsid w:val="002622E1"/>
    <w:rsid w:val="002622EB"/>
    <w:rsid w:val="00262315"/>
    <w:rsid w:val="0026232B"/>
    <w:rsid w:val="0026233A"/>
    <w:rsid w:val="002624B1"/>
    <w:rsid w:val="0026252C"/>
    <w:rsid w:val="00262552"/>
    <w:rsid w:val="0026259B"/>
    <w:rsid w:val="00262660"/>
    <w:rsid w:val="0026266C"/>
    <w:rsid w:val="00262731"/>
    <w:rsid w:val="00262753"/>
    <w:rsid w:val="0026277C"/>
    <w:rsid w:val="002627C8"/>
    <w:rsid w:val="002627D3"/>
    <w:rsid w:val="002627DE"/>
    <w:rsid w:val="002627E4"/>
    <w:rsid w:val="002628AB"/>
    <w:rsid w:val="002629F6"/>
    <w:rsid w:val="00262B0C"/>
    <w:rsid w:val="00262B29"/>
    <w:rsid w:val="00262B71"/>
    <w:rsid w:val="00262C99"/>
    <w:rsid w:val="00262CF8"/>
    <w:rsid w:val="00262CFE"/>
    <w:rsid w:val="00262D04"/>
    <w:rsid w:val="00262D13"/>
    <w:rsid w:val="00262D47"/>
    <w:rsid w:val="00262D81"/>
    <w:rsid w:val="00262DA1"/>
    <w:rsid w:val="00262DD5"/>
    <w:rsid w:val="00262F66"/>
    <w:rsid w:val="00262F7B"/>
    <w:rsid w:val="00263096"/>
    <w:rsid w:val="002630EF"/>
    <w:rsid w:val="002630F4"/>
    <w:rsid w:val="00263201"/>
    <w:rsid w:val="002632EC"/>
    <w:rsid w:val="0026331A"/>
    <w:rsid w:val="00263322"/>
    <w:rsid w:val="00263329"/>
    <w:rsid w:val="002633C1"/>
    <w:rsid w:val="002634CD"/>
    <w:rsid w:val="00263529"/>
    <w:rsid w:val="00263553"/>
    <w:rsid w:val="0026359B"/>
    <w:rsid w:val="002635F4"/>
    <w:rsid w:val="00263659"/>
    <w:rsid w:val="002636C4"/>
    <w:rsid w:val="002636C8"/>
    <w:rsid w:val="00263716"/>
    <w:rsid w:val="002637B2"/>
    <w:rsid w:val="002637C5"/>
    <w:rsid w:val="00263965"/>
    <w:rsid w:val="0026397C"/>
    <w:rsid w:val="002639B1"/>
    <w:rsid w:val="00263A03"/>
    <w:rsid w:val="00263A52"/>
    <w:rsid w:val="00263AF7"/>
    <w:rsid w:val="00263B4C"/>
    <w:rsid w:val="00263B6C"/>
    <w:rsid w:val="00263BEB"/>
    <w:rsid w:val="00263C1E"/>
    <w:rsid w:val="00263CC1"/>
    <w:rsid w:val="00263CFB"/>
    <w:rsid w:val="00263DE2"/>
    <w:rsid w:val="00263DFF"/>
    <w:rsid w:val="00263E01"/>
    <w:rsid w:val="00263E03"/>
    <w:rsid w:val="00263F25"/>
    <w:rsid w:val="00263FEF"/>
    <w:rsid w:val="00264079"/>
    <w:rsid w:val="0026407B"/>
    <w:rsid w:val="002640E1"/>
    <w:rsid w:val="0026420A"/>
    <w:rsid w:val="00264239"/>
    <w:rsid w:val="0026424D"/>
    <w:rsid w:val="0026428C"/>
    <w:rsid w:val="002642C8"/>
    <w:rsid w:val="0026435C"/>
    <w:rsid w:val="00264395"/>
    <w:rsid w:val="002643BF"/>
    <w:rsid w:val="0026440F"/>
    <w:rsid w:val="00264424"/>
    <w:rsid w:val="00264427"/>
    <w:rsid w:val="0026456D"/>
    <w:rsid w:val="002645FB"/>
    <w:rsid w:val="0026461B"/>
    <w:rsid w:val="00264682"/>
    <w:rsid w:val="0026478B"/>
    <w:rsid w:val="00264793"/>
    <w:rsid w:val="002647DE"/>
    <w:rsid w:val="00264892"/>
    <w:rsid w:val="002648B2"/>
    <w:rsid w:val="00264919"/>
    <w:rsid w:val="00264945"/>
    <w:rsid w:val="0026497D"/>
    <w:rsid w:val="002649FD"/>
    <w:rsid w:val="002649FE"/>
    <w:rsid w:val="00264A56"/>
    <w:rsid w:val="00264AD7"/>
    <w:rsid w:val="00264B18"/>
    <w:rsid w:val="00264B24"/>
    <w:rsid w:val="00264B59"/>
    <w:rsid w:val="00264C36"/>
    <w:rsid w:val="00264D64"/>
    <w:rsid w:val="00264DBF"/>
    <w:rsid w:val="00264DD9"/>
    <w:rsid w:val="00264E24"/>
    <w:rsid w:val="00264F0C"/>
    <w:rsid w:val="00264F4D"/>
    <w:rsid w:val="00264FB6"/>
    <w:rsid w:val="00264FD0"/>
    <w:rsid w:val="00265030"/>
    <w:rsid w:val="002650AC"/>
    <w:rsid w:val="002650B6"/>
    <w:rsid w:val="002650C2"/>
    <w:rsid w:val="002652FC"/>
    <w:rsid w:val="00265303"/>
    <w:rsid w:val="00265335"/>
    <w:rsid w:val="00265352"/>
    <w:rsid w:val="00265389"/>
    <w:rsid w:val="002653DD"/>
    <w:rsid w:val="00265443"/>
    <w:rsid w:val="002654F2"/>
    <w:rsid w:val="0026557E"/>
    <w:rsid w:val="002656C7"/>
    <w:rsid w:val="002656DC"/>
    <w:rsid w:val="002656FC"/>
    <w:rsid w:val="00265704"/>
    <w:rsid w:val="0026572B"/>
    <w:rsid w:val="0026581C"/>
    <w:rsid w:val="002658A7"/>
    <w:rsid w:val="002658FA"/>
    <w:rsid w:val="0026591E"/>
    <w:rsid w:val="0026597D"/>
    <w:rsid w:val="00265A05"/>
    <w:rsid w:val="00265A64"/>
    <w:rsid w:val="00265A77"/>
    <w:rsid w:val="00265AB5"/>
    <w:rsid w:val="00265B09"/>
    <w:rsid w:val="00265B17"/>
    <w:rsid w:val="00265B83"/>
    <w:rsid w:val="00265CBE"/>
    <w:rsid w:val="00265D11"/>
    <w:rsid w:val="00265D51"/>
    <w:rsid w:val="00265D8B"/>
    <w:rsid w:val="00265DE4"/>
    <w:rsid w:val="00265E05"/>
    <w:rsid w:val="00265E6E"/>
    <w:rsid w:val="00265EA7"/>
    <w:rsid w:val="00265FFB"/>
    <w:rsid w:val="0026604E"/>
    <w:rsid w:val="00266099"/>
    <w:rsid w:val="0026627A"/>
    <w:rsid w:val="002662A4"/>
    <w:rsid w:val="00266313"/>
    <w:rsid w:val="002663E5"/>
    <w:rsid w:val="002664C7"/>
    <w:rsid w:val="002664F7"/>
    <w:rsid w:val="00266704"/>
    <w:rsid w:val="0026678D"/>
    <w:rsid w:val="002667B1"/>
    <w:rsid w:val="0026682E"/>
    <w:rsid w:val="00266AC4"/>
    <w:rsid w:val="00266AF4"/>
    <w:rsid w:val="00266B2C"/>
    <w:rsid w:val="00266CC3"/>
    <w:rsid w:val="00266D16"/>
    <w:rsid w:val="00266D54"/>
    <w:rsid w:val="00266D59"/>
    <w:rsid w:val="00266E4C"/>
    <w:rsid w:val="00266E65"/>
    <w:rsid w:val="00266EA7"/>
    <w:rsid w:val="00266EAB"/>
    <w:rsid w:val="00266EE5"/>
    <w:rsid w:val="00266F10"/>
    <w:rsid w:val="00266F1A"/>
    <w:rsid w:val="00266F46"/>
    <w:rsid w:val="00266F57"/>
    <w:rsid w:val="00266FC0"/>
    <w:rsid w:val="00267016"/>
    <w:rsid w:val="00267054"/>
    <w:rsid w:val="00267188"/>
    <w:rsid w:val="00267226"/>
    <w:rsid w:val="002672AF"/>
    <w:rsid w:val="00267343"/>
    <w:rsid w:val="00267396"/>
    <w:rsid w:val="00267438"/>
    <w:rsid w:val="00267462"/>
    <w:rsid w:val="0026748A"/>
    <w:rsid w:val="0026751D"/>
    <w:rsid w:val="00267548"/>
    <w:rsid w:val="00267625"/>
    <w:rsid w:val="002676B5"/>
    <w:rsid w:val="002676DC"/>
    <w:rsid w:val="00267704"/>
    <w:rsid w:val="0026775E"/>
    <w:rsid w:val="00267772"/>
    <w:rsid w:val="00267786"/>
    <w:rsid w:val="0026797C"/>
    <w:rsid w:val="0026798B"/>
    <w:rsid w:val="002679C1"/>
    <w:rsid w:val="002679EB"/>
    <w:rsid w:val="00267A62"/>
    <w:rsid w:val="00267A7C"/>
    <w:rsid w:val="00267B09"/>
    <w:rsid w:val="00267CB8"/>
    <w:rsid w:val="00267D9B"/>
    <w:rsid w:val="00267DA8"/>
    <w:rsid w:val="00267DC0"/>
    <w:rsid w:val="00267E60"/>
    <w:rsid w:val="00267E6D"/>
    <w:rsid w:val="00267EA4"/>
    <w:rsid w:val="00267F0F"/>
    <w:rsid w:val="00267F75"/>
    <w:rsid w:val="00267FB0"/>
    <w:rsid w:val="00270063"/>
    <w:rsid w:val="0027019D"/>
    <w:rsid w:val="002701CB"/>
    <w:rsid w:val="00270254"/>
    <w:rsid w:val="00270358"/>
    <w:rsid w:val="002703C5"/>
    <w:rsid w:val="002704B3"/>
    <w:rsid w:val="0027053F"/>
    <w:rsid w:val="0027054E"/>
    <w:rsid w:val="002705AA"/>
    <w:rsid w:val="002706CA"/>
    <w:rsid w:val="00270729"/>
    <w:rsid w:val="0027075B"/>
    <w:rsid w:val="00270783"/>
    <w:rsid w:val="002707C8"/>
    <w:rsid w:val="00270A6B"/>
    <w:rsid w:val="00270A81"/>
    <w:rsid w:val="00270ADC"/>
    <w:rsid w:val="00270B16"/>
    <w:rsid w:val="00270C09"/>
    <w:rsid w:val="00270C0D"/>
    <w:rsid w:val="00270C44"/>
    <w:rsid w:val="00270C57"/>
    <w:rsid w:val="00270CD2"/>
    <w:rsid w:val="00270DA0"/>
    <w:rsid w:val="00270F0C"/>
    <w:rsid w:val="00270FB8"/>
    <w:rsid w:val="00270FE0"/>
    <w:rsid w:val="00271001"/>
    <w:rsid w:val="0027101E"/>
    <w:rsid w:val="00271038"/>
    <w:rsid w:val="0027117D"/>
    <w:rsid w:val="00271200"/>
    <w:rsid w:val="00271237"/>
    <w:rsid w:val="00271276"/>
    <w:rsid w:val="00271285"/>
    <w:rsid w:val="002712E5"/>
    <w:rsid w:val="0027133F"/>
    <w:rsid w:val="0027137E"/>
    <w:rsid w:val="002713E3"/>
    <w:rsid w:val="002713EC"/>
    <w:rsid w:val="0027146E"/>
    <w:rsid w:val="002714A3"/>
    <w:rsid w:val="00271577"/>
    <w:rsid w:val="0027158D"/>
    <w:rsid w:val="00271591"/>
    <w:rsid w:val="002715DE"/>
    <w:rsid w:val="00271653"/>
    <w:rsid w:val="002716D2"/>
    <w:rsid w:val="00271709"/>
    <w:rsid w:val="00271785"/>
    <w:rsid w:val="00271799"/>
    <w:rsid w:val="002717FD"/>
    <w:rsid w:val="0027182F"/>
    <w:rsid w:val="0027183A"/>
    <w:rsid w:val="0027198F"/>
    <w:rsid w:val="002719C3"/>
    <w:rsid w:val="002719ED"/>
    <w:rsid w:val="00271A1E"/>
    <w:rsid w:val="00271A4B"/>
    <w:rsid w:val="00271A87"/>
    <w:rsid w:val="00271A9E"/>
    <w:rsid w:val="00271AA3"/>
    <w:rsid w:val="00271BE4"/>
    <w:rsid w:val="00271C8C"/>
    <w:rsid w:val="00271CF7"/>
    <w:rsid w:val="00271D19"/>
    <w:rsid w:val="00271DEC"/>
    <w:rsid w:val="00271E01"/>
    <w:rsid w:val="00271E18"/>
    <w:rsid w:val="00271E2B"/>
    <w:rsid w:val="00271E95"/>
    <w:rsid w:val="00271FBE"/>
    <w:rsid w:val="0027209F"/>
    <w:rsid w:val="002720DA"/>
    <w:rsid w:val="002722B3"/>
    <w:rsid w:val="002722F5"/>
    <w:rsid w:val="0027233C"/>
    <w:rsid w:val="00272409"/>
    <w:rsid w:val="00272493"/>
    <w:rsid w:val="002724DC"/>
    <w:rsid w:val="002725D5"/>
    <w:rsid w:val="00272613"/>
    <w:rsid w:val="00272623"/>
    <w:rsid w:val="002726BD"/>
    <w:rsid w:val="002726C6"/>
    <w:rsid w:val="0027270B"/>
    <w:rsid w:val="00272772"/>
    <w:rsid w:val="002727E3"/>
    <w:rsid w:val="00272939"/>
    <w:rsid w:val="00272969"/>
    <w:rsid w:val="00272A7F"/>
    <w:rsid w:val="00272B13"/>
    <w:rsid w:val="00272B4A"/>
    <w:rsid w:val="00272C08"/>
    <w:rsid w:val="00272C68"/>
    <w:rsid w:val="00272C9B"/>
    <w:rsid w:val="00272D09"/>
    <w:rsid w:val="00272EA9"/>
    <w:rsid w:val="0027309E"/>
    <w:rsid w:val="002730A8"/>
    <w:rsid w:val="002730B0"/>
    <w:rsid w:val="0027319C"/>
    <w:rsid w:val="00273201"/>
    <w:rsid w:val="00273228"/>
    <w:rsid w:val="0027324A"/>
    <w:rsid w:val="002732CF"/>
    <w:rsid w:val="002732F8"/>
    <w:rsid w:val="00273377"/>
    <w:rsid w:val="00273406"/>
    <w:rsid w:val="00273463"/>
    <w:rsid w:val="002734CE"/>
    <w:rsid w:val="002735CB"/>
    <w:rsid w:val="00273674"/>
    <w:rsid w:val="00273785"/>
    <w:rsid w:val="002737EF"/>
    <w:rsid w:val="00273838"/>
    <w:rsid w:val="002738F7"/>
    <w:rsid w:val="00273982"/>
    <w:rsid w:val="0027398B"/>
    <w:rsid w:val="00273995"/>
    <w:rsid w:val="002739BF"/>
    <w:rsid w:val="00273A41"/>
    <w:rsid w:val="00273C8E"/>
    <w:rsid w:val="00273D35"/>
    <w:rsid w:val="00273D6C"/>
    <w:rsid w:val="00273D7E"/>
    <w:rsid w:val="00273D7F"/>
    <w:rsid w:val="00273DAE"/>
    <w:rsid w:val="00273E22"/>
    <w:rsid w:val="00273F16"/>
    <w:rsid w:val="00273F97"/>
    <w:rsid w:val="00274127"/>
    <w:rsid w:val="0027417A"/>
    <w:rsid w:val="0027421C"/>
    <w:rsid w:val="00274256"/>
    <w:rsid w:val="00274315"/>
    <w:rsid w:val="0027433C"/>
    <w:rsid w:val="00274389"/>
    <w:rsid w:val="002743AB"/>
    <w:rsid w:val="0027443A"/>
    <w:rsid w:val="00274490"/>
    <w:rsid w:val="002744F3"/>
    <w:rsid w:val="002745AD"/>
    <w:rsid w:val="002745D5"/>
    <w:rsid w:val="00274651"/>
    <w:rsid w:val="0027468B"/>
    <w:rsid w:val="0027471E"/>
    <w:rsid w:val="00274792"/>
    <w:rsid w:val="002747F6"/>
    <w:rsid w:val="002748D3"/>
    <w:rsid w:val="00274AC4"/>
    <w:rsid w:val="00274BB8"/>
    <w:rsid w:val="00274D1D"/>
    <w:rsid w:val="00274D25"/>
    <w:rsid w:val="00274E63"/>
    <w:rsid w:val="00274EBF"/>
    <w:rsid w:val="00274F10"/>
    <w:rsid w:val="00274F12"/>
    <w:rsid w:val="00274F36"/>
    <w:rsid w:val="00275005"/>
    <w:rsid w:val="0027520C"/>
    <w:rsid w:val="00275278"/>
    <w:rsid w:val="002752E7"/>
    <w:rsid w:val="00275309"/>
    <w:rsid w:val="0027532D"/>
    <w:rsid w:val="00275405"/>
    <w:rsid w:val="00275445"/>
    <w:rsid w:val="0027548E"/>
    <w:rsid w:val="0027555B"/>
    <w:rsid w:val="00275580"/>
    <w:rsid w:val="0027559A"/>
    <w:rsid w:val="002755B7"/>
    <w:rsid w:val="002756D7"/>
    <w:rsid w:val="002756DC"/>
    <w:rsid w:val="00275705"/>
    <w:rsid w:val="00275730"/>
    <w:rsid w:val="0027575F"/>
    <w:rsid w:val="00275784"/>
    <w:rsid w:val="002757B8"/>
    <w:rsid w:val="002757CE"/>
    <w:rsid w:val="002757ED"/>
    <w:rsid w:val="00275839"/>
    <w:rsid w:val="0027589E"/>
    <w:rsid w:val="0027590B"/>
    <w:rsid w:val="002759A2"/>
    <w:rsid w:val="00275A2D"/>
    <w:rsid w:val="00275A4E"/>
    <w:rsid w:val="00275AA1"/>
    <w:rsid w:val="00275AF1"/>
    <w:rsid w:val="00275B97"/>
    <w:rsid w:val="00275BCC"/>
    <w:rsid w:val="00275C24"/>
    <w:rsid w:val="00275C28"/>
    <w:rsid w:val="00275C8A"/>
    <w:rsid w:val="00275CDE"/>
    <w:rsid w:val="00275D74"/>
    <w:rsid w:val="00275D7B"/>
    <w:rsid w:val="00275DC1"/>
    <w:rsid w:val="00275DDC"/>
    <w:rsid w:val="00275E05"/>
    <w:rsid w:val="00275E2C"/>
    <w:rsid w:val="00275F07"/>
    <w:rsid w:val="00275F0D"/>
    <w:rsid w:val="00275F54"/>
    <w:rsid w:val="0027600F"/>
    <w:rsid w:val="00276048"/>
    <w:rsid w:val="0027605F"/>
    <w:rsid w:val="0027628A"/>
    <w:rsid w:val="002762DA"/>
    <w:rsid w:val="002762EF"/>
    <w:rsid w:val="0027633A"/>
    <w:rsid w:val="0027638C"/>
    <w:rsid w:val="00276392"/>
    <w:rsid w:val="00276426"/>
    <w:rsid w:val="00276452"/>
    <w:rsid w:val="00276463"/>
    <w:rsid w:val="00276542"/>
    <w:rsid w:val="002765D6"/>
    <w:rsid w:val="00276663"/>
    <w:rsid w:val="00276665"/>
    <w:rsid w:val="00276666"/>
    <w:rsid w:val="00276708"/>
    <w:rsid w:val="00276848"/>
    <w:rsid w:val="00276888"/>
    <w:rsid w:val="002768D9"/>
    <w:rsid w:val="0027695C"/>
    <w:rsid w:val="00276987"/>
    <w:rsid w:val="00276A3B"/>
    <w:rsid w:val="00276AC8"/>
    <w:rsid w:val="00276ACE"/>
    <w:rsid w:val="00276B34"/>
    <w:rsid w:val="00276B59"/>
    <w:rsid w:val="00276C2E"/>
    <w:rsid w:val="00276C61"/>
    <w:rsid w:val="00276CF8"/>
    <w:rsid w:val="00276D5A"/>
    <w:rsid w:val="00276DA1"/>
    <w:rsid w:val="00276DAD"/>
    <w:rsid w:val="00276DCF"/>
    <w:rsid w:val="00276E36"/>
    <w:rsid w:val="00276E46"/>
    <w:rsid w:val="00276E56"/>
    <w:rsid w:val="00276ECF"/>
    <w:rsid w:val="00276F39"/>
    <w:rsid w:val="00276F5E"/>
    <w:rsid w:val="00276F6F"/>
    <w:rsid w:val="00276FD6"/>
    <w:rsid w:val="0027701E"/>
    <w:rsid w:val="002770B1"/>
    <w:rsid w:val="002770B9"/>
    <w:rsid w:val="002771F8"/>
    <w:rsid w:val="002771FB"/>
    <w:rsid w:val="002772D1"/>
    <w:rsid w:val="00277343"/>
    <w:rsid w:val="0027738F"/>
    <w:rsid w:val="00277409"/>
    <w:rsid w:val="00277490"/>
    <w:rsid w:val="002774B3"/>
    <w:rsid w:val="002776D8"/>
    <w:rsid w:val="00277733"/>
    <w:rsid w:val="0027775D"/>
    <w:rsid w:val="002777C4"/>
    <w:rsid w:val="00277804"/>
    <w:rsid w:val="002778B4"/>
    <w:rsid w:val="002778EE"/>
    <w:rsid w:val="002778EF"/>
    <w:rsid w:val="00277919"/>
    <w:rsid w:val="0027791A"/>
    <w:rsid w:val="00277933"/>
    <w:rsid w:val="00277946"/>
    <w:rsid w:val="00277972"/>
    <w:rsid w:val="0027797B"/>
    <w:rsid w:val="002779AE"/>
    <w:rsid w:val="002779D5"/>
    <w:rsid w:val="002779F1"/>
    <w:rsid w:val="00277A1C"/>
    <w:rsid w:val="00277A49"/>
    <w:rsid w:val="00277A6F"/>
    <w:rsid w:val="00277AB2"/>
    <w:rsid w:val="00277ACC"/>
    <w:rsid w:val="00277B25"/>
    <w:rsid w:val="00277BA0"/>
    <w:rsid w:val="00277C1B"/>
    <w:rsid w:val="00277C63"/>
    <w:rsid w:val="00277CFA"/>
    <w:rsid w:val="00277D05"/>
    <w:rsid w:val="00277D2A"/>
    <w:rsid w:val="00277E63"/>
    <w:rsid w:val="00277F06"/>
    <w:rsid w:val="00277F1F"/>
    <w:rsid w:val="00277F22"/>
    <w:rsid w:val="00280059"/>
    <w:rsid w:val="002801C3"/>
    <w:rsid w:val="00280248"/>
    <w:rsid w:val="002802C2"/>
    <w:rsid w:val="0028034D"/>
    <w:rsid w:val="0028036A"/>
    <w:rsid w:val="00280435"/>
    <w:rsid w:val="00280444"/>
    <w:rsid w:val="002804AB"/>
    <w:rsid w:val="00280514"/>
    <w:rsid w:val="002805E9"/>
    <w:rsid w:val="00280763"/>
    <w:rsid w:val="0028077C"/>
    <w:rsid w:val="002807A2"/>
    <w:rsid w:val="00280912"/>
    <w:rsid w:val="00280979"/>
    <w:rsid w:val="002809B1"/>
    <w:rsid w:val="002809C5"/>
    <w:rsid w:val="00280A1C"/>
    <w:rsid w:val="00280BA4"/>
    <w:rsid w:val="00280BAB"/>
    <w:rsid w:val="00280CF7"/>
    <w:rsid w:val="00280D58"/>
    <w:rsid w:val="00280DA8"/>
    <w:rsid w:val="00280DE1"/>
    <w:rsid w:val="00280E05"/>
    <w:rsid w:val="00280F3B"/>
    <w:rsid w:val="00280F71"/>
    <w:rsid w:val="00280F9C"/>
    <w:rsid w:val="00280FC8"/>
    <w:rsid w:val="0028106A"/>
    <w:rsid w:val="00281076"/>
    <w:rsid w:val="002810D0"/>
    <w:rsid w:val="0028113B"/>
    <w:rsid w:val="00281278"/>
    <w:rsid w:val="002812EC"/>
    <w:rsid w:val="002812F4"/>
    <w:rsid w:val="0028147E"/>
    <w:rsid w:val="00281552"/>
    <w:rsid w:val="00281577"/>
    <w:rsid w:val="002815D8"/>
    <w:rsid w:val="002815EF"/>
    <w:rsid w:val="002816A9"/>
    <w:rsid w:val="0028182D"/>
    <w:rsid w:val="002818DB"/>
    <w:rsid w:val="00281910"/>
    <w:rsid w:val="00281948"/>
    <w:rsid w:val="00281949"/>
    <w:rsid w:val="002819F1"/>
    <w:rsid w:val="00281A36"/>
    <w:rsid w:val="00281AA5"/>
    <w:rsid w:val="00281B1B"/>
    <w:rsid w:val="00281B67"/>
    <w:rsid w:val="00281BAC"/>
    <w:rsid w:val="00281BD5"/>
    <w:rsid w:val="00281D32"/>
    <w:rsid w:val="00281D85"/>
    <w:rsid w:val="00281DA3"/>
    <w:rsid w:val="00281DA4"/>
    <w:rsid w:val="00281DB7"/>
    <w:rsid w:val="00281DF9"/>
    <w:rsid w:val="00281E0A"/>
    <w:rsid w:val="00281E75"/>
    <w:rsid w:val="00281EB3"/>
    <w:rsid w:val="00281EDC"/>
    <w:rsid w:val="00281F6B"/>
    <w:rsid w:val="00281F7C"/>
    <w:rsid w:val="00282026"/>
    <w:rsid w:val="0028204E"/>
    <w:rsid w:val="00282088"/>
    <w:rsid w:val="002820A6"/>
    <w:rsid w:val="002820BE"/>
    <w:rsid w:val="00282157"/>
    <w:rsid w:val="00282220"/>
    <w:rsid w:val="00282242"/>
    <w:rsid w:val="00282265"/>
    <w:rsid w:val="002822A9"/>
    <w:rsid w:val="00282338"/>
    <w:rsid w:val="002823AD"/>
    <w:rsid w:val="002824A8"/>
    <w:rsid w:val="00282511"/>
    <w:rsid w:val="0028259A"/>
    <w:rsid w:val="002826EE"/>
    <w:rsid w:val="00282719"/>
    <w:rsid w:val="00282729"/>
    <w:rsid w:val="0028273F"/>
    <w:rsid w:val="0028275D"/>
    <w:rsid w:val="002827C7"/>
    <w:rsid w:val="002827EA"/>
    <w:rsid w:val="002827FE"/>
    <w:rsid w:val="0028281F"/>
    <w:rsid w:val="002828B5"/>
    <w:rsid w:val="0028293F"/>
    <w:rsid w:val="002829B3"/>
    <w:rsid w:val="00282A6B"/>
    <w:rsid w:val="00282A7F"/>
    <w:rsid w:val="00282A85"/>
    <w:rsid w:val="00282A9C"/>
    <w:rsid w:val="00282B0E"/>
    <w:rsid w:val="00282B54"/>
    <w:rsid w:val="00282B84"/>
    <w:rsid w:val="00282CAD"/>
    <w:rsid w:val="00282CE0"/>
    <w:rsid w:val="00282D48"/>
    <w:rsid w:val="00282D54"/>
    <w:rsid w:val="00282D9E"/>
    <w:rsid w:val="00282E93"/>
    <w:rsid w:val="00282E9D"/>
    <w:rsid w:val="00282F63"/>
    <w:rsid w:val="0028303C"/>
    <w:rsid w:val="002830C3"/>
    <w:rsid w:val="00283155"/>
    <w:rsid w:val="002832B3"/>
    <w:rsid w:val="0028332C"/>
    <w:rsid w:val="002833DF"/>
    <w:rsid w:val="002833FB"/>
    <w:rsid w:val="0028346F"/>
    <w:rsid w:val="002834E1"/>
    <w:rsid w:val="00283596"/>
    <w:rsid w:val="002835EE"/>
    <w:rsid w:val="002835F6"/>
    <w:rsid w:val="002836F0"/>
    <w:rsid w:val="002837D8"/>
    <w:rsid w:val="002837FB"/>
    <w:rsid w:val="002838D7"/>
    <w:rsid w:val="00283967"/>
    <w:rsid w:val="00283A9D"/>
    <w:rsid w:val="00283AA1"/>
    <w:rsid w:val="00283B76"/>
    <w:rsid w:val="00283B9F"/>
    <w:rsid w:val="00283BEA"/>
    <w:rsid w:val="00283D27"/>
    <w:rsid w:val="00283D4B"/>
    <w:rsid w:val="00283E1A"/>
    <w:rsid w:val="00283E81"/>
    <w:rsid w:val="00283F77"/>
    <w:rsid w:val="00283FE4"/>
    <w:rsid w:val="00284081"/>
    <w:rsid w:val="00284156"/>
    <w:rsid w:val="002841E2"/>
    <w:rsid w:val="002841F3"/>
    <w:rsid w:val="002841F8"/>
    <w:rsid w:val="00284223"/>
    <w:rsid w:val="00284291"/>
    <w:rsid w:val="002842E4"/>
    <w:rsid w:val="00284340"/>
    <w:rsid w:val="00284391"/>
    <w:rsid w:val="002845B5"/>
    <w:rsid w:val="00284697"/>
    <w:rsid w:val="002846E1"/>
    <w:rsid w:val="002846F0"/>
    <w:rsid w:val="0028473D"/>
    <w:rsid w:val="00284775"/>
    <w:rsid w:val="002847C8"/>
    <w:rsid w:val="002847E7"/>
    <w:rsid w:val="0028484E"/>
    <w:rsid w:val="00284894"/>
    <w:rsid w:val="00284906"/>
    <w:rsid w:val="0028490E"/>
    <w:rsid w:val="00284970"/>
    <w:rsid w:val="00284988"/>
    <w:rsid w:val="00284ACF"/>
    <w:rsid w:val="00284AF0"/>
    <w:rsid w:val="00284B35"/>
    <w:rsid w:val="00284B7E"/>
    <w:rsid w:val="00284BB6"/>
    <w:rsid w:val="00284C80"/>
    <w:rsid w:val="00284C8B"/>
    <w:rsid w:val="00284D9D"/>
    <w:rsid w:val="00284E29"/>
    <w:rsid w:val="00284E3A"/>
    <w:rsid w:val="00284E53"/>
    <w:rsid w:val="00284EB4"/>
    <w:rsid w:val="00284FB5"/>
    <w:rsid w:val="00284FCB"/>
    <w:rsid w:val="0028503F"/>
    <w:rsid w:val="00285057"/>
    <w:rsid w:val="0028507E"/>
    <w:rsid w:val="002850D0"/>
    <w:rsid w:val="00285217"/>
    <w:rsid w:val="00285247"/>
    <w:rsid w:val="00285353"/>
    <w:rsid w:val="002853B0"/>
    <w:rsid w:val="002853B9"/>
    <w:rsid w:val="002853CF"/>
    <w:rsid w:val="002853D8"/>
    <w:rsid w:val="0028541D"/>
    <w:rsid w:val="0028545F"/>
    <w:rsid w:val="0028546E"/>
    <w:rsid w:val="00285486"/>
    <w:rsid w:val="002854B8"/>
    <w:rsid w:val="002854C6"/>
    <w:rsid w:val="00285521"/>
    <w:rsid w:val="00285551"/>
    <w:rsid w:val="00285573"/>
    <w:rsid w:val="0028566E"/>
    <w:rsid w:val="00285842"/>
    <w:rsid w:val="00285846"/>
    <w:rsid w:val="002858D2"/>
    <w:rsid w:val="002858E8"/>
    <w:rsid w:val="00285969"/>
    <w:rsid w:val="002859B7"/>
    <w:rsid w:val="002859F0"/>
    <w:rsid w:val="00285A8F"/>
    <w:rsid w:val="00285B56"/>
    <w:rsid w:val="00285C0D"/>
    <w:rsid w:val="00285C6B"/>
    <w:rsid w:val="00285CC6"/>
    <w:rsid w:val="00285E72"/>
    <w:rsid w:val="00285EC9"/>
    <w:rsid w:val="00285F8F"/>
    <w:rsid w:val="00286021"/>
    <w:rsid w:val="002860F2"/>
    <w:rsid w:val="002860F4"/>
    <w:rsid w:val="002861AB"/>
    <w:rsid w:val="002861B5"/>
    <w:rsid w:val="002861CD"/>
    <w:rsid w:val="00286253"/>
    <w:rsid w:val="00286333"/>
    <w:rsid w:val="0028633E"/>
    <w:rsid w:val="0028646D"/>
    <w:rsid w:val="00286537"/>
    <w:rsid w:val="00286589"/>
    <w:rsid w:val="002865BA"/>
    <w:rsid w:val="0028669B"/>
    <w:rsid w:val="002866FB"/>
    <w:rsid w:val="00286703"/>
    <w:rsid w:val="00286774"/>
    <w:rsid w:val="002867DF"/>
    <w:rsid w:val="00286884"/>
    <w:rsid w:val="002868A9"/>
    <w:rsid w:val="002868B7"/>
    <w:rsid w:val="00286924"/>
    <w:rsid w:val="00286947"/>
    <w:rsid w:val="00286A6D"/>
    <w:rsid w:val="00286ACB"/>
    <w:rsid w:val="00286BFF"/>
    <w:rsid w:val="00286C04"/>
    <w:rsid w:val="00286E71"/>
    <w:rsid w:val="00286E7C"/>
    <w:rsid w:val="00286ED2"/>
    <w:rsid w:val="00286EDE"/>
    <w:rsid w:val="00286EF6"/>
    <w:rsid w:val="00286F7A"/>
    <w:rsid w:val="00286F92"/>
    <w:rsid w:val="002871D0"/>
    <w:rsid w:val="0028722D"/>
    <w:rsid w:val="00287484"/>
    <w:rsid w:val="00287493"/>
    <w:rsid w:val="002874B2"/>
    <w:rsid w:val="0028756B"/>
    <w:rsid w:val="00287571"/>
    <w:rsid w:val="00287597"/>
    <w:rsid w:val="002875C2"/>
    <w:rsid w:val="00287637"/>
    <w:rsid w:val="0028763F"/>
    <w:rsid w:val="002876B4"/>
    <w:rsid w:val="002876B5"/>
    <w:rsid w:val="0028775E"/>
    <w:rsid w:val="0028779C"/>
    <w:rsid w:val="002877A5"/>
    <w:rsid w:val="002877E8"/>
    <w:rsid w:val="002878D7"/>
    <w:rsid w:val="002878E9"/>
    <w:rsid w:val="00287987"/>
    <w:rsid w:val="002879AA"/>
    <w:rsid w:val="00287A2A"/>
    <w:rsid w:val="00287A50"/>
    <w:rsid w:val="00287A67"/>
    <w:rsid w:val="00287B47"/>
    <w:rsid w:val="00287D1C"/>
    <w:rsid w:val="00287D31"/>
    <w:rsid w:val="00287D6E"/>
    <w:rsid w:val="00287DB8"/>
    <w:rsid w:val="00287E93"/>
    <w:rsid w:val="00287EC2"/>
    <w:rsid w:val="00287F13"/>
    <w:rsid w:val="00287F57"/>
    <w:rsid w:val="00287FFC"/>
    <w:rsid w:val="002900A0"/>
    <w:rsid w:val="002900D7"/>
    <w:rsid w:val="0029012E"/>
    <w:rsid w:val="00290208"/>
    <w:rsid w:val="002902D0"/>
    <w:rsid w:val="002902F6"/>
    <w:rsid w:val="00290374"/>
    <w:rsid w:val="0029039C"/>
    <w:rsid w:val="002903B3"/>
    <w:rsid w:val="00290417"/>
    <w:rsid w:val="00290475"/>
    <w:rsid w:val="0029059B"/>
    <w:rsid w:val="00290687"/>
    <w:rsid w:val="00290693"/>
    <w:rsid w:val="002907B8"/>
    <w:rsid w:val="002907F9"/>
    <w:rsid w:val="002908F7"/>
    <w:rsid w:val="0029094B"/>
    <w:rsid w:val="00290952"/>
    <w:rsid w:val="00290A06"/>
    <w:rsid w:val="00290B03"/>
    <w:rsid w:val="00290CA6"/>
    <w:rsid w:val="00290D2B"/>
    <w:rsid w:val="00290D2F"/>
    <w:rsid w:val="00290DA9"/>
    <w:rsid w:val="00290DAB"/>
    <w:rsid w:val="00290DB4"/>
    <w:rsid w:val="00290DF0"/>
    <w:rsid w:val="00290E03"/>
    <w:rsid w:val="00290E35"/>
    <w:rsid w:val="00290F25"/>
    <w:rsid w:val="00290FBE"/>
    <w:rsid w:val="00290FFA"/>
    <w:rsid w:val="00291095"/>
    <w:rsid w:val="002910E0"/>
    <w:rsid w:val="002912AD"/>
    <w:rsid w:val="0029135A"/>
    <w:rsid w:val="0029141B"/>
    <w:rsid w:val="0029147E"/>
    <w:rsid w:val="00291497"/>
    <w:rsid w:val="002914C7"/>
    <w:rsid w:val="002914E8"/>
    <w:rsid w:val="002915A6"/>
    <w:rsid w:val="002915A9"/>
    <w:rsid w:val="002915FD"/>
    <w:rsid w:val="00291617"/>
    <w:rsid w:val="00291684"/>
    <w:rsid w:val="002917A9"/>
    <w:rsid w:val="002917D0"/>
    <w:rsid w:val="002917D5"/>
    <w:rsid w:val="002917DD"/>
    <w:rsid w:val="00291914"/>
    <w:rsid w:val="002919E2"/>
    <w:rsid w:val="00291C53"/>
    <w:rsid w:val="00291CC1"/>
    <w:rsid w:val="00291D4B"/>
    <w:rsid w:val="00291D7D"/>
    <w:rsid w:val="00291DE6"/>
    <w:rsid w:val="00291E3A"/>
    <w:rsid w:val="00291F26"/>
    <w:rsid w:val="0029202C"/>
    <w:rsid w:val="00292065"/>
    <w:rsid w:val="0029207D"/>
    <w:rsid w:val="002920CD"/>
    <w:rsid w:val="002920FA"/>
    <w:rsid w:val="002920FF"/>
    <w:rsid w:val="00292119"/>
    <w:rsid w:val="00292168"/>
    <w:rsid w:val="00292271"/>
    <w:rsid w:val="0029229F"/>
    <w:rsid w:val="002922B7"/>
    <w:rsid w:val="002923EE"/>
    <w:rsid w:val="00292409"/>
    <w:rsid w:val="00292431"/>
    <w:rsid w:val="00292477"/>
    <w:rsid w:val="0029247F"/>
    <w:rsid w:val="002925D1"/>
    <w:rsid w:val="002925F5"/>
    <w:rsid w:val="00292708"/>
    <w:rsid w:val="002927B5"/>
    <w:rsid w:val="002927CA"/>
    <w:rsid w:val="00292882"/>
    <w:rsid w:val="0029290C"/>
    <w:rsid w:val="00292966"/>
    <w:rsid w:val="00292A73"/>
    <w:rsid w:val="00292B10"/>
    <w:rsid w:val="00292B33"/>
    <w:rsid w:val="00292B90"/>
    <w:rsid w:val="00292CBA"/>
    <w:rsid w:val="00292CF7"/>
    <w:rsid w:val="00292DB7"/>
    <w:rsid w:val="00292EC3"/>
    <w:rsid w:val="00292FA2"/>
    <w:rsid w:val="00293004"/>
    <w:rsid w:val="00293023"/>
    <w:rsid w:val="0029308A"/>
    <w:rsid w:val="002930D3"/>
    <w:rsid w:val="00293316"/>
    <w:rsid w:val="00293380"/>
    <w:rsid w:val="0029340E"/>
    <w:rsid w:val="00293449"/>
    <w:rsid w:val="0029354C"/>
    <w:rsid w:val="002935DB"/>
    <w:rsid w:val="002935DD"/>
    <w:rsid w:val="002935E0"/>
    <w:rsid w:val="002935ED"/>
    <w:rsid w:val="0029371E"/>
    <w:rsid w:val="002937AE"/>
    <w:rsid w:val="002937D0"/>
    <w:rsid w:val="002939DA"/>
    <w:rsid w:val="00293A53"/>
    <w:rsid w:val="00293AEF"/>
    <w:rsid w:val="00293AFF"/>
    <w:rsid w:val="00293B55"/>
    <w:rsid w:val="00293B8A"/>
    <w:rsid w:val="00293BC5"/>
    <w:rsid w:val="00293BEF"/>
    <w:rsid w:val="00293CE0"/>
    <w:rsid w:val="00293DEB"/>
    <w:rsid w:val="00293DF5"/>
    <w:rsid w:val="00293EA9"/>
    <w:rsid w:val="00293F16"/>
    <w:rsid w:val="00293F2E"/>
    <w:rsid w:val="00293FA1"/>
    <w:rsid w:val="00293FCE"/>
    <w:rsid w:val="0029403A"/>
    <w:rsid w:val="0029407F"/>
    <w:rsid w:val="002940FC"/>
    <w:rsid w:val="00294130"/>
    <w:rsid w:val="00294149"/>
    <w:rsid w:val="00294297"/>
    <w:rsid w:val="002942B7"/>
    <w:rsid w:val="0029435E"/>
    <w:rsid w:val="00294369"/>
    <w:rsid w:val="0029438E"/>
    <w:rsid w:val="002943A7"/>
    <w:rsid w:val="002943D4"/>
    <w:rsid w:val="002944C7"/>
    <w:rsid w:val="00294526"/>
    <w:rsid w:val="0029455E"/>
    <w:rsid w:val="00294565"/>
    <w:rsid w:val="0029457D"/>
    <w:rsid w:val="002945C9"/>
    <w:rsid w:val="002945FB"/>
    <w:rsid w:val="00294634"/>
    <w:rsid w:val="00294683"/>
    <w:rsid w:val="002946A3"/>
    <w:rsid w:val="00294799"/>
    <w:rsid w:val="00294826"/>
    <w:rsid w:val="002948B4"/>
    <w:rsid w:val="002948CF"/>
    <w:rsid w:val="00294906"/>
    <w:rsid w:val="0029492E"/>
    <w:rsid w:val="0029494F"/>
    <w:rsid w:val="00294967"/>
    <w:rsid w:val="00294978"/>
    <w:rsid w:val="0029499E"/>
    <w:rsid w:val="002949C1"/>
    <w:rsid w:val="002949C2"/>
    <w:rsid w:val="00294B84"/>
    <w:rsid w:val="00294C13"/>
    <w:rsid w:val="00294D5C"/>
    <w:rsid w:val="00294D84"/>
    <w:rsid w:val="00294DAA"/>
    <w:rsid w:val="00294DB3"/>
    <w:rsid w:val="00294FC2"/>
    <w:rsid w:val="0029502B"/>
    <w:rsid w:val="0029504F"/>
    <w:rsid w:val="00295171"/>
    <w:rsid w:val="002951FC"/>
    <w:rsid w:val="0029530D"/>
    <w:rsid w:val="00295354"/>
    <w:rsid w:val="002953FF"/>
    <w:rsid w:val="00295489"/>
    <w:rsid w:val="002954C8"/>
    <w:rsid w:val="002954C9"/>
    <w:rsid w:val="0029556C"/>
    <w:rsid w:val="00295590"/>
    <w:rsid w:val="002956E9"/>
    <w:rsid w:val="0029572B"/>
    <w:rsid w:val="0029575D"/>
    <w:rsid w:val="00295775"/>
    <w:rsid w:val="00295878"/>
    <w:rsid w:val="00295938"/>
    <w:rsid w:val="002959A1"/>
    <w:rsid w:val="00295A31"/>
    <w:rsid w:val="00295A41"/>
    <w:rsid w:val="00295A58"/>
    <w:rsid w:val="00295ACB"/>
    <w:rsid w:val="00295B30"/>
    <w:rsid w:val="00295BA6"/>
    <w:rsid w:val="00295BC7"/>
    <w:rsid w:val="00295BE6"/>
    <w:rsid w:val="00295C1F"/>
    <w:rsid w:val="00295C5A"/>
    <w:rsid w:val="00295C90"/>
    <w:rsid w:val="00295D3D"/>
    <w:rsid w:val="00295ED4"/>
    <w:rsid w:val="00295EFA"/>
    <w:rsid w:val="00295F32"/>
    <w:rsid w:val="00295F9C"/>
    <w:rsid w:val="00295FA9"/>
    <w:rsid w:val="00295FBF"/>
    <w:rsid w:val="00295FD1"/>
    <w:rsid w:val="00295FE5"/>
    <w:rsid w:val="002960AC"/>
    <w:rsid w:val="00296156"/>
    <w:rsid w:val="00296161"/>
    <w:rsid w:val="00296197"/>
    <w:rsid w:val="00296234"/>
    <w:rsid w:val="00296293"/>
    <w:rsid w:val="00296353"/>
    <w:rsid w:val="002963B4"/>
    <w:rsid w:val="00296491"/>
    <w:rsid w:val="002964AD"/>
    <w:rsid w:val="002964E7"/>
    <w:rsid w:val="002965A3"/>
    <w:rsid w:val="00296663"/>
    <w:rsid w:val="00296697"/>
    <w:rsid w:val="002966BA"/>
    <w:rsid w:val="002966D6"/>
    <w:rsid w:val="00296744"/>
    <w:rsid w:val="002968B6"/>
    <w:rsid w:val="00296904"/>
    <w:rsid w:val="0029699E"/>
    <w:rsid w:val="00296A32"/>
    <w:rsid w:val="00296A41"/>
    <w:rsid w:val="00296A54"/>
    <w:rsid w:val="00296B1E"/>
    <w:rsid w:val="00296BA2"/>
    <w:rsid w:val="00296BB1"/>
    <w:rsid w:val="00296BF1"/>
    <w:rsid w:val="00296C38"/>
    <w:rsid w:val="00296C62"/>
    <w:rsid w:val="00296C76"/>
    <w:rsid w:val="00296D0A"/>
    <w:rsid w:val="00296D48"/>
    <w:rsid w:val="00296DE5"/>
    <w:rsid w:val="00296F66"/>
    <w:rsid w:val="00296FB4"/>
    <w:rsid w:val="00296FEE"/>
    <w:rsid w:val="00297009"/>
    <w:rsid w:val="0029718B"/>
    <w:rsid w:val="00297211"/>
    <w:rsid w:val="00297254"/>
    <w:rsid w:val="0029728D"/>
    <w:rsid w:val="002972B4"/>
    <w:rsid w:val="002972C0"/>
    <w:rsid w:val="002972C2"/>
    <w:rsid w:val="00297323"/>
    <w:rsid w:val="00297328"/>
    <w:rsid w:val="002973F3"/>
    <w:rsid w:val="002973FB"/>
    <w:rsid w:val="0029749A"/>
    <w:rsid w:val="002974A4"/>
    <w:rsid w:val="002974AF"/>
    <w:rsid w:val="002974B2"/>
    <w:rsid w:val="002975DB"/>
    <w:rsid w:val="002975F5"/>
    <w:rsid w:val="00297612"/>
    <w:rsid w:val="00297683"/>
    <w:rsid w:val="002977A8"/>
    <w:rsid w:val="0029788F"/>
    <w:rsid w:val="0029790D"/>
    <w:rsid w:val="00297935"/>
    <w:rsid w:val="00297A39"/>
    <w:rsid w:val="00297A7C"/>
    <w:rsid w:val="00297B1F"/>
    <w:rsid w:val="00297B44"/>
    <w:rsid w:val="00297C4F"/>
    <w:rsid w:val="00297C70"/>
    <w:rsid w:val="00297DAD"/>
    <w:rsid w:val="00297E39"/>
    <w:rsid w:val="00297E3B"/>
    <w:rsid w:val="00297F91"/>
    <w:rsid w:val="002A0008"/>
    <w:rsid w:val="002A0034"/>
    <w:rsid w:val="002A003E"/>
    <w:rsid w:val="002A0114"/>
    <w:rsid w:val="002A0145"/>
    <w:rsid w:val="002A01C3"/>
    <w:rsid w:val="002A0236"/>
    <w:rsid w:val="002A02A9"/>
    <w:rsid w:val="002A032C"/>
    <w:rsid w:val="002A03E2"/>
    <w:rsid w:val="002A0405"/>
    <w:rsid w:val="002A0573"/>
    <w:rsid w:val="002A0612"/>
    <w:rsid w:val="002A064E"/>
    <w:rsid w:val="002A0750"/>
    <w:rsid w:val="002A079B"/>
    <w:rsid w:val="002A07AC"/>
    <w:rsid w:val="002A0827"/>
    <w:rsid w:val="002A0848"/>
    <w:rsid w:val="002A0951"/>
    <w:rsid w:val="002A09CF"/>
    <w:rsid w:val="002A0ACE"/>
    <w:rsid w:val="002A0AF0"/>
    <w:rsid w:val="002A0B1A"/>
    <w:rsid w:val="002A0BB7"/>
    <w:rsid w:val="002A0C46"/>
    <w:rsid w:val="002A0C9E"/>
    <w:rsid w:val="002A0CF9"/>
    <w:rsid w:val="002A0D9F"/>
    <w:rsid w:val="002A0E6F"/>
    <w:rsid w:val="002A0F2C"/>
    <w:rsid w:val="002A0F47"/>
    <w:rsid w:val="002A10A9"/>
    <w:rsid w:val="002A10D2"/>
    <w:rsid w:val="002A1247"/>
    <w:rsid w:val="002A13BC"/>
    <w:rsid w:val="002A1494"/>
    <w:rsid w:val="002A14FD"/>
    <w:rsid w:val="002A15C6"/>
    <w:rsid w:val="002A15EB"/>
    <w:rsid w:val="002A1644"/>
    <w:rsid w:val="002A1653"/>
    <w:rsid w:val="002A16D7"/>
    <w:rsid w:val="002A177E"/>
    <w:rsid w:val="002A180D"/>
    <w:rsid w:val="002A193E"/>
    <w:rsid w:val="002A1994"/>
    <w:rsid w:val="002A1A39"/>
    <w:rsid w:val="002A1A7D"/>
    <w:rsid w:val="002A1A9D"/>
    <w:rsid w:val="002A1AB4"/>
    <w:rsid w:val="002A1ABE"/>
    <w:rsid w:val="002A1C06"/>
    <w:rsid w:val="002A1C67"/>
    <w:rsid w:val="002A1D7C"/>
    <w:rsid w:val="002A1DE9"/>
    <w:rsid w:val="002A1E34"/>
    <w:rsid w:val="002A1E3D"/>
    <w:rsid w:val="002A1EEB"/>
    <w:rsid w:val="002A2131"/>
    <w:rsid w:val="002A2168"/>
    <w:rsid w:val="002A2196"/>
    <w:rsid w:val="002A21B2"/>
    <w:rsid w:val="002A21E6"/>
    <w:rsid w:val="002A222C"/>
    <w:rsid w:val="002A22B1"/>
    <w:rsid w:val="002A22DA"/>
    <w:rsid w:val="002A23D0"/>
    <w:rsid w:val="002A2414"/>
    <w:rsid w:val="002A2474"/>
    <w:rsid w:val="002A258E"/>
    <w:rsid w:val="002A25B8"/>
    <w:rsid w:val="002A2607"/>
    <w:rsid w:val="002A274C"/>
    <w:rsid w:val="002A274F"/>
    <w:rsid w:val="002A2886"/>
    <w:rsid w:val="002A28F4"/>
    <w:rsid w:val="002A29B5"/>
    <w:rsid w:val="002A29DA"/>
    <w:rsid w:val="002A2B49"/>
    <w:rsid w:val="002A2B80"/>
    <w:rsid w:val="002A2B98"/>
    <w:rsid w:val="002A2BAE"/>
    <w:rsid w:val="002A2C38"/>
    <w:rsid w:val="002A2C3E"/>
    <w:rsid w:val="002A2D22"/>
    <w:rsid w:val="002A2D2C"/>
    <w:rsid w:val="002A2D8E"/>
    <w:rsid w:val="002A2DE5"/>
    <w:rsid w:val="002A2E0A"/>
    <w:rsid w:val="002A2E31"/>
    <w:rsid w:val="002A2FFE"/>
    <w:rsid w:val="002A3094"/>
    <w:rsid w:val="002A3098"/>
    <w:rsid w:val="002A30EB"/>
    <w:rsid w:val="002A3113"/>
    <w:rsid w:val="002A31CB"/>
    <w:rsid w:val="002A3212"/>
    <w:rsid w:val="002A329A"/>
    <w:rsid w:val="002A33A6"/>
    <w:rsid w:val="002A33DB"/>
    <w:rsid w:val="002A3429"/>
    <w:rsid w:val="002A3452"/>
    <w:rsid w:val="002A34C2"/>
    <w:rsid w:val="002A359C"/>
    <w:rsid w:val="002A35AA"/>
    <w:rsid w:val="002A35FD"/>
    <w:rsid w:val="002A3639"/>
    <w:rsid w:val="002A3643"/>
    <w:rsid w:val="002A3756"/>
    <w:rsid w:val="002A381D"/>
    <w:rsid w:val="002A3867"/>
    <w:rsid w:val="002A3949"/>
    <w:rsid w:val="002A3A35"/>
    <w:rsid w:val="002A3AFF"/>
    <w:rsid w:val="002A3B45"/>
    <w:rsid w:val="002A3BDD"/>
    <w:rsid w:val="002A3CCA"/>
    <w:rsid w:val="002A3D53"/>
    <w:rsid w:val="002A3D5D"/>
    <w:rsid w:val="002A3DD2"/>
    <w:rsid w:val="002A3E78"/>
    <w:rsid w:val="002A3F11"/>
    <w:rsid w:val="002A3F13"/>
    <w:rsid w:val="002A3F4D"/>
    <w:rsid w:val="002A3FCF"/>
    <w:rsid w:val="002A4008"/>
    <w:rsid w:val="002A405A"/>
    <w:rsid w:val="002A40A0"/>
    <w:rsid w:val="002A4111"/>
    <w:rsid w:val="002A4142"/>
    <w:rsid w:val="002A41F2"/>
    <w:rsid w:val="002A41FA"/>
    <w:rsid w:val="002A435F"/>
    <w:rsid w:val="002A4442"/>
    <w:rsid w:val="002A44C0"/>
    <w:rsid w:val="002A44C7"/>
    <w:rsid w:val="002A44DA"/>
    <w:rsid w:val="002A4516"/>
    <w:rsid w:val="002A4566"/>
    <w:rsid w:val="002A45F5"/>
    <w:rsid w:val="002A461F"/>
    <w:rsid w:val="002A4667"/>
    <w:rsid w:val="002A4743"/>
    <w:rsid w:val="002A475A"/>
    <w:rsid w:val="002A4795"/>
    <w:rsid w:val="002A47B1"/>
    <w:rsid w:val="002A47E1"/>
    <w:rsid w:val="002A4804"/>
    <w:rsid w:val="002A4807"/>
    <w:rsid w:val="002A4857"/>
    <w:rsid w:val="002A4871"/>
    <w:rsid w:val="002A48DB"/>
    <w:rsid w:val="002A48E6"/>
    <w:rsid w:val="002A48FE"/>
    <w:rsid w:val="002A493C"/>
    <w:rsid w:val="002A49E4"/>
    <w:rsid w:val="002A4A0A"/>
    <w:rsid w:val="002A4A34"/>
    <w:rsid w:val="002A4ABB"/>
    <w:rsid w:val="002A4B92"/>
    <w:rsid w:val="002A4BC5"/>
    <w:rsid w:val="002A4CB1"/>
    <w:rsid w:val="002A4D54"/>
    <w:rsid w:val="002A4DB1"/>
    <w:rsid w:val="002A4E2E"/>
    <w:rsid w:val="002A4F3A"/>
    <w:rsid w:val="002A5039"/>
    <w:rsid w:val="002A506C"/>
    <w:rsid w:val="002A50D0"/>
    <w:rsid w:val="002A5286"/>
    <w:rsid w:val="002A52C1"/>
    <w:rsid w:val="002A52F8"/>
    <w:rsid w:val="002A5386"/>
    <w:rsid w:val="002A53B2"/>
    <w:rsid w:val="002A5483"/>
    <w:rsid w:val="002A54B1"/>
    <w:rsid w:val="002A54EB"/>
    <w:rsid w:val="002A5576"/>
    <w:rsid w:val="002A562A"/>
    <w:rsid w:val="002A5642"/>
    <w:rsid w:val="002A576C"/>
    <w:rsid w:val="002A57FA"/>
    <w:rsid w:val="002A5840"/>
    <w:rsid w:val="002A5845"/>
    <w:rsid w:val="002A589C"/>
    <w:rsid w:val="002A58D3"/>
    <w:rsid w:val="002A58FC"/>
    <w:rsid w:val="002A593D"/>
    <w:rsid w:val="002A5A8B"/>
    <w:rsid w:val="002A5AC4"/>
    <w:rsid w:val="002A5B19"/>
    <w:rsid w:val="002A5B49"/>
    <w:rsid w:val="002A5DCA"/>
    <w:rsid w:val="002A5E71"/>
    <w:rsid w:val="002A5F12"/>
    <w:rsid w:val="002A5FBE"/>
    <w:rsid w:val="002A6187"/>
    <w:rsid w:val="002A6200"/>
    <w:rsid w:val="002A6380"/>
    <w:rsid w:val="002A6390"/>
    <w:rsid w:val="002A640C"/>
    <w:rsid w:val="002A64BF"/>
    <w:rsid w:val="002A64F3"/>
    <w:rsid w:val="002A657F"/>
    <w:rsid w:val="002A666A"/>
    <w:rsid w:val="002A66A4"/>
    <w:rsid w:val="002A6747"/>
    <w:rsid w:val="002A67D8"/>
    <w:rsid w:val="002A687F"/>
    <w:rsid w:val="002A68C9"/>
    <w:rsid w:val="002A68DF"/>
    <w:rsid w:val="002A68E5"/>
    <w:rsid w:val="002A6933"/>
    <w:rsid w:val="002A695B"/>
    <w:rsid w:val="002A6C56"/>
    <w:rsid w:val="002A6C5C"/>
    <w:rsid w:val="002A6D52"/>
    <w:rsid w:val="002A6D5E"/>
    <w:rsid w:val="002A6E4E"/>
    <w:rsid w:val="002A6E8E"/>
    <w:rsid w:val="002A6F2A"/>
    <w:rsid w:val="002A6FB6"/>
    <w:rsid w:val="002A7026"/>
    <w:rsid w:val="002A7081"/>
    <w:rsid w:val="002A71E6"/>
    <w:rsid w:val="002A7302"/>
    <w:rsid w:val="002A7343"/>
    <w:rsid w:val="002A73D7"/>
    <w:rsid w:val="002A7434"/>
    <w:rsid w:val="002A74A6"/>
    <w:rsid w:val="002A74EF"/>
    <w:rsid w:val="002A75CE"/>
    <w:rsid w:val="002A761A"/>
    <w:rsid w:val="002A7638"/>
    <w:rsid w:val="002A76BE"/>
    <w:rsid w:val="002A7705"/>
    <w:rsid w:val="002A77B7"/>
    <w:rsid w:val="002A7882"/>
    <w:rsid w:val="002A7950"/>
    <w:rsid w:val="002A7957"/>
    <w:rsid w:val="002A7A31"/>
    <w:rsid w:val="002A7A7B"/>
    <w:rsid w:val="002A7AB7"/>
    <w:rsid w:val="002A7AD3"/>
    <w:rsid w:val="002A7ADB"/>
    <w:rsid w:val="002A7B40"/>
    <w:rsid w:val="002A7B99"/>
    <w:rsid w:val="002A7BC5"/>
    <w:rsid w:val="002A7BF5"/>
    <w:rsid w:val="002A7C0B"/>
    <w:rsid w:val="002A7C11"/>
    <w:rsid w:val="002A7C27"/>
    <w:rsid w:val="002A7C4E"/>
    <w:rsid w:val="002A7C98"/>
    <w:rsid w:val="002A7CC1"/>
    <w:rsid w:val="002A7DD2"/>
    <w:rsid w:val="002A7E08"/>
    <w:rsid w:val="002A7E3D"/>
    <w:rsid w:val="002A7EE4"/>
    <w:rsid w:val="002A7F4F"/>
    <w:rsid w:val="002B0176"/>
    <w:rsid w:val="002B01D4"/>
    <w:rsid w:val="002B023B"/>
    <w:rsid w:val="002B02DD"/>
    <w:rsid w:val="002B030B"/>
    <w:rsid w:val="002B04B7"/>
    <w:rsid w:val="002B04FE"/>
    <w:rsid w:val="002B0519"/>
    <w:rsid w:val="002B05DE"/>
    <w:rsid w:val="002B0666"/>
    <w:rsid w:val="002B067A"/>
    <w:rsid w:val="002B06BA"/>
    <w:rsid w:val="002B0741"/>
    <w:rsid w:val="002B077D"/>
    <w:rsid w:val="002B07B7"/>
    <w:rsid w:val="002B094E"/>
    <w:rsid w:val="002B0980"/>
    <w:rsid w:val="002B09DF"/>
    <w:rsid w:val="002B09EA"/>
    <w:rsid w:val="002B09FC"/>
    <w:rsid w:val="002B0ACF"/>
    <w:rsid w:val="002B0AE0"/>
    <w:rsid w:val="002B0B25"/>
    <w:rsid w:val="002B0BD9"/>
    <w:rsid w:val="002B0C29"/>
    <w:rsid w:val="002B0D1D"/>
    <w:rsid w:val="002B0D46"/>
    <w:rsid w:val="002B0D5D"/>
    <w:rsid w:val="002B0D61"/>
    <w:rsid w:val="002B0D71"/>
    <w:rsid w:val="002B0DF4"/>
    <w:rsid w:val="002B0EFD"/>
    <w:rsid w:val="002B0F18"/>
    <w:rsid w:val="002B0F21"/>
    <w:rsid w:val="002B0F9C"/>
    <w:rsid w:val="002B1008"/>
    <w:rsid w:val="002B10A4"/>
    <w:rsid w:val="002B10D6"/>
    <w:rsid w:val="002B10DA"/>
    <w:rsid w:val="002B1152"/>
    <w:rsid w:val="002B1198"/>
    <w:rsid w:val="002B11D0"/>
    <w:rsid w:val="002B1208"/>
    <w:rsid w:val="002B1325"/>
    <w:rsid w:val="002B14B6"/>
    <w:rsid w:val="002B14ED"/>
    <w:rsid w:val="002B1522"/>
    <w:rsid w:val="002B152E"/>
    <w:rsid w:val="002B156C"/>
    <w:rsid w:val="002B1598"/>
    <w:rsid w:val="002B162D"/>
    <w:rsid w:val="002B16E5"/>
    <w:rsid w:val="002B18AC"/>
    <w:rsid w:val="002B18DB"/>
    <w:rsid w:val="002B18EB"/>
    <w:rsid w:val="002B1A0A"/>
    <w:rsid w:val="002B1B2A"/>
    <w:rsid w:val="002B1B48"/>
    <w:rsid w:val="002B1BB1"/>
    <w:rsid w:val="002B1BCF"/>
    <w:rsid w:val="002B1C56"/>
    <w:rsid w:val="002B1C75"/>
    <w:rsid w:val="002B1D67"/>
    <w:rsid w:val="002B1D6E"/>
    <w:rsid w:val="002B1EC8"/>
    <w:rsid w:val="002B1FDF"/>
    <w:rsid w:val="002B2074"/>
    <w:rsid w:val="002B20EE"/>
    <w:rsid w:val="002B21F5"/>
    <w:rsid w:val="002B22AD"/>
    <w:rsid w:val="002B23A4"/>
    <w:rsid w:val="002B23D4"/>
    <w:rsid w:val="002B23E8"/>
    <w:rsid w:val="002B23F4"/>
    <w:rsid w:val="002B23FF"/>
    <w:rsid w:val="002B252D"/>
    <w:rsid w:val="002B2538"/>
    <w:rsid w:val="002B2572"/>
    <w:rsid w:val="002B25D4"/>
    <w:rsid w:val="002B2727"/>
    <w:rsid w:val="002B2758"/>
    <w:rsid w:val="002B2794"/>
    <w:rsid w:val="002B291E"/>
    <w:rsid w:val="002B2977"/>
    <w:rsid w:val="002B29C8"/>
    <w:rsid w:val="002B2B0B"/>
    <w:rsid w:val="002B2C63"/>
    <w:rsid w:val="002B2D01"/>
    <w:rsid w:val="002B2DD9"/>
    <w:rsid w:val="002B2E73"/>
    <w:rsid w:val="002B2EF6"/>
    <w:rsid w:val="002B2F1F"/>
    <w:rsid w:val="002B2FDA"/>
    <w:rsid w:val="002B30BC"/>
    <w:rsid w:val="002B30C8"/>
    <w:rsid w:val="002B30D2"/>
    <w:rsid w:val="002B3179"/>
    <w:rsid w:val="002B3216"/>
    <w:rsid w:val="002B32B4"/>
    <w:rsid w:val="002B32E2"/>
    <w:rsid w:val="002B3369"/>
    <w:rsid w:val="002B3396"/>
    <w:rsid w:val="002B33A6"/>
    <w:rsid w:val="002B3414"/>
    <w:rsid w:val="002B3436"/>
    <w:rsid w:val="002B3474"/>
    <w:rsid w:val="002B34E4"/>
    <w:rsid w:val="002B3589"/>
    <w:rsid w:val="002B3660"/>
    <w:rsid w:val="002B3677"/>
    <w:rsid w:val="002B36A6"/>
    <w:rsid w:val="002B3702"/>
    <w:rsid w:val="002B376C"/>
    <w:rsid w:val="002B378D"/>
    <w:rsid w:val="002B37B2"/>
    <w:rsid w:val="002B3819"/>
    <w:rsid w:val="002B3829"/>
    <w:rsid w:val="002B3850"/>
    <w:rsid w:val="002B386E"/>
    <w:rsid w:val="002B3928"/>
    <w:rsid w:val="002B396A"/>
    <w:rsid w:val="002B39E1"/>
    <w:rsid w:val="002B3A11"/>
    <w:rsid w:val="002B3AE7"/>
    <w:rsid w:val="002B3B25"/>
    <w:rsid w:val="002B3B9B"/>
    <w:rsid w:val="002B3BB6"/>
    <w:rsid w:val="002B3BF4"/>
    <w:rsid w:val="002B3CCA"/>
    <w:rsid w:val="002B3CF4"/>
    <w:rsid w:val="002B3D04"/>
    <w:rsid w:val="002B3D13"/>
    <w:rsid w:val="002B3DF4"/>
    <w:rsid w:val="002B3E55"/>
    <w:rsid w:val="002B3EB6"/>
    <w:rsid w:val="002B3FC0"/>
    <w:rsid w:val="002B404D"/>
    <w:rsid w:val="002B407F"/>
    <w:rsid w:val="002B416B"/>
    <w:rsid w:val="002B416E"/>
    <w:rsid w:val="002B421C"/>
    <w:rsid w:val="002B42DC"/>
    <w:rsid w:val="002B42FB"/>
    <w:rsid w:val="002B44F8"/>
    <w:rsid w:val="002B4560"/>
    <w:rsid w:val="002B4596"/>
    <w:rsid w:val="002B45A6"/>
    <w:rsid w:val="002B45B3"/>
    <w:rsid w:val="002B471E"/>
    <w:rsid w:val="002B47B4"/>
    <w:rsid w:val="002B481F"/>
    <w:rsid w:val="002B4828"/>
    <w:rsid w:val="002B484C"/>
    <w:rsid w:val="002B4871"/>
    <w:rsid w:val="002B48FE"/>
    <w:rsid w:val="002B4911"/>
    <w:rsid w:val="002B4952"/>
    <w:rsid w:val="002B49AE"/>
    <w:rsid w:val="002B4A0A"/>
    <w:rsid w:val="002B4A31"/>
    <w:rsid w:val="002B4AF8"/>
    <w:rsid w:val="002B4BAA"/>
    <w:rsid w:val="002B4CCB"/>
    <w:rsid w:val="002B4D40"/>
    <w:rsid w:val="002B4D41"/>
    <w:rsid w:val="002B4D5B"/>
    <w:rsid w:val="002B4D5D"/>
    <w:rsid w:val="002B4FA9"/>
    <w:rsid w:val="002B4FF7"/>
    <w:rsid w:val="002B50A3"/>
    <w:rsid w:val="002B50C4"/>
    <w:rsid w:val="002B51CD"/>
    <w:rsid w:val="002B5252"/>
    <w:rsid w:val="002B5279"/>
    <w:rsid w:val="002B5350"/>
    <w:rsid w:val="002B557B"/>
    <w:rsid w:val="002B563E"/>
    <w:rsid w:val="002B5706"/>
    <w:rsid w:val="002B582F"/>
    <w:rsid w:val="002B5A79"/>
    <w:rsid w:val="002B5B20"/>
    <w:rsid w:val="002B5B9D"/>
    <w:rsid w:val="002B5BF1"/>
    <w:rsid w:val="002B5C4F"/>
    <w:rsid w:val="002B5C58"/>
    <w:rsid w:val="002B5C94"/>
    <w:rsid w:val="002B5CCB"/>
    <w:rsid w:val="002B5CE3"/>
    <w:rsid w:val="002B5CF0"/>
    <w:rsid w:val="002B5D9A"/>
    <w:rsid w:val="002B5F37"/>
    <w:rsid w:val="002B5FB7"/>
    <w:rsid w:val="002B6052"/>
    <w:rsid w:val="002B6131"/>
    <w:rsid w:val="002B613A"/>
    <w:rsid w:val="002B61C9"/>
    <w:rsid w:val="002B622A"/>
    <w:rsid w:val="002B6354"/>
    <w:rsid w:val="002B63C6"/>
    <w:rsid w:val="002B63D7"/>
    <w:rsid w:val="002B6407"/>
    <w:rsid w:val="002B6451"/>
    <w:rsid w:val="002B6452"/>
    <w:rsid w:val="002B6489"/>
    <w:rsid w:val="002B6634"/>
    <w:rsid w:val="002B66ED"/>
    <w:rsid w:val="002B67A1"/>
    <w:rsid w:val="002B6880"/>
    <w:rsid w:val="002B68A7"/>
    <w:rsid w:val="002B691B"/>
    <w:rsid w:val="002B6933"/>
    <w:rsid w:val="002B6AB8"/>
    <w:rsid w:val="002B6ABF"/>
    <w:rsid w:val="002B6B0E"/>
    <w:rsid w:val="002B6BDF"/>
    <w:rsid w:val="002B6C7E"/>
    <w:rsid w:val="002B6DE3"/>
    <w:rsid w:val="002B6DE9"/>
    <w:rsid w:val="002B6ECD"/>
    <w:rsid w:val="002B6FA5"/>
    <w:rsid w:val="002B7015"/>
    <w:rsid w:val="002B707B"/>
    <w:rsid w:val="002B7131"/>
    <w:rsid w:val="002B7143"/>
    <w:rsid w:val="002B727C"/>
    <w:rsid w:val="002B738D"/>
    <w:rsid w:val="002B747E"/>
    <w:rsid w:val="002B751E"/>
    <w:rsid w:val="002B7528"/>
    <w:rsid w:val="002B757F"/>
    <w:rsid w:val="002B7667"/>
    <w:rsid w:val="002B76FC"/>
    <w:rsid w:val="002B77FD"/>
    <w:rsid w:val="002B793E"/>
    <w:rsid w:val="002B7956"/>
    <w:rsid w:val="002B79D6"/>
    <w:rsid w:val="002B7A29"/>
    <w:rsid w:val="002B7A82"/>
    <w:rsid w:val="002B7AA6"/>
    <w:rsid w:val="002B7ABC"/>
    <w:rsid w:val="002B7B05"/>
    <w:rsid w:val="002B7C23"/>
    <w:rsid w:val="002B7C5B"/>
    <w:rsid w:val="002B7C7E"/>
    <w:rsid w:val="002B7E41"/>
    <w:rsid w:val="002B7E45"/>
    <w:rsid w:val="002B7EAE"/>
    <w:rsid w:val="002B7F91"/>
    <w:rsid w:val="002B7FCA"/>
    <w:rsid w:val="002B7FE5"/>
    <w:rsid w:val="002C0072"/>
    <w:rsid w:val="002C00C1"/>
    <w:rsid w:val="002C01F9"/>
    <w:rsid w:val="002C020F"/>
    <w:rsid w:val="002C0260"/>
    <w:rsid w:val="002C0288"/>
    <w:rsid w:val="002C02A8"/>
    <w:rsid w:val="002C02F9"/>
    <w:rsid w:val="002C0332"/>
    <w:rsid w:val="002C0355"/>
    <w:rsid w:val="002C0390"/>
    <w:rsid w:val="002C039A"/>
    <w:rsid w:val="002C03C6"/>
    <w:rsid w:val="002C03D1"/>
    <w:rsid w:val="002C0443"/>
    <w:rsid w:val="002C046D"/>
    <w:rsid w:val="002C05BF"/>
    <w:rsid w:val="002C0643"/>
    <w:rsid w:val="002C065C"/>
    <w:rsid w:val="002C066B"/>
    <w:rsid w:val="002C07BC"/>
    <w:rsid w:val="002C0870"/>
    <w:rsid w:val="002C0879"/>
    <w:rsid w:val="002C088D"/>
    <w:rsid w:val="002C08CD"/>
    <w:rsid w:val="002C0935"/>
    <w:rsid w:val="002C09CF"/>
    <w:rsid w:val="002C0AD8"/>
    <w:rsid w:val="002C0B0C"/>
    <w:rsid w:val="002C0B9D"/>
    <w:rsid w:val="002C0BC2"/>
    <w:rsid w:val="002C0CBF"/>
    <w:rsid w:val="002C0CC9"/>
    <w:rsid w:val="002C0DAE"/>
    <w:rsid w:val="002C0DF8"/>
    <w:rsid w:val="002C0E33"/>
    <w:rsid w:val="002C0F23"/>
    <w:rsid w:val="002C0FA3"/>
    <w:rsid w:val="002C1020"/>
    <w:rsid w:val="002C127A"/>
    <w:rsid w:val="002C128B"/>
    <w:rsid w:val="002C12DD"/>
    <w:rsid w:val="002C130A"/>
    <w:rsid w:val="002C13B6"/>
    <w:rsid w:val="002C13DC"/>
    <w:rsid w:val="002C16B1"/>
    <w:rsid w:val="002C1807"/>
    <w:rsid w:val="002C19D5"/>
    <w:rsid w:val="002C1ADE"/>
    <w:rsid w:val="002C1B68"/>
    <w:rsid w:val="002C1B81"/>
    <w:rsid w:val="002C1C22"/>
    <w:rsid w:val="002C1C8C"/>
    <w:rsid w:val="002C1D53"/>
    <w:rsid w:val="002C1D94"/>
    <w:rsid w:val="002C1DE1"/>
    <w:rsid w:val="002C1E89"/>
    <w:rsid w:val="002C1EC2"/>
    <w:rsid w:val="002C1ECB"/>
    <w:rsid w:val="002C2000"/>
    <w:rsid w:val="002C2067"/>
    <w:rsid w:val="002C210C"/>
    <w:rsid w:val="002C2129"/>
    <w:rsid w:val="002C2260"/>
    <w:rsid w:val="002C22EF"/>
    <w:rsid w:val="002C2355"/>
    <w:rsid w:val="002C23C1"/>
    <w:rsid w:val="002C23DB"/>
    <w:rsid w:val="002C2440"/>
    <w:rsid w:val="002C244F"/>
    <w:rsid w:val="002C245B"/>
    <w:rsid w:val="002C2496"/>
    <w:rsid w:val="002C24BD"/>
    <w:rsid w:val="002C25F0"/>
    <w:rsid w:val="002C263A"/>
    <w:rsid w:val="002C2643"/>
    <w:rsid w:val="002C2648"/>
    <w:rsid w:val="002C2681"/>
    <w:rsid w:val="002C26C5"/>
    <w:rsid w:val="002C275B"/>
    <w:rsid w:val="002C2760"/>
    <w:rsid w:val="002C292F"/>
    <w:rsid w:val="002C2937"/>
    <w:rsid w:val="002C296D"/>
    <w:rsid w:val="002C2971"/>
    <w:rsid w:val="002C2A5F"/>
    <w:rsid w:val="002C2A69"/>
    <w:rsid w:val="002C2AEC"/>
    <w:rsid w:val="002C2B6C"/>
    <w:rsid w:val="002C2C22"/>
    <w:rsid w:val="002C2C95"/>
    <w:rsid w:val="002C2CA7"/>
    <w:rsid w:val="002C2CE7"/>
    <w:rsid w:val="002C2D0F"/>
    <w:rsid w:val="002C2D33"/>
    <w:rsid w:val="002C2DA7"/>
    <w:rsid w:val="002C2F8A"/>
    <w:rsid w:val="002C3160"/>
    <w:rsid w:val="002C3201"/>
    <w:rsid w:val="002C3246"/>
    <w:rsid w:val="002C32AC"/>
    <w:rsid w:val="002C32EB"/>
    <w:rsid w:val="002C3366"/>
    <w:rsid w:val="002C346B"/>
    <w:rsid w:val="002C34AB"/>
    <w:rsid w:val="002C34B1"/>
    <w:rsid w:val="002C34DC"/>
    <w:rsid w:val="002C3694"/>
    <w:rsid w:val="002C3738"/>
    <w:rsid w:val="002C389C"/>
    <w:rsid w:val="002C38D2"/>
    <w:rsid w:val="002C3924"/>
    <w:rsid w:val="002C39D6"/>
    <w:rsid w:val="002C3AB3"/>
    <w:rsid w:val="002C3ABF"/>
    <w:rsid w:val="002C3B3B"/>
    <w:rsid w:val="002C3B4C"/>
    <w:rsid w:val="002C3BA5"/>
    <w:rsid w:val="002C3BB1"/>
    <w:rsid w:val="002C3C6B"/>
    <w:rsid w:val="002C3C7F"/>
    <w:rsid w:val="002C3D21"/>
    <w:rsid w:val="002C3D48"/>
    <w:rsid w:val="002C3D87"/>
    <w:rsid w:val="002C3D91"/>
    <w:rsid w:val="002C3D95"/>
    <w:rsid w:val="002C3DC8"/>
    <w:rsid w:val="002C3E4D"/>
    <w:rsid w:val="002C3EC5"/>
    <w:rsid w:val="002C3FA4"/>
    <w:rsid w:val="002C407B"/>
    <w:rsid w:val="002C40DE"/>
    <w:rsid w:val="002C421B"/>
    <w:rsid w:val="002C42AA"/>
    <w:rsid w:val="002C42CA"/>
    <w:rsid w:val="002C4334"/>
    <w:rsid w:val="002C433B"/>
    <w:rsid w:val="002C43A0"/>
    <w:rsid w:val="002C43B2"/>
    <w:rsid w:val="002C442C"/>
    <w:rsid w:val="002C443B"/>
    <w:rsid w:val="002C4458"/>
    <w:rsid w:val="002C4475"/>
    <w:rsid w:val="002C457C"/>
    <w:rsid w:val="002C4629"/>
    <w:rsid w:val="002C46C4"/>
    <w:rsid w:val="002C46F2"/>
    <w:rsid w:val="002C472C"/>
    <w:rsid w:val="002C4736"/>
    <w:rsid w:val="002C473C"/>
    <w:rsid w:val="002C4836"/>
    <w:rsid w:val="002C48A7"/>
    <w:rsid w:val="002C48C3"/>
    <w:rsid w:val="002C48D9"/>
    <w:rsid w:val="002C48E4"/>
    <w:rsid w:val="002C4A68"/>
    <w:rsid w:val="002C4ACC"/>
    <w:rsid w:val="002C4B12"/>
    <w:rsid w:val="002C4B83"/>
    <w:rsid w:val="002C4C0A"/>
    <w:rsid w:val="002C4C16"/>
    <w:rsid w:val="002C4D7B"/>
    <w:rsid w:val="002C4DD3"/>
    <w:rsid w:val="002C4EA7"/>
    <w:rsid w:val="002C4F08"/>
    <w:rsid w:val="002C4F0D"/>
    <w:rsid w:val="002C4F32"/>
    <w:rsid w:val="002C4FD8"/>
    <w:rsid w:val="002C505D"/>
    <w:rsid w:val="002C511A"/>
    <w:rsid w:val="002C5159"/>
    <w:rsid w:val="002C5197"/>
    <w:rsid w:val="002C51D5"/>
    <w:rsid w:val="002C51FD"/>
    <w:rsid w:val="002C5298"/>
    <w:rsid w:val="002C5309"/>
    <w:rsid w:val="002C5324"/>
    <w:rsid w:val="002C53C5"/>
    <w:rsid w:val="002C53E6"/>
    <w:rsid w:val="002C540E"/>
    <w:rsid w:val="002C547D"/>
    <w:rsid w:val="002C55A8"/>
    <w:rsid w:val="002C55C0"/>
    <w:rsid w:val="002C55F2"/>
    <w:rsid w:val="002C577A"/>
    <w:rsid w:val="002C57C0"/>
    <w:rsid w:val="002C5828"/>
    <w:rsid w:val="002C58E0"/>
    <w:rsid w:val="002C5A39"/>
    <w:rsid w:val="002C5A86"/>
    <w:rsid w:val="002C5AA5"/>
    <w:rsid w:val="002C5ADC"/>
    <w:rsid w:val="002C5B41"/>
    <w:rsid w:val="002C5B48"/>
    <w:rsid w:val="002C5BBA"/>
    <w:rsid w:val="002C5BE7"/>
    <w:rsid w:val="002C5C45"/>
    <w:rsid w:val="002C5C6D"/>
    <w:rsid w:val="002C5D64"/>
    <w:rsid w:val="002C5EFD"/>
    <w:rsid w:val="002C5F4C"/>
    <w:rsid w:val="002C6062"/>
    <w:rsid w:val="002C608B"/>
    <w:rsid w:val="002C614F"/>
    <w:rsid w:val="002C61D8"/>
    <w:rsid w:val="002C61F8"/>
    <w:rsid w:val="002C629D"/>
    <w:rsid w:val="002C638D"/>
    <w:rsid w:val="002C6395"/>
    <w:rsid w:val="002C643E"/>
    <w:rsid w:val="002C655D"/>
    <w:rsid w:val="002C659B"/>
    <w:rsid w:val="002C6616"/>
    <w:rsid w:val="002C6662"/>
    <w:rsid w:val="002C668C"/>
    <w:rsid w:val="002C699E"/>
    <w:rsid w:val="002C6A5E"/>
    <w:rsid w:val="002C6B90"/>
    <w:rsid w:val="002C6BFB"/>
    <w:rsid w:val="002C6D01"/>
    <w:rsid w:val="002C6D0F"/>
    <w:rsid w:val="002C6D64"/>
    <w:rsid w:val="002C6DE6"/>
    <w:rsid w:val="002C6EAD"/>
    <w:rsid w:val="002C6FA4"/>
    <w:rsid w:val="002C70C6"/>
    <w:rsid w:val="002C7118"/>
    <w:rsid w:val="002C711E"/>
    <w:rsid w:val="002C73C9"/>
    <w:rsid w:val="002C74C4"/>
    <w:rsid w:val="002C74F9"/>
    <w:rsid w:val="002C762B"/>
    <w:rsid w:val="002C7648"/>
    <w:rsid w:val="002C767F"/>
    <w:rsid w:val="002C7681"/>
    <w:rsid w:val="002C768B"/>
    <w:rsid w:val="002C7696"/>
    <w:rsid w:val="002C76D4"/>
    <w:rsid w:val="002C7719"/>
    <w:rsid w:val="002C7724"/>
    <w:rsid w:val="002C7732"/>
    <w:rsid w:val="002C783D"/>
    <w:rsid w:val="002C7877"/>
    <w:rsid w:val="002C79E2"/>
    <w:rsid w:val="002C79F1"/>
    <w:rsid w:val="002C7A49"/>
    <w:rsid w:val="002C7B03"/>
    <w:rsid w:val="002C7BD1"/>
    <w:rsid w:val="002C7BF7"/>
    <w:rsid w:val="002C7C40"/>
    <w:rsid w:val="002C7D50"/>
    <w:rsid w:val="002C7D5E"/>
    <w:rsid w:val="002C7E85"/>
    <w:rsid w:val="002C7E8C"/>
    <w:rsid w:val="002CE671"/>
    <w:rsid w:val="002D002A"/>
    <w:rsid w:val="002D0314"/>
    <w:rsid w:val="002D03BD"/>
    <w:rsid w:val="002D042E"/>
    <w:rsid w:val="002D04B1"/>
    <w:rsid w:val="002D052C"/>
    <w:rsid w:val="002D05F0"/>
    <w:rsid w:val="002D061C"/>
    <w:rsid w:val="002D0661"/>
    <w:rsid w:val="002D070A"/>
    <w:rsid w:val="002D070D"/>
    <w:rsid w:val="002D0716"/>
    <w:rsid w:val="002D079B"/>
    <w:rsid w:val="002D07A2"/>
    <w:rsid w:val="002D0864"/>
    <w:rsid w:val="002D090E"/>
    <w:rsid w:val="002D0961"/>
    <w:rsid w:val="002D097C"/>
    <w:rsid w:val="002D09AA"/>
    <w:rsid w:val="002D09D0"/>
    <w:rsid w:val="002D0A13"/>
    <w:rsid w:val="002D0A22"/>
    <w:rsid w:val="002D0AFD"/>
    <w:rsid w:val="002D0B16"/>
    <w:rsid w:val="002D0B27"/>
    <w:rsid w:val="002D0C1B"/>
    <w:rsid w:val="002D0CDC"/>
    <w:rsid w:val="002D0D82"/>
    <w:rsid w:val="002D0D99"/>
    <w:rsid w:val="002D0DED"/>
    <w:rsid w:val="002D0E38"/>
    <w:rsid w:val="002D0E71"/>
    <w:rsid w:val="002D0F0C"/>
    <w:rsid w:val="002D0FCA"/>
    <w:rsid w:val="002D0FFD"/>
    <w:rsid w:val="002D100C"/>
    <w:rsid w:val="002D1019"/>
    <w:rsid w:val="002D1051"/>
    <w:rsid w:val="002D10BC"/>
    <w:rsid w:val="002D10ED"/>
    <w:rsid w:val="002D117F"/>
    <w:rsid w:val="002D11B2"/>
    <w:rsid w:val="002D1225"/>
    <w:rsid w:val="002D125C"/>
    <w:rsid w:val="002D1293"/>
    <w:rsid w:val="002D12D6"/>
    <w:rsid w:val="002D140D"/>
    <w:rsid w:val="002D14D0"/>
    <w:rsid w:val="002D1539"/>
    <w:rsid w:val="002D15D7"/>
    <w:rsid w:val="002D1634"/>
    <w:rsid w:val="002D166C"/>
    <w:rsid w:val="002D16C1"/>
    <w:rsid w:val="002D170B"/>
    <w:rsid w:val="002D175F"/>
    <w:rsid w:val="002D1788"/>
    <w:rsid w:val="002D180E"/>
    <w:rsid w:val="002D1848"/>
    <w:rsid w:val="002D1860"/>
    <w:rsid w:val="002D1895"/>
    <w:rsid w:val="002D18BB"/>
    <w:rsid w:val="002D1916"/>
    <w:rsid w:val="002D1A43"/>
    <w:rsid w:val="002D1B13"/>
    <w:rsid w:val="002D1C11"/>
    <w:rsid w:val="002D1C3D"/>
    <w:rsid w:val="002D1C61"/>
    <w:rsid w:val="002D1C77"/>
    <w:rsid w:val="002D1CD2"/>
    <w:rsid w:val="002D1CE7"/>
    <w:rsid w:val="002D1D1F"/>
    <w:rsid w:val="002D1D25"/>
    <w:rsid w:val="002D1D51"/>
    <w:rsid w:val="002D1DCD"/>
    <w:rsid w:val="002D1E68"/>
    <w:rsid w:val="002D1E84"/>
    <w:rsid w:val="002D2048"/>
    <w:rsid w:val="002D2114"/>
    <w:rsid w:val="002D2184"/>
    <w:rsid w:val="002D222D"/>
    <w:rsid w:val="002D2233"/>
    <w:rsid w:val="002D231E"/>
    <w:rsid w:val="002D235A"/>
    <w:rsid w:val="002D2360"/>
    <w:rsid w:val="002D2493"/>
    <w:rsid w:val="002D24A6"/>
    <w:rsid w:val="002D2540"/>
    <w:rsid w:val="002D255B"/>
    <w:rsid w:val="002D258E"/>
    <w:rsid w:val="002D2645"/>
    <w:rsid w:val="002D2680"/>
    <w:rsid w:val="002D271C"/>
    <w:rsid w:val="002D27AA"/>
    <w:rsid w:val="002D282D"/>
    <w:rsid w:val="002D2857"/>
    <w:rsid w:val="002D288B"/>
    <w:rsid w:val="002D28E8"/>
    <w:rsid w:val="002D28F5"/>
    <w:rsid w:val="002D2946"/>
    <w:rsid w:val="002D2987"/>
    <w:rsid w:val="002D29CD"/>
    <w:rsid w:val="002D2A2E"/>
    <w:rsid w:val="002D2B25"/>
    <w:rsid w:val="002D2B65"/>
    <w:rsid w:val="002D2C21"/>
    <w:rsid w:val="002D2CAE"/>
    <w:rsid w:val="002D2D25"/>
    <w:rsid w:val="002D2D6D"/>
    <w:rsid w:val="002D2D6F"/>
    <w:rsid w:val="002D2E1E"/>
    <w:rsid w:val="002D2E77"/>
    <w:rsid w:val="002D2E89"/>
    <w:rsid w:val="002D2EA7"/>
    <w:rsid w:val="002D2EBE"/>
    <w:rsid w:val="002D2F0E"/>
    <w:rsid w:val="002D2F2F"/>
    <w:rsid w:val="002D2F6F"/>
    <w:rsid w:val="002D2FE6"/>
    <w:rsid w:val="002D30F9"/>
    <w:rsid w:val="002D3298"/>
    <w:rsid w:val="002D32DE"/>
    <w:rsid w:val="002D3370"/>
    <w:rsid w:val="002D337F"/>
    <w:rsid w:val="002D3383"/>
    <w:rsid w:val="002D3392"/>
    <w:rsid w:val="002D33B0"/>
    <w:rsid w:val="002D33EA"/>
    <w:rsid w:val="002D3457"/>
    <w:rsid w:val="002D34B5"/>
    <w:rsid w:val="002D34F4"/>
    <w:rsid w:val="002D3592"/>
    <w:rsid w:val="002D35CF"/>
    <w:rsid w:val="002D36C6"/>
    <w:rsid w:val="002D3700"/>
    <w:rsid w:val="002D3720"/>
    <w:rsid w:val="002D375C"/>
    <w:rsid w:val="002D380F"/>
    <w:rsid w:val="002D38E4"/>
    <w:rsid w:val="002D3909"/>
    <w:rsid w:val="002D390E"/>
    <w:rsid w:val="002D3943"/>
    <w:rsid w:val="002D3949"/>
    <w:rsid w:val="002D3956"/>
    <w:rsid w:val="002D3959"/>
    <w:rsid w:val="002D3981"/>
    <w:rsid w:val="002D3A6A"/>
    <w:rsid w:val="002D3B73"/>
    <w:rsid w:val="002D3BE2"/>
    <w:rsid w:val="002D3C46"/>
    <w:rsid w:val="002D3F44"/>
    <w:rsid w:val="002D3F57"/>
    <w:rsid w:val="002D3FE9"/>
    <w:rsid w:val="002D400A"/>
    <w:rsid w:val="002D4192"/>
    <w:rsid w:val="002D41B0"/>
    <w:rsid w:val="002D41F9"/>
    <w:rsid w:val="002D41FE"/>
    <w:rsid w:val="002D4284"/>
    <w:rsid w:val="002D43A2"/>
    <w:rsid w:val="002D44A1"/>
    <w:rsid w:val="002D44B6"/>
    <w:rsid w:val="002D44D5"/>
    <w:rsid w:val="002D45DD"/>
    <w:rsid w:val="002D47E6"/>
    <w:rsid w:val="002D4A32"/>
    <w:rsid w:val="002D4B0B"/>
    <w:rsid w:val="002D4B32"/>
    <w:rsid w:val="002D4B4C"/>
    <w:rsid w:val="002D4B9C"/>
    <w:rsid w:val="002D4BFC"/>
    <w:rsid w:val="002D4D42"/>
    <w:rsid w:val="002D4D64"/>
    <w:rsid w:val="002D4DA4"/>
    <w:rsid w:val="002D4DBC"/>
    <w:rsid w:val="002D501E"/>
    <w:rsid w:val="002D5098"/>
    <w:rsid w:val="002D50C5"/>
    <w:rsid w:val="002D5120"/>
    <w:rsid w:val="002D5194"/>
    <w:rsid w:val="002D5297"/>
    <w:rsid w:val="002D529F"/>
    <w:rsid w:val="002D5377"/>
    <w:rsid w:val="002D54B8"/>
    <w:rsid w:val="002D54E8"/>
    <w:rsid w:val="002D55C7"/>
    <w:rsid w:val="002D56E1"/>
    <w:rsid w:val="002D5768"/>
    <w:rsid w:val="002D57F4"/>
    <w:rsid w:val="002D5845"/>
    <w:rsid w:val="002D58E8"/>
    <w:rsid w:val="002D5904"/>
    <w:rsid w:val="002D5974"/>
    <w:rsid w:val="002D5BAE"/>
    <w:rsid w:val="002D5BD5"/>
    <w:rsid w:val="002D5BF0"/>
    <w:rsid w:val="002D5C37"/>
    <w:rsid w:val="002D5C52"/>
    <w:rsid w:val="002D5CCA"/>
    <w:rsid w:val="002D5DED"/>
    <w:rsid w:val="002D5F7B"/>
    <w:rsid w:val="002D6025"/>
    <w:rsid w:val="002D6147"/>
    <w:rsid w:val="002D616F"/>
    <w:rsid w:val="002D61CE"/>
    <w:rsid w:val="002D61ED"/>
    <w:rsid w:val="002D624F"/>
    <w:rsid w:val="002D6318"/>
    <w:rsid w:val="002D6319"/>
    <w:rsid w:val="002D6358"/>
    <w:rsid w:val="002D6396"/>
    <w:rsid w:val="002D6509"/>
    <w:rsid w:val="002D667A"/>
    <w:rsid w:val="002D6755"/>
    <w:rsid w:val="002D6784"/>
    <w:rsid w:val="002D67B6"/>
    <w:rsid w:val="002D67BC"/>
    <w:rsid w:val="002D67D7"/>
    <w:rsid w:val="002D6815"/>
    <w:rsid w:val="002D6863"/>
    <w:rsid w:val="002D68EE"/>
    <w:rsid w:val="002D6A03"/>
    <w:rsid w:val="002D6A74"/>
    <w:rsid w:val="002D6AB5"/>
    <w:rsid w:val="002D6B93"/>
    <w:rsid w:val="002D6BC3"/>
    <w:rsid w:val="002D6C07"/>
    <w:rsid w:val="002D6CB8"/>
    <w:rsid w:val="002D6CD2"/>
    <w:rsid w:val="002D6D18"/>
    <w:rsid w:val="002D6D79"/>
    <w:rsid w:val="002D6EE8"/>
    <w:rsid w:val="002D7000"/>
    <w:rsid w:val="002D70B8"/>
    <w:rsid w:val="002D7167"/>
    <w:rsid w:val="002D71EB"/>
    <w:rsid w:val="002D72B5"/>
    <w:rsid w:val="002D730D"/>
    <w:rsid w:val="002D734B"/>
    <w:rsid w:val="002D73BD"/>
    <w:rsid w:val="002D7439"/>
    <w:rsid w:val="002D743D"/>
    <w:rsid w:val="002D74AC"/>
    <w:rsid w:val="002D762F"/>
    <w:rsid w:val="002D764F"/>
    <w:rsid w:val="002D7668"/>
    <w:rsid w:val="002D76DE"/>
    <w:rsid w:val="002D76EF"/>
    <w:rsid w:val="002D77D8"/>
    <w:rsid w:val="002D7813"/>
    <w:rsid w:val="002D783D"/>
    <w:rsid w:val="002D78D9"/>
    <w:rsid w:val="002D792C"/>
    <w:rsid w:val="002D79D0"/>
    <w:rsid w:val="002D7A01"/>
    <w:rsid w:val="002D7A73"/>
    <w:rsid w:val="002D7A88"/>
    <w:rsid w:val="002D7B09"/>
    <w:rsid w:val="002D7BF1"/>
    <w:rsid w:val="002D7C57"/>
    <w:rsid w:val="002D7CB3"/>
    <w:rsid w:val="002D7D68"/>
    <w:rsid w:val="002D7D86"/>
    <w:rsid w:val="002D7E13"/>
    <w:rsid w:val="002D7E2A"/>
    <w:rsid w:val="002D7E3D"/>
    <w:rsid w:val="002D7EB5"/>
    <w:rsid w:val="002D7F25"/>
    <w:rsid w:val="002D7FA3"/>
    <w:rsid w:val="002E0061"/>
    <w:rsid w:val="002E00A6"/>
    <w:rsid w:val="002E00C5"/>
    <w:rsid w:val="002E01E9"/>
    <w:rsid w:val="002E02CA"/>
    <w:rsid w:val="002E0327"/>
    <w:rsid w:val="002E0449"/>
    <w:rsid w:val="002E04AF"/>
    <w:rsid w:val="002E04E8"/>
    <w:rsid w:val="002E04FE"/>
    <w:rsid w:val="002E066F"/>
    <w:rsid w:val="002E06D3"/>
    <w:rsid w:val="002E075F"/>
    <w:rsid w:val="002E0770"/>
    <w:rsid w:val="002E07EF"/>
    <w:rsid w:val="002E0AB2"/>
    <w:rsid w:val="002E0B11"/>
    <w:rsid w:val="002E0B75"/>
    <w:rsid w:val="002E0BB3"/>
    <w:rsid w:val="002E0BC6"/>
    <w:rsid w:val="002E0D15"/>
    <w:rsid w:val="002E0E40"/>
    <w:rsid w:val="002E0F39"/>
    <w:rsid w:val="002E1017"/>
    <w:rsid w:val="002E103F"/>
    <w:rsid w:val="002E10D4"/>
    <w:rsid w:val="002E11EC"/>
    <w:rsid w:val="002E11F2"/>
    <w:rsid w:val="002E122A"/>
    <w:rsid w:val="002E1321"/>
    <w:rsid w:val="002E1363"/>
    <w:rsid w:val="002E13C8"/>
    <w:rsid w:val="002E1418"/>
    <w:rsid w:val="002E1460"/>
    <w:rsid w:val="002E146C"/>
    <w:rsid w:val="002E14E3"/>
    <w:rsid w:val="002E150F"/>
    <w:rsid w:val="002E1583"/>
    <w:rsid w:val="002E174A"/>
    <w:rsid w:val="002E17F6"/>
    <w:rsid w:val="002E180C"/>
    <w:rsid w:val="002E1BAA"/>
    <w:rsid w:val="002E1C3C"/>
    <w:rsid w:val="002E1C3E"/>
    <w:rsid w:val="002E1CEA"/>
    <w:rsid w:val="002E1CED"/>
    <w:rsid w:val="002E1D90"/>
    <w:rsid w:val="002E1FB6"/>
    <w:rsid w:val="002E1FF8"/>
    <w:rsid w:val="002E216A"/>
    <w:rsid w:val="002E2177"/>
    <w:rsid w:val="002E2199"/>
    <w:rsid w:val="002E2238"/>
    <w:rsid w:val="002E23D9"/>
    <w:rsid w:val="002E242B"/>
    <w:rsid w:val="002E244A"/>
    <w:rsid w:val="002E24B5"/>
    <w:rsid w:val="002E24EF"/>
    <w:rsid w:val="002E25A2"/>
    <w:rsid w:val="002E2698"/>
    <w:rsid w:val="002E2766"/>
    <w:rsid w:val="002E27B3"/>
    <w:rsid w:val="002E27B7"/>
    <w:rsid w:val="002E292E"/>
    <w:rsid w:val="002E2966"/>
    <w:rsid w:val="002E2A1A"/>
    <w:rsid w:val="002E2C44"/>
    <w:rsid w:val="002E2CCD"/>
    <w:rsid w:val="002E2D5F"/>
    <w:rsid w:val="002E2D72"/>
    <w:rsid w:val="002E2D8A"/>
    <w:rsid w:val="002E2E5C"/>
    <w:rsid w:val="002E2EDE"/>
    <w:rsid w:val="002E2EF4"/>
    <w:rsid w:val="002E2F27"/>
    <w:rsid w:val="002E2FAE"/>
    <w:rsid w:val="002E3081"/>
    <w:rsid w:val="002E3086"/>
    <w:rsid w:val="002E3195"/>
    <w:rsid w:val="002E32E5"/>
    <w:rsid w:val="002E33B1"/>
    <w:rsid w:val="002E33CA"/>
    <w:rsid w:val="002E341F"/>
    <w:rsid w:val="002E3502"/>
    <w:rsid w:val="002E3596"/>
    <w:rsid w:val="002E35A8"/>
    <w:rsid w:val="002E3614"/>
    <w:rsid w:val="002E361D"/>
    <w:rsid w:val="002E3633"/>
    <w:rsid w:val="002E363C"/>
    <w:rsid w:val="002E3650"/>
    <w:rsid w:val="002E366E"/>
    <w:rsid w:val="002E3674"/>
    <w:rsid w:val="002E36AB"/>
    <w:rsid w:val="002E36F5"/>
    <w:rsid w:val="002E37AC"/>
    <w:rsid w:val="002E37DB"/>
    <w:rsid w:val="002E383C"/>
    <w:rsid w:val="002E3841"/>
    <w:rsid w:val="002E386C"/>
    <w:rsid w:val="002E3A46"/>
    <w:rsid w:val="002E3DDC"/>
    <w:rsid w:val="002E3DE8"/>
    <w:rsid w:val="002E3E8C"/>
    <w:rsid w:val="002E3EEA"/>
    <w:rsid w:val="002E3F59"/>
    <w:rsid w:val="002E417A"/>
    <w:rsid w:val="002E41FD"/>
    <w:rsid w:val="002E4210"/>
    <w:rsid w:val="002E4256"/>
    <w:rsid w:val="002E42B0"/>
    <w:rsid w:val="002E42D5"/>
    <w:rsid w:val="002E4330"/>
    <w:rsid w:val="002E43F0"/>
    <w:rsid w:val="002E454C"/>
    <w:rsid w:val="002E4586"/>
    <w:rsid w:val="002E4597"/>
    <w:rsid w:val="002E45B5"/>
    <w:rsid w:val="002E45CD"/>
    <w:rsid w:val="002E45F1"/>
    <w:rsid w:val="002E4755"/>
    <w:rsid w:val="002E47B3"/>
    <w:rsid w:val="002E4806"/>
    <w:rsid w:val="002E482D"/>
    <w:rsid w:val="002E4850"/>
    <w:rsid w:val="002E48AB"/>
    <w:rsid w:val="002E4A49"/>
    <w:rsid w:val="002E4A88"/>
    <w:rsid w:val="002E4B7C"/>
    <w:rsid w:val="002E4B9C"/>
    <w:rsid w:val="002E4CC4"/>
    <w:rsid w:val="002E4CD7"/>
    <w:rsid w:val="002E4CE5"/>
    <w:rsid w:val="002E4D53"/>
    <w:rsid w:val="002E4E3F"/>
    <w:rsid w:val="002E4F64"/>
    <w:rsid w:val="002E4FE9"/>
    <w:rsid w:val="002E50FD"/>
    <w:rsid w:val="002E511B"/>
    <w:rsid w:val="002E5130"/>
    <w:rsid w:val="002E51E3"/>
    <w:rsid w:val="002E5215"/>
    <w:rsid w:val="002E5240"/>
    <w:rsid w:val="002E5244"/>
    <w:rsid w:val="002E529A"/>
    <w:rsid w:val="002E52CC"/>
    <w:rsid w:val="002E5377"/>
    <w:rsid w:val="002E5382"/>
    <w:rsid w:val="002E53BE"/>
    <w:rsid w:val="002E5426"/>
    <w:rsid w:val="002E545B"/>
    <w:rsid w:val="002E5583"/>
    <w:rsid w:val="002E55A2"/>
    <w:rsid w:val="002E55A7"/>
    <w:rsid w:val="002E55B8"/>
    <w:rsid w:val="002E55E1"/>
    <w:rsid w:val="002E56BB"/>
    <w:rsid w:val="002E56C7"/>
    <w:rsid w:val="002E56F9"/>
    <w:rsid w:val="002E57E2"/>
    <w:rsid w:val="002E586D"/>
    <w:rsid w:val="002E59BE"/>
    <w:rsid w:val="002E5ADF"/>
    <w:rsid w:val="002E5B7D"/>
    <w:rsid w:val="002E5BE7"/>
    <w:rsid w:val="002E5C5D"/>
    <w:rsid w:val="002E5C76"/>
    <w:rsid w:val="002E5D2C"/>
    <w:rsid w:val="002E5D66"/>
    <w:rsid w:val="002E5D91"/>
    <w:rsid w:val="002E5DD0"/>
    <w:rsid w:val="002E5FBF"/>
    <w:rsid w:val="002E5FD8"/>
    <w:rsid w:val="002E6010"/>
    <w:rsid w:val="002E604D"/>
    <w:rsid w:val="002E608C"/>
    <w:rsid w:val="002E60C3"/>
    <w:rsid w:val="002E6153"/>
    <w:rsid w:val="002E6182"/>
    <w:rsid w:val="002E61CC"/>
    <w:rsid w:val="002E62BB"/>
    <w:rsid w:val="002E62C2"/>
    <w:rsid w:val="002E6389"/>
    <w:rsid w:val="002E63A6"/>
    <w:rsid w:val="002E6483"/>
    <w:rsid w:val="002E64AD"/>
    <w:rsid w:val="002E657D"/>
    <w:rsid w:val="002E664C"/>
    <w:rsid w:val="002E6799"/>
    <w:rsid w:val="002E6837"/>
    <w:rsid w:val="002E6867"/>
    <w:rsid w:val="002E68BC"/>
    <w:rsid w:val="002E6966"/>
    <w:rsid w:val="002E69BA"/>
    <w:rsid w:val="002E69ED"/>
    <w:rsid w:val="002E69F2"/>
    <w:rsid w:val="002E6A80"/>
    <w:rsid w:val="002E6A83"/>
    <w:rsid w:val="002E6B77"/>
    <w:rsid w:val="002E6B9E"/>
    <w:rsid w:val="002E6BBA"/>
    <w:rsid w:val="002E6BD4"/>
    <w:rsid w:val="002E6C04"/>
    <w:rsid w:val="002E6D18"/>
    <w:rsid w:val="002E6D71"/>
    <w:rsid w:val="002E6DA9"/>
    <w:rsid w:val="002E6FA1"/>
    <w:rsid w:val="002E7001"/>
    <w:rsid w:val="002E705D"/>
    <w:rsid w:val="002E709A"/>
    <w:rsid w:val="002E70B7"/>
    <w:rsid w:val="002E7166"/>
    <w:rsid w:val="002E71A9"/>
    <w:rsid w:val="002E7247"/>
    <w:rsid w:val="002E72BC"/>
    <w:rsid w:val="002E72D1"/>
    <w:rsid w:val="002E73D3"/>
    <w:rsid w:val="002E73D4"/>
    <w:rsid w:val="002E749D"/>
    <w:rsid w:val="002E74E0"/>
    <w:rsid w:val="002E7511"/>
    <w:rsid w:val="002E7530"/>
    <w:rsid w:val="002E755E"/>
    <w:rsid w:val="002E75F7"/>
    <w:rsid w:val="002E75F8"/>
    <w:rsid w:val="002E770A"/>
    <w:rsid w:val="002E7738"/>
    <w:rsid w:val="002E77EB"/>
    <w:rsid w:val="002E783C"/>
    <w:rsid w:val="002E788D"/>
    <w:rsid w:val="002E78C2"/>
    <w:rsid w:val="002E79CD"/>
    <w:rsid w:val="002E7A15"/>
    <w:rsid w:val="002E7A28"/>
    <w:rsid w:val="002E7A2D"/>
    <w:rsid w:val="002E7A6F"/>
    <w:rsid w:val="002E7ACD"/>
    <w:rsid w:val="002E7B85"/>
    <w:rsid w:val="002E7C83"/>
    <w:rsid w:val="002E7C97"/>
    <w:rsid w:val="002E7EF5"/>
    <w:rsid w:val="002E7F2D"/>
    <w:rsid w:val="002F004C"/>
    <w:rsid w:val="002F0057"/>
    <w:rsid w:val="002F006C"/>
    <w:rsid w:val="002F01D8"/>
    <w:rsid w:val="002F0243"/>
    <w:rsid w:val="002F02B9"/>
    <w:rsid w:val="002F0340"/>
    <w:rsid w:val="002F03B5"/>
    <w:rsid w:val="002F04B0"/>
    <w:rsid w:val="002F0532"/>
    <w:rsid w:val="002F0564"/>
    <w:rsid w:val="002F061F"/>
    <w:rsid w:val="002F062C"/>
    <w:rsid w:val="002F06E7"/>
    <w:rsid w:val="002F071E"/>
    <w:rsid w:val="002F07DE"/>
    <w:rsid w:val="002F08BA"/>
    <w:rsid w:val="002F0AB4"/>
    <w:rsid w:val="002F0B2F"/>
    <w:rsid w:val="002F0B87"/>
    <w:rsid w:val="002F0C11"/>
    <w:rsid w:val="002F0C19"/>
    <w:rsid w:val="002F0D4B"/>
    <w:rsid w:val="002F0DC9"/>
    <w:rsid w:val="002F0F27"/>
    <w:rsid w:val="002F0F37"/>
    <w:rsid w:val="002F0F61"/>
    <w:rsid w:val="002F0FCA"/>
    <w:rsid w:val="002F1063"/>
    <w:rsid w:val="002F1176"/>
    <w:rsid w:val="002F11A8"/>
    <w:rsid w:val="002F11AE"/>
    <w:rsid w:val="002F1239"/>
    <w:rsid w:val="002F1315"/>
    <w:rsid w:val="002F1397"/>
    <w:rsid w:val="002F139D"/>
    <w:rsid w:val="002F13A4"/>
    <w:rsid w:val="002F13AE"/>
    <w:rsid w:val="002F13EF"/>
    <w:rsid w:val="002F1409"/>
    <w:rsid w:val="002F1429"/>
    <w:rsid w:val="002F14A4"/>
    <w:rsid w:val="002F14E1"/>
    <w:rsid w:val="002F152A"/>
    <w:rsid w:val="002F15F0"/>
    <w:rsid w:val="002F160F"/>
    <w:rsid w:val="002F166A"/>
    <w:rsid w:val="002F1732"/>
    <w:rsid w:val="002F1744"/>
    <w:rsid w:val="002F177B"/>
    <w:rsid w:val="002F1790"/>
    <w:rsid w:val="002F17B0"/>
    <w:rsid w:val="002F17E7"/>
    <w:rsid w:val="002F18AA"/>
    <w:rsid w:val="002F1A27"/>
    <w:rsid w:val="002F1BE1"/>
    <w:rsid w:val="002F1C70"/>
    <w:rsid w:val="002F1CAC"/>
    <w:rsid w:val="002F1CB4"/>
    <w:rsid w:val="002F1D04"/>
    <w:rsid w:val="002F1E03"/>
    <w:rsid w:val="002F1E12"/>
    <w:rsid w:val="002F1E31"/>
    <w:rsid w:val="002F1F85"/>
    <w:rsid w:val="002F2013"/>
    <w:rsid w:val="002F20E8"/>
    <w:rsid w:val="002F216B"/>
    <w:rsid w:val="002F221E"/>
    <w:rsid w:val="002F22A0"/>
    <w:rsid w:val="002F2317"/>
    <w:rsid w:val="002F2364"/>
    <w:rsid w:val="002F2606"/>
    <w:rsid w:val="002F26A5"/>
    <w:rsid w:val="002F2739"/>
    <w:rsid w:val="002F2788"/>
    <w:rsid w:val="002F27F7"/>
    <w:rsid w:val="002F281B"/>
    <w:rsid w:val="002F2885"/>
    <w:rsid w:val="002F28B5"/>
    <w:rsid w:val="002F28C9"/>
    <w:rsid w:val="002F297B"/>
    <w:rsid w:val="002F29F8"/>
    <w:rsid w:val="002F2A6F"/>
    <w:rsid w:val="002F2A9E"/>
    <w:rsid w:val="002F2AB4"/>
    <w:rsid w:val="002F2BBC"/>
    <w:rsid w:val="002F2C4E"/>
    <w:rsid w:val="002F2C95"/>
    <w:rsid w:val="002F2CB9"/>
    <w:rsid w:val="002F2DBF"/>
    <w:rsid w:val="002F2E30"/>
    <w:rsid w:val="002F2E46"/>
    <w:rsid w:val="002F2E4A"/>
    <w:rsid w:val="002F2E56"/>
    <w:rsid w:val="002F2E72"/>
    <w:rsid w:val="002F2E94"/>
    <w:rsid w:val="002F2EC3"/>
    <w:rsid w:val="002F2F2C"/>
    <w:rsid w:val="002F2FE9"/>
    <w:rsid w:val="002F3123"/>
    <w:rsid w:val="002F31BA"/>
    <w:rsid w:val="002F32F7"/>
    <w:rsid w:val="002F33DC"/>
    <w:rsid w:val="002F33E9"/>
    <w:rsid w:val="002F34BC"/>
    <w:rsid w:val="002F34FB"/>
    <w:rsid w:val="002F3540"/>
    <w:rsid w:val="002F355F"/>
    <w:rsid w:val="002F359B"/>
    <w:rsid w:val="002F3624"/>
    <w:rsid w:val="002F372C"/>
    <w:rsid w:val="002F37B6"/>
    <w:rsid w:val="002F3821"/>
    <w:rsid w:val="002F3875"/>
    <w:rsid w:val="002F3886"/>
    <w:rsid w:val="002F38DB"/>
    <w:rsid w:val="002F3982"/>
    <w:rsid w:val="002F39F4"/>
    <w:rsid w:val="002F3A18"/>
    <w:rsid w:val="002F3AF1"/>
    <w:rsid w:val="002F3B5C"/>
    <w:rsid w:val="002F3B78"/>
    <w:rsid w:val="002F3BD3"/>
    <w:rsid w:val="002F3BF6"/>
    <w:rsid w:val="002F3C28"/>
    <w:rsid w:val="002F3C50"/>
    <w:rsid w:val="002F3D34"/>
    <w:rsid w:val="002F3D60"/>
    <w:rsid w:val="002F3E5D"/>
    <w:rsid w:val="002F3E7A"/>
    <w:rsid w:val="002F3EAA"/>
    <w:rsid w:val="002F3F30"/>
    <w:rsid w:val="002F3FA5"/>
    <w:rsid w:val="002F400A"/>
    <w:rsid w:val="002F406B"/>
    <w:rsid w:val="002F409E"/>
    <w:rsid w:val="002F41BE"/>
    <w:rsid w:val="002F4202"/>
    <w:rsid w:val="002F4218"/>
    <w:rsid w:val="002F42E9"/>
    <w:rsid w:val="002F42ED"/>
    <w:rsid w:val="002F42F3"/>
    <w:rsid w:val="002F43E7"/>
    <w:rsid w:val="002F44C4"/>
    <w:rsid w:val="002F450F"/>
    <w:rsid w:val="002F457F"/>
    <w:rsid w:val="002F45B3"/>
    <w:rsid w:val="002F45FC"/>
    <w:rsid w:val="002F474C"/>
    <w:rsid w:val="002F4836"/>
    <w:rsid w:val="002F484F"/>
    <w:rsid w:val="002F48E7"/>
    <w:rsid w:val="002F48F8"/>
    <w:rsid w:val="002F49AE"/>
    <w:rsid w:val="002F4B5E"/>
    <w:rsid w:val="002F4B87"/>
    <w:rsid w:val="002F4BBA"/>
    <w:rsid w:val="002F4BBC"/>
    <w:rsid w:val="002F4CC0"/>
    <w:rsid w:val="002F4CD6"/>
    <w:rsid w:val="002F4CF8"/>
    <w:rsid w:val="002F4DBE"/>
    <w:rsid w:val="002F4DE7"/>
    <w:rsid w:val="002F4E39"/>
    <w:rsid w:val="002F4F52"/>
    <w:rsid w:val="002F5011"/>
    <w:rsid w:val="002F5082"/>
    <w:rsid w:val="002F50D3"/>
    <w:rsid w:val="002F510D"/>
    <w:rsid w:val="002F51D5"/>
    <w:rsid w:val="002F5338"/>
    <w:rsid w:val="002F536D"/>
    <w:rsid w:val="002F53B2"/>
    <w:rsid w:val="002F5550"/>
    <w:rsid w:val="002F55BA"/>
    <w:rsid w:val="002F56C6"/>
    <w:rsid w:val="002F56DA"/>
    <w:rsid w:val="002F5728"/>
    <w:rsid w:val="002F576D"/>
    <w:rsid w:val="002F57F9"/>
    <w:rsid w:val="002F58AC"/>
    <w:rsid w:val="002F58ED"/>
    <w:rsid w:val="002F590F"/>
    <w:rsid w:val="002F59FC"/>
    <w:rsid w:val="002F59FE"/>
    <w:rsid w:val="002F5B00"/>
    <w:rsid w:val="002F5B1B"/>
    <w:rsid w:val="002F5D25"/>
    <w:rsid w:val="002F5E18"/>
    <w:rsid w:val="002F5E6D"/>
    <w:rsid w:val="002F5F0D"/>
    <w:rsid w:val="002F5FF7"/>
    <w:rsid w:val="002F600E"/>
    <w:rsid w:val="002F603E"/>
    <w:rsid w:val="002F60AE"/>
    <w:rsid w:val="002F617F"/>
    <w:rsid w:val="002F6282"/>
    <w:rsid w:val="002F6430"/>
    <w:rsid w:val="002F6558"/>
    <w:rsid w:val="002F656E"/>
    <w:rsid w:val="002F663B"/>
    <w:rsid w:val="002F6790"/>
    <w:rsid w:val="002F679E"/>
    <w:rsid w:val="002F67E1"/>
    <w:rsid w:val="002F6A63"/>
    <w:rsid w:val="002F6AE5"/>
    <w:rsid w:val="002F6BA9"/>
    <w:rsid w:val="002F6BD8"/>
    <w:rsid w:val="002F6BF3"/>
    <w:rsid w:val="002F6C5B"/>
    <w:rsid w:val="002F6C9D"/>
    <w:rsid w:val="002F6CB5"/>
    <w:rsid w:val="002F6EBD"/>
    <w:rsid w:val="002F6EED"/>
    <w:rsid w:val="002F6EF1"/>
    <w:rsid w:val="002F6F94"/>
    <w:rsid w:val="002F6FDE"/>
    <w:rsid w:val="002F6FE0"/>
    <w:rsid w:val="002F6FE9"/>
    <w:rsid w:val="002F7042"/>
    <w:rsid w:val="002F706C"/>
    <w:rsid w:val="002F709D"/>
    <w:rsid w:val="002F70B5"/>
    <w:rsid w:val="002F70F2"/>
    <w:rsid w:val="002F710A"/>
    <w:rsid w:val="002F71BF"/>
    <w:rsid w:val="002F72BA"/>
    <w:rsid w:val="002F7307"/>
    <w:rsid w:val="002F7416"/>
    <w:rsid w:val="002F742B"/>
    <w:rsid w:val="002F75B8"/>
    <w:rsid w:val="002F767D"/>
    <w:rsid w:val="002F76E1"/>
    <w:rsid w:val="002F7768"/>
    <w:rsid w:val="002F7884"/>
    <w:rsid w:val="002F790D"/>
    <w:rsid w:val="002F79A0"/>
    <w:rsid w:val="002F79C1"/>
    <w:rsid w:val="002F7A49"/>
    <w:rsid w:val="002F7ABF"/>
    <w:rsid w:val="002F7BB9"/>
    <w:rsid w:val="002F7BBD"/>
    <w:rsid w:val="002F7BDF"/>
    <w:rsid w:val="002F7CD2"/>
    <w:rsid w:val="002F7E3A"/>
    <w:rsid w:val="002F7E49"/>
    <w:rsid w:val="002F7E5D"/>
    <w:rsid w:val="002F7EC8"/>
    <w:rsid w:val="0030000C"/>
    <w:rsid w:val="00300019"/>
    <w:rsid w:val="00300093"/>
    <w:rsid w:val="003000EE"/>
    <w:rsid w:val="00300109"/>
    <w:rsid w:val="00300135"/>
    <w:rsid w:val="003001D7"/>
    <w:rsid w:val="003001FD"/>
    <w:rsid w:val="003003B2"/>
    <w:rsid w:val="003003BB"/>
    <w:rsid w:val="0030045F"/>
    <w:rsid w:val="0030054D"/>
    <w:rsid w:val="00300646"/>
    <w:rsid w:val="00300660"/>
    <w:rsid w:val="0030070C"/>
    <w:rsid w:val="0030082A"/>
    <w:rsid w:val="003008E3"/>
    <w:rsid w:val="00300942"/>
    <w:rsid w:val="003009C2"/>
    <w:rsid w:val="003009CA"/>
    <w:rsid w:val="00300A00"/>
    <w:rsid w:val="00300A28"/>
    <w:rsid w:val="00300A8E"/>
    <w:rsid w:val="00300A92"/>
    <w:rsid w:val="00300B1A"/>
    <w:rsid w:val="00300B65"/>
    <w:rsid w:val="00300BB0"/>
    <w:rsid w:val="00300C72"/>
    <w:rsid w:val="00300D4A"/>
    <w:rsid w:val="00300E6B"/>
    <w:rsid w:val="00300EC4"/>
    <w:rsid w:val="00300F04"/>
    <w:rsid w:val="00300F1B"/>
    <w:rsid w:val="00300F5C"/>
    <w:rsid w:val="00301043"/>
    <w:rsid w:val="00301145"/>
    <w:rsid w:val="00301163"/>
    <w:rsid w:val="003011F6"/>
    <w:rsid w:val="00301249"/>
    <w:rsid w:val="0030126E"/>
    <w:rsid w:val="00301290"/>
    <w:rsid w:val="00301314"/>
    <w:rsid w:val="00301323"/>
    <w:rsid w:val="00301362"/>
    <w:rsid w:val="00301365"/>
    <w:rsid w:val="0030145D"/>
    <w:rsid w:val="003014E7"/>
    <w:rsid w:val="003014F9"/>
    <w:rsid w:val="0030156B"/>
    <w:rsid w:val="00301655"/>
    <w:rsid w:val="0030167E"/>
    <w:rsid w:val="00301755"/>
    <w:rsid w:val="0030179A"/>
    <w:rsid w:val="003017AB"/>
    <w:rsid w:val="003018CB"/>
    <w:rsid w:val="003018E1"/>
    <w:rsid w:val="0030197C"/>
    <w:rsid w:val="00301BF6"/>
    <w:rsid w:val="00301C43"/>
    <w:rsid w:val="00301DAB"/>
    <w:rsid w:val="00301DD2"/>
    <w:rsid w:val="00301E8B"/>
    <w:rsid w:val="00301F26"/>
    <w:rsid w:val="00301FE6"/>
    <w:rsid w:val="00302045"/>
    <w:rsid w:val="003021C3"/>
    <w:rsid w:val="00302207"/>
    <w:rsid w:val="0030227D"/>
    <w:rsid w:val="00302335"/>
    <w:rsid w:val="0030234E"/>
    <w:rsid w:val="00302417"/>
    <w:rsid w:val="00302421"/>
    <w:rsid w:val="00302465"/>
    <w:rsid w:val="003025BA"/>
    <w:rsid w:val="00302698"/>
    <w:rsid w:val="003026C8"/>
    <w:rsid w:val="003026EA"/>
    <w:rsid w:val="00302714"/>
    <w:rsid w:val="00302808"/>
    <w:rsid w:val="00302869"/>
    <w:rsid w:val="00302878"/>
    <w:rsid w:val="003028D1"/>
    <w:rsid w:val="00302944"/>
    <w:rsid w:val="00302956"/>
    <w:rsid w:val="00302AEA"/>
    <w:rsid w:val="00302B7C"/>
    <w:rsid w:val="00302B7E"/>
    <w:rsid w:val="00302C16"/>
    <w:rsid w:val="00302CC4"/>
    <w:rsid w:val="00302DAD"/>
    <w:rsid w:val="00302DDC"/>
    <w:rsid w:val="00302E13"/>
    <w:rsid w:val="00302E2B"/>
    <w:rsid w:val="00302E4B"/>
    <w:rsid w:val="00302FEA"/>
    <w:rsid w:val="0030302A"/>
    <w:rsid w:val="003030A4"/>
    <w:rsid w:val="00303184"/>
    <w:rsid w:val="0030333F"/>
    <w:rsid w:val="003033F9"/>
    <w:rsid w:val="00303574"/>
    <w:rsid w:val="003035AF"/>
    <w:rsid w:val="003035F7"/>
    <w:rsid w:val="00303608"/>
    <w:rsid w:val="0030383B"/>
    <w:rsid w:val="003038E0"/>
    <w:rsid w:val="0030399E"/>
    <w:rsid w:val="00303A5F"/>
    <w:rsid w:val="00303BA4"/>
    <w:rsid w:val="00303C1F"/>
    <w:rsid w:val="00303C2A"/>
    <w:rsid w:val="00303C42"/>
    <w:rsid w:val="00303CB1"/>
    <w:rsid w:val="00304044"/>
    <w:rsid w:val="0030407A"/>
    <w:rsid w:val="003041C0"/>
    <w:rsid w:val="003042EB"/>
    <w:rsid w:val="00304310"/>
    <w:rsid w:val="00304330"/>
    <w:rsid w:val="00304377"/>
    <w:rsid w:val="0030448A"/>
    <w:rsid w:val="0030448F"/>
    <w:rsid w:val="003044EA"/>
    <w:rsid w:val="003044EB"/>
    <w:rsid w:val="003045E2"/>
    <w:rsid w:val="0030475D"/>
    <w:rsid w:val="00304770"/>
    <w:rsid w:val="003047B6"/>
    <w:rsid w:val="003047C6"/>
    <w:rsid w:val="003047FE"/>
    <w:rsid w:val="003048AE"/>
    <w:rsid w:val="003049F2"/>
    <w:rsid w:val="00304A27"/>
    <w:rsid w:val="00304A4F"/>
    <w:rsid w:val="00304A81"/>
    <w:rsid w:val="00304BCC"/>
    <w:rsid w:val="00304BE4"/>
    <w:rsid w:val="00304C1D"/>
    <w:rsid w:val="00304C32"/>
    <w:rsid w:val="00304C9E"/>
    <w:rsid w:val="00304CB5"/>
    <w:rsid w:val="00304DA1"/>
    <w:rsid w:val="00304DAC"/>
    <w:rsid w:val="00304DFA"/>
    <w:rsid w:val="00304E0E"/>
    <w:rsid w:val="00304E6A"/>
    <w:rsid w:val="00304ED7"/>
    <w:rsid w:val="00304EFC"/>
    <w:rsid w:val="00304F18"/>
    <w:rsid w:val="00305075"/>
    <w:rsid w:val="0030521D"/>
    <w:rsid w:val="00305267"/>
    <w:rsid w:val="00305285"/>
    <w:rsid w:val="003052B1"/>
    <w:rsid w:val="003052FC"/>
    <w:rsid w:val="0030531D"/>
    <w:rsid w:val="00305394"/>
    <w:rsid w:val="00305434"/>
    <w:rsid w:val="0030544B"/>
    <w:rsid w:val="00305601"/>
    <w:rsid w:val="003056D3"/>
    <w:rsid w:val="003057D8"/>
    <w:rsid w:val="003057FC"/>
    <w:rsid w:val="0030583C"/>
    <w:rsid w:val="003058CC"/>
    <w:rsid w:val="003058EF"/>
    <w:rsid w:val="00305902"/>
    <w:rsid w:val="00305976"/>
    <w:rsid w:val="003059B8"/>
    <w:rsid w:val="003059E2"/>
    <w:rsid w:val="00305AE5"/>
    <w:rsid w:val="00305BEF"/>
    <w:rsid w:val="00305BF8"/>
    <w:rsid w:val="00305C56"/>
    <w:rsid w:val="00305C6E"/>
    <w:rsid w:val="00305D33"/>
    <w:rsid w:val="00305EDD"/>
    <w:rsid w:val="00305EE5"/>
    <w:rsid w:val="00305F6A"/>
    <w:rsid w:val="00305F70"/>
    <w:rsid w:val="00305FB7"/>
    <w:rsid w:val="003060FE"/>
    <w:rsid w:val="00306218"/>
    <w:rsid w:val="003062D5"/>
    <w:rsid w:val="0030633D"/>
    <w:rsid w:val="0030640D"/>
    <w:rsid w:val="00306462"/>
    <w:rsid w:val="0030648F"/>
    <w:rsid w:val="003064F0"/>
    <w:rsid w:val="00306535"/>
    <w:rsid w:val="0030656F"/>
    <w:rsid w:val="00306589"/>
    <w:rsid w:val="0030658A"/>
    <w:rsid w:val="00306591"/>
    <w:rsid w:val="003065ED"/>
    <w:rsid w:val="003065F8"/>
    <w:rsid w:val="0030662D"/>
    <w:rsid w:val="00306636"/>
    <w:rsid w:val="0030665E"/>
    <w:rsid w:val="003066A7"/>
    <w:rsid w:val="00306894"/>
    <w:rsid w:val="0030691B"/>
    <w:rsid w:val="00306947"/>
    <w:rsid w:val="003069AE"/>
    <w:rsid w:val="00306AE7"/>
    <w:rsid w:val="00306BD1"/>
    <w:rsid w:val="00306C13"/>
    <w:rsid w:val="00306CB7"/>
    <w:rsid w:val="00306CBF"/>
    <w:rsid w:val="00306CE0"/>
    <w:rsid w:val="00306D50"/>
    <w:rsid w:val="00306DC4"/>
    <w:rsid w:val="00306E71"/>
    <w:rsid w:val="00306FDE"/>
    <w:rsid w:val="00307125"/>
    <w:rsid w:val="00307145"/>
    <w:rsid w:val="0030714E"/>
    <w:rsid w:val="00307178"/>
    <w:rsid w:val="00307204"/>
    <w:rsid w:val="00307231"/>
    <w:rsid w:val="00307283"/>
    <w:rsid w:val="00307292"/>
    <w:rsid w:val="003072BC"/>
    <w:rsid w:val="003072FE"/>
    <w:rsid w:val="00307327"/>
    <w:rsid w:val="0030733D"/>
    <w:rsid w:val="0030742F"/>
    <w:rsid w:val="003074FE"/>
    <w:rsid w:val="00307543"/>
    <w:rsid w:val="0030762D"/>
    <w:rsid w:val="00307699"/>
    <w:rsid w:val="003076BC"/>
    <w:rsid w:val="003076E5"/>
    <w:rsid w:val="003077EF"/>
    <w:rsid w:val="00307822"/>
    <w:rsid w:val="0030788A"/>
    <w:rsid w:val="003078B9"/>
    <w:rsid w:val="003078E3"/>
    <w:rsid w:val="00307968"/>
    <w:rsid w:val="00307B79"/>
    <w:rsid w:val="00307D51"/>
    <w:rsid w:val="00307F57"/>
    <w:rsid w:val="00307FC0"/>
    <w:rsid w:val="00307FF0"/>
    <w:rsid w:val="00310022"/>
    <w:rsid w:val="0031004B"/>
    <w:rsid w:val="003100CC"/>
    <w:rsid w:val="003100EA"/>
    <w:rsid w:val="0031011C"/>
    <w:rsid w:val="0031028E"/>
    <w:rsid w:val="003102E5"/>
    <w:rsid w:val="0031034D"/>
    <w:rsid w:val="003103B4"/>
    <w:rsid w:val="00310436"/>
    <w:rsid w:val="003104CE"/>
    <w:rsid w:val="003104EB"/>
    <w:rsid w:val="00310583"/>
    <w:rsid w:val="0031065C"/>
    <w:rsid w:val="003106B4"/>
    <w:rsid w:val="003106C8"/>
    <w:rsid w:val="003106D8"/>
    <w:rsid w:val="003106EB"/>
    <w:rsid w:val="0031074B"/>
    <w:rsid w:val="00310807"/>
    <w:rsid w:val="00310862"/>
    <w:rsid w:val="0031086B"/>
    <w:rsid w:val="00310909"/>
    <w:rsid w:val="0031094C"/>
    <w:rsid w:val="00310A0C"/>
    <w:rsid w:val="00310A16"/>
    <w:rsid w:val="00310AC3"/>
    <w:rsid w:val="00310AE3"/>
    <w:rsid w:val="00310B03"/>
    <w:rsid w:val="00310BAF"/>
    <w:rsid w:val="00310BE4"/>
    <w:rsid w:val="00310C01"/>
    <w:rsid w:val="00310C56"/>
    <w:rsid w:val="00310D0E"/>
    <w:rsid w:val="00310DB1"/>
    <w:rsid w:val="00310E12"/>
    <w:rsid w:val="00310E5F"/>
    <w:rsid w:val="00310E8D"/>
    <w:rsid w:val="00310EAF"/>
    <w:rsid w:val="00310EC1"/>
    <w:rsid w:val="00310F9A"/>
    <w:rsid w:val="0031105C"/>
    <w:rsid w:val="003110CE"/>
    <w:rsid w:val="003110F6"/>
    <w:rsid w:val="00311119"/>
    <w:rsid w:val="00311125"/>
    <w:rsid w:val="00311130"/>
    <w:rsid w:val="003111C0"/>
    <w:rsid w:val="00311259"/>
    <w:rsid w:val="003112B9"/>
    <w:rsid w:val="003112DC"/>
    <w:rsid w:val="0031130D"/>
    <w:rsid w:val="00311353"/>
    <w:rsid w:val="0031138A"/>
    <w:rsid w:val="003113FF"/>
    <w:rsid w:val="003114B5"/>
    <w:rsid w:val="0031156F"/>
    <w:rsid w:val="003115CA"/>
    <w:rsid w:val="003115EE"/>
    <w:rsid w:val="003115FD"/>
    <w:rsid w:val="00311712"/>
    <w:rsid w:val="00311713"/>
    <w:rsid w:val="0031171D"/>
    <w:rsid w:val="003118A9"/>
    <w:rsid w:val="00311920"/>
    <w:rsid w:val="0031194E"/>
    <w:rsid w:val="00311955"/>
    <w:rsid w:val="00311972"/>
    <w:rsid w:val="003119BA"/>
    <w:rsid w:val="00311A31"/>
    <w:rsid w:val="00311AA4"/>
    <w:rsid w:val="00311BDE"/>
    <w:rsid w:val="00311C9E"/>
    <w:rsid w:val="00311CF1"/>
    <w:rsid w:val="00311DB9"/>
    <w:rsid w:val="00311DC9"/>
    <w:rsid w:val="00311E02"/>
    <w:rsid w:val="00311E42"/>
    <w:rsid w:val="00311E60"/>
    <w:rsid w:val="00311E96"/>
    <w:rsid w:val="00311F21"/>
    <w:rsid w:val="00311F33"/>
    <w:rsid w:val="00311F9C"/>
    <w:rsid w:val="00311FED"/>
    <w:rsid w:val="003121FF"/>
    <w:rsid w:val="00312271"/>
    <w:rsid w:val="003122BD"/>
    <w:rsid w:val="003122F4"/>
    <w:rsid w:val="0031233F"/>
    <w:rsid w:val="00312379"/>
    <w:rsid w:val="003123D1"/>
    <w:rsid w:val="0031248E"/>
    <w:rsid w:val="0031249F"/>
    <w:rsid w:val="003124BC"/>
    <w:rsid w:val="003124CB"/>
    <w:rsid w:val="003124E3"/>
    <w:rsid w:val="0031250C"/>
    <w:rsid w:val="0031254B"/>
    <w:rsid w:val="0031258D"/>
    <w:rsid w:val="003125BA"/>
    <w:rsid w:val="00312624"/>
    <w:rsid w:val="00312676"/>
    <w:rsid w:val="003126BB"/>
    <w:rsid w:val="0031284C"/>
    <w:rsid w:val="00312878"/>
    <w:rsid w:val="003128DC"/>
    <w:rsid w:val="003128E9"/>
    <w:rsid w:val="00312971"/>
    <w:rsid w:val="00312A11"/>
    <w:rsid w:val="00312A5F"/>
    <w:rsid w:val="00312A6E"/>
    <w:rsid w:val="00312AAD"/>
    <w:rsid w:val="00312BA4"/>
    <w:rsid w:val="00312C80"/>
    <w:rsid w:val="00313027"/>
    <w:rsid w:val="00313145"/>
    <w:rsid w:val="00313171"/>
    <w:rsid w:val="003131D6"/>
    <w:rsid w:val="003131DF"/>
    <w:rsid w:val="0031335B"/>
    <w:rsid w:val="00313552"/>
    <w:rsid w:val="0031359B"/>
    <w:rsid w:val="003135E8"/>
    <w:rsid w:val="0031366E"/>
    <w:rsid w:val="00313779"/>
    <w:rsid w:val="003137EF"/>
    <w:rsid w:val="003138A0"/>
    <w:rsid w:val="00313929"/>
    <w:rsid w:val="00313948"/>
    <w:rsid w:val="00313A2E"/>
    <w:rsid w:val="00313A9A"/>
    <w:rsid w:val="00313A9B"/>
    <w:rsid w:val="00313AE4"/>
    <w:rsid w:val="00313B56"/>
    <w:rsid w:val="00313BE7"/>
    <w:rsid w:val="00313BFA"/>
    <w:rsid w:val="00313D90"/>
    <w:rsid w:val="00313F13"/>
    <w:rsid w:val="00313FAB"/>
    <w:rsid w:val="00313FCF"/>
    <w:rsid w:val="0031418E"/>
    <w:rsid w:val="0031420B"/>
    <w:rsid w:val="003142E3"/>
    <w:rsid w:val="0031431D"/>
    <w:rsid w:val="0031437C"/>
    <w:rsid w:val="00314394"/>
    <w:rsid w:val="003144F3"/>
    <w:rsid w:val="00314514"/>
    <w:rsid w:val="00314549"/>
    <w:rsid w:val="00314578"/>
    <w:rsid w:val="003145B9"/>
    <w:rsid w:val="003145D9"/>
    <w:rsid w:val="0031466F"/>
    <w:rsid w:val="003146EB"/>
    <w:rsid w:val="003146F1"/>
    <w:rsid w:val="00314707"/>
    <w:rsid w:val="0031473B"/>
    <w:rsid w:val="00314790"/>
    <w:rsid w:val="003147F1"/>
    <w:rsid w:val="00314885"/>
    <w:rsid w:val="00314914"/>
    <w:rsid w:val="0031492D"/>
    <w:rsid w:val="00314946"/>
    <w:rsid w:val="003149D9"/>
    <w:rsid w:val="00314ACF"/>
    <w:rsid w:val="00314AE0"/>
    <w:rsid w:val="00314B32"/>
    <w:rsid w:val="00314B36"/>
    <w:rsid w:val="00314B4C"/>
    <w:rsid w:val="00314B76"/>
    <w:rsid w:val="00314BD7"/>
    <w:rsid w:val="00314E6C"/>
    <w:rsid w:val="00314EFE"/>
    <w:rsid w:val="00314EFF"/>
    <w:rsid w:val="00314F20"/>
    <w:rsid w:val="00314F6B"/>
    <w:rsid w:val="00314FF7"/>
    <w:rsid w:val="00315002"/>
    <w:rsid w:val="00315023"/>
    <w:rsid w:val="00315120"/>
    <w:rsid w:val="0031529A"/>
    <w:rsid w:val="003152AF"/>
    <w:rsid w:val="003152B9"/>
    <w:rsid w:val="003152E3"/>
    <w:rsid w:val="003152EA"/>
    <w:rsid w:val="003152F5"/>
    <w:rsid w:val="00315317"/>
    <w:rsid w:val="0031536D"/>
    <w:rsid w:val="0031540A"/>
    <w:rsid w:val="00315420"/>
    <w:rsid w:val="0031547A"/>
    <w:rsid w:val="0031548A"/>
    <w:rsid w:val="00315498"/>
    <w:rsid w:val="003154C9"/>
    <w:rsid w:val="003154E9"/>
    <w:rsid w:val="00315655"/>
    <w:rsid w:val="003156DB"/>
    <w:rsid w:val="00315772"/>
    <w:rsid w:val="0031579A"/>
    <w:rsid w:val="003157E8"/>
    <w:rsid w:val="0031581F"/>
    <w:rsid w:val="0031591E"/>
    <w:rsid w:val="0031596E"/>
    <w:rsid w:val="00315977"/>
    <w:rsid w:val="00315A83"/>
    <w:rsid w:val="00315BDA"/>
    <w:rsid w:val="00315BDC"/>
    <w:rsid w:val="00315C08"/>
    <w:rsid w:val="00315D70"/>
    <w:rsid w:val="00315D8F"/>
    <w:rsid w:val="00315EE0"/>
    <w:rsid w:val="00315F1B"/>
    <w:rsid w:val="00315FAA"/>
    <w:rsid w:val="00315FB1"/>
    <w:rsid w:val="003160C2"/>
    <w:rsid w:val="00316111"/>
    <w:rsid w:val="003161E1"/>
    <w:rsid w:val="00316203"/>
    <w:rsid w:val="00316233"/>
    <w:rsid w:val="0031625D"/>
    <w:rsid w:val="003162F7"/>
    <w:rsid w:val="00316310"/>
    <w:rsid w:val="00316312"/>
    <w:rsid w:val="00316341"/>
    <w:rsid w:val="00316393"/>
    <w:rsid w:val="003163C6"/>
    <w:rsid w:val="00316450"/>
    <w:rsid w:val="0031648C"/>
    <w:rsid w:val="00316492"/>
    <w:rsid w:val="00316553"/>
    <w:rsid w:val="003165DB"/>
    <w:rsid w:val="00316653"/>
    <w:rsid w:val="003166A0"/>
    <w:rsid w:val="0031678B"/>
    <w:rsid w:val="003169B2"/>
    <w:rsid w:val="003169E6"/>
    <w:rsid w:val="00316A00"/>
    <w:rsid w:val="00316B42"/>
    <w:rsid w:val="00316B49"/>
    <w:rsid w:val="00316E26"/>
    <w:rsid w:val="00316EB0"/>
    <w:rsid w:val="00316FF6"/>
    <w:rsid w:val="003170BE"/>
    <w:rsid w:val="00317149"/>
    <w:rsid w:val="00317179"/>
    <w:rsid w:val="003171B0"/>
    <w:rsid w:val="003171E7"/>
    <w:rsid w:val="00317208"/>
    <w:rsid w:val="00317235"/>
    <w:rsid w:val="003172B4"/>
    <w:rsid w:val="003172EA"/>
    <w:rsid w:val="00317333"/>
    <w:rsid w:val="0031737E"/>
    <w:rsid w:val="00317391"/>
    <w:rsid w:val="00317447"/>
    <w:rsid w:val="00317557"/>
    <w:rsid w:val="0031757B"/>
    <w:rsid w:val="00317588"/>
    <w:rsid w:val="003176A8"/>
    <w:rsid w:val="003176DC"/>
    <w:rsid w:val="003176F1"/>
    <w:rsid w:val="00317772"/>
    <w:rsid w:val="0031779C"/>
    <w:rsid w:val="00317846"/>
    <w:rsid w:val="00317876"/>
    <w:rsid w:val="00317878"/>
    <w:rsid w:val="00317879"/>
    <w:rsid w:val="003178B3"/>
    <w:rsid w:val="003178B4"/>
    <w:rsid w:val="003178D8"/>
    <w:rsid w:val="003178F4"/>
    <w:rsid w:val="00317923"/>
    <w:rsid w:val="00317984"/>
    <w:rsid w:val="00317A3C"/>
    <w:rsid w:val="00317AEE"/>
    <w:rsid w:val="00317B3F"/>
    <w:rsid w:val="00317BB5"/>
    <w:rsid w:val="00317D4E"/>
    <w:rsid w:val="00317D4F"/>
    <w:rsid w:val="00317DD8"/>
    <w:rsid w:val="00317E3F"/>
    <w:rsid w:val="00317F09"/>
    <w:rsid w:val="00317F58"/>
    <w:rsid w:val="00317F90"/>
    <w:rsid w:val="00320002"/>
    <w:rsid w:val="003200AA"/>
    <w:rsid w:val="00320158"/>
    <w:rsid w:val="0032016C"/>
    <w:rsid w:val="003201ED"/>
    <w:rsid w:val="0032024F"/>
    <w:rsid w:val="003203C4"/>
    <w:rsid w:val="00320437"/>
    <w:rsid w:val="003204C4"/>
    <w:rsid w:val="003205D3"/>
    <w:rsid w:val="003205F4"/>
    <w:rsid w:val="003206BC"/>
    <w:rsid w:val="00320741"/>
    <w:rsid w:val="003207D7"/>
    <w:rsid w:val="003207E2"/>
    <w:rsid w:val="003208A0"/>
    <w:rsid w:val="003208B2"/>
    <w:rsid w:val="0032091C"/>
    <w:rsid w:val="00320987"/>
    <w:rsid w:val="00320A30"/>
    <w:rsid w:val="00320ABB"/>
    <w:rsid w:val="00320C25"/>
    <w:rsid w:val="00320CBE"/>
    <w:rsid w:val="00320CE0"/>
    <w:rsid w:val="00320DE7"/>
    <w:rsid w:val="00320E23"/>
    <w:rsid w:val="00320E25"/>
    <w:rsid w:val="00320E4E"/>
    <w:rsid w:val="00320E9A"/>
    <w:rsid w:val="00320F50"/>
    <w:rsid w:val="00321011"/>
    <w:rsid w:val="003210D5"/>
    <w:rsid w:val="00321109"/>
    <w:rsid w:val="00321156"/>
    <w:rsid w:val="00321176"/>
    <w:rsid w:val="003211E1"/>
    <w:rsid w:val="00321227"/>
    <w:rsid w:val="00321230"/>
    <w:rsid w:val="00321245"/>
    <w:rsid w:val="00321290"/>
    <w:rsid w:val="003212ED"/>
    <w:rsid w:val="00321369"/>
    <w:rsid w:val="00321392"/>
    <w:rsid w:val="003213E1"/>
    <w:rsid w:val="00321564"/>
    <w:rsid w:val="003215E0"/>
    <w:rsid w:val="00321661"/>
    <w:rsid w:val="0032168F"/>
    <w:rsid w:val="00321697"/>
    <w:rsid w:val="00321770"/>
    <w:rsid w:val="003217FD"/>
    <w:rsid w:val="00321802"/>
    <w:rsid w:val="00321840"/>
    <w:rsid w:val="00321880"/>
    <w:rsid w:val="00321905"/>
    <w:rsid w:val="00321A50"/>
    <w:rsid w:val="00321B45"/>
    <w:rsid w:val="00321B64"/>
    <w:rsid w:val="00321B83"/>
    <w:rsid w:val="00321D35"/>
    <w:rsid w:val="00321D38"/>
    <w:rsid w:val="00321DB8"/>
    <w:rsid w:val="00321DF1"/>
    <w:rsid w:val="00321FDC"/>
    <w:rsid w:val="00322024"/>
    <w:rsid w:val="00322291"/>
    <w:rsid w:val="00322322"/>
    <w:rsid w:val="0032238C"/>
    <w:rsid w:val="00322407"/>
    <w:rsid w:val="003224AB"/>
    <w:rsid w:val="0032255A"/>
    <w:rsid w:val="00322574"/>
    <w:rsid w:val="0032257A"/>
    <w:rsid w:val="003225EE"/>
    <w:rsid w:val="00322653"/>
    <w:rsid w:val="003227AB"/>
    <w:rsid w:val="003227F0"/>
    <w:rsid w:val="003227FE"/>
    <w:rsid w:val="0032281F"/>
    <w:rsid w:val="003229F4"/>
    <w:rsid w:val="003229F7"/>
    <w:rsid w:val="00322A28"/>
    <w:rsid w:val="00322A4F"/>
    <w:rsid w:val="00322A58"/>
    <w:rsid w:val="00322A61"/>
    <w:rsid w:val="00322A76"/>
    <w:rsid w:val="00322A82"/>
    <w:rsid w:val="00322ACA"/>
    <w:rsid w:val="00322AD9"/>
    <w:rsid w:val="00322B1C"/>
    <w:rsid w:val="00322B64"/>
    <w:rsid w:val="00322BB5"/>
    <w:rsid w:val="00322BF8"/>
    <w:rsid w:val="00322C64"/>
    <w:rsid w:val="00322C9F"/>
    <w:rsid w:val="00322E82"/>
    <w:rsid w:val="00323025"/>
    <w:rsid w:val="0032302D"/>
    <w:rsid w:val="0032305A"/>
    <w:rsid w:val="003230BA"/>
    <w:rsid w:val="00323181"/>
    <w:rsid w:val="003231C6"/>
    <w:rsid w:val="00323203"/>
    <w:rsid w:val="00323225"/>
    <w:rsid w:val="003232E1"/>
    <w:rsid w:val="003232E7"/>
    <w:rsid w:val="00323313"/>
    <w:rsid w:val="00323352"/>
    <w:rsid w:val="00323383"/>
    <w:rsid w:val="00323446"/>
    <w:rsid w:val="003235B9"/>
    <w:rsid w:val="0032367E"/>
    <w:rsid w:val="00323723"/>
    <w:rsid w:val="003237F7"/>
    <w:rsid w:val="00323834"/>
    <w:rsid w:val="003238E4"/>
    <w:rsid w:val="003238F0"/>
    <w:rsid w:val="0032395F"/>
    <w:rsid w:val="00323963"/>
    <w:rsid w:val="003239A0"/>
    <w:rsid w:val="003239AD"/>
    <w:rsid w:val="00323A29"/>
    <w:rsid w:val="00323A48"/>
    <w:rsid w:val="00323AD6"/>
    <w:rsid w:val="00323B90"/>
    <w:rsid w:val="00323C49"/>
    <w:rsid w:val="00323CC1"/>
    <w:rsid w:val="00323D01"/>
    <w:rsid w:val="00323D32"/>
    <w:rsid w:val="00323D4A"/>
    <w:rsid w:val="00323D9F"/>
    <w:rsid w:val="00323DAB"/>
    <w:rsid w:val="00323DD1"/>
    <w:rsid w:val="00323DD7"/>
    <w:rsid w:val="00323E58"/>
    <w:rsid w:val="00323F7B"/>
    <w:rsid w:val="0032401B"/>
    <w:rsid w:val="00324043"/>
    <w:rsid w:val="00324079"/>
    <w:rsid w:val="003240B2"/>
    <w:rsid w:val="003240F9"/>
    <w:rsid w:val="003241FF"/>
    <w:rsid w:val="00324225"/>
    <w:rsid w:val="00324256"/>
    <w:rsid w:val="00324351"/>
    <w:rsid w:val="00324391"/>
    <w:rsid w:val="003243AB"/>
    <w:rsid w:val="00324520"/>
    <w:rsid w:val="0032460F"/>
    <w:rsid w:val="0032465C"/>
    <w:rsid w:val="00324689"/>
    <w:rsid w:val="003246C5"/>
    <w:rsid w:val="0032474C"/>
    <w:rsid w:val="003249EC"/>
    <w:rsid w:val="00324A21"/>
    <w:rsid w:val="00324A75"/>
    <w:rsid w:val="00324AD1"/>
    <w:rsid w:val="00324AED"/>
    <w:rsid w:val="00324B05"/>
    <w:rsid w:val="00324C56"/>
    <w:rsid w:val="00324C5E"/>
    <w:rsid w:val="00324CF3"/>
    <w:rsid w:val="00324D59"/>
    <w:rsid w:val="00324DCF"/>
    <w:rsid w:val="00324DFC"/>
    <w:rsid w:val="00324F72"/>
    <w:rsid w:val="00324F8E"/>
    <w:rsid w:val="00325065"/>
    <w:rsid w:val="00325093"/>
    <w:rsid w:val="00325189"/>
    <w:rsid w:val="003251B6"/>
    <w:rsid w:val="0032521B"/>
    <w:rsid w:val="00325283"/>
    <w:rsid w:val="0032529F"/>
    <w:rsid w:val="0032540D"/>
    <w:rsid w:val="00325521"/>
    <w:rsid w:val="0032553A"/>
    <w:rsid w:val="0032553B"/>
    <w:rsid w:val="00325613"/>
    <w:rsid w:val="00325726"/>
    <w:rsid w:val="00325735"/>
    <w:rsid w:val="00325741"/>
    <w:rsid w:val="003257CC"/>
    <w:rsid w:val="00325825"/>
    <w:rsid w:val="0032589E"/>
    <w:rsid w:val="003258D1"/>
    <w:rsid w:val="00325968"/>
    <w:rsid w:val="003259DA"/>
    <w:rsid w:val="00325A7D"/>
    <w:rsid w:val="00325AAB"/>
    <w:rsid w:val="00325B11"/>
    <w:rsid w:val="00325B27"/>
    <w:rsid w:val="00325BD6"/>
    <w:rsid w:val="00325C54"/>
    <w:rsid w:val="00325C96"/>
    <w:rsid w:val="00325DE7"/>
    <w:rsid w:val="00325EBA"/>
    <w:rsid w:val="00325EBF"/>
    <w:rsid w:val="00325ED9"/>
    <w:rsid w:val="00325F32"/>
    <w:rsid w:val="00325FEC"/>
    <w:rsid w:val="0032600E"/>
    <w:rsid w:val="00326066"/>
    <w:rsid w:val="00326083"/>
    <w:rsid w:val="003260CC"/>
    <w:rsid w:val="00326101"/>
    <w:rsid w:val="00326181"/>
    <w:rsid w:val="003261F3"/>
    <w:rsid w:val="003262BB"/>
    <w:rsid w:val="003262D5"/>
    <w:rsid w:val="00326314"/>
    <w:rsid w:val="00326337"/>
    <w:rsid w:val="00326409"/>
    <w:rsid w:val="00326421"/>
    <w:rsid w:val="00326481"/>
    <w:rsid w:val="003264E1"/>
    <w:rsid w:val="003264E9"/>
    <w:rsid w:val="003265AA"/>
    <w:rsid w:val="0032663E"/>
    <w:rsid w:val="00326727"/>
    <w:rsid w:val="003267FC"/>
    <w:rsid w:val="00326812"/>
    <w:rsid w:val="0032688C"/>
    <w:rsid w:val="003268D5"/>
    <w:rsid w:val="00326918"/>
    <w:rsid w:val="00326965"/>
    <w:rsid w:val="00326996"/>
    <w:rsid w:val="003269B4"/>
    <w:rsid w:val="00326B37"/>
    <w:rsid w:val="00326BC2"/>
    <w:rsid w:val="00326C48"/>
    <w:rsid w:val="00326D3F"/>
    <w:rsid w:val="00326E4D"/>
    <w:rsid w:val="00326F55"/>
    <w:rsid w:val="00326FE3"/>
    <w:rsid w:val="00327000"/>
    <w:rsid w:val="0032701C"/>
    <w:rsid w:val="003270F8"/>
    <w:rsid w:val="0032716B"/>
    <w:rsid w:val="00327174"/>
    <w:rsid w:val="0032749E"/>
    <w:rsid w:val="00327509"/>
    <w:rsid w:val="003275FD"/>
    <w:rsid w:val="0032761C"/>
    <w:rsid w:val="00327660"/>
    <w:rsid w:val="0032772F"/>
    <w:rsid w:val="0032794B"/>
    <w:rsid w:val="00327987"/>
    <w:rsid w:val="003279A2"/>
    <w:rsid w:val="003279C0"/>
    <w:rsid w:val="00327A05"/>
    <w:rsid w:val="00327A2E"/>
    <w:rsid w:val="00327A32"/>
    <w:rsid w:val="00327A39"/>
    <w:rsid w:val="00327B53"/>
    <w:rsid w:val="00327B65"/>
    <w:rsid w:val="00327BE1"/>
    <w:rsid w:val="00327BF8"/>
    <w:rsid w:val="00327C1E"/>
    <w:rsid w:val="00327CB6"/>
    <w:rsid w:val="00327CF3"/>
    <w:rsid w:val="00327D18"/>
    <w:rsid w:val="00327DD9"/>
    <w:rsid w:val="00327E33"/>
    <w:rsid w:val="00327E57"/>
    <w:rsid w:val="00327F4E"/>
    <w:rsid w:val="003300D3"/>
    <w:rsid w:val="00330109"/>
    <w:rsid w:val="0033019E"/>
    <w:rsid w:val="003301AB"/>
    <w:rsid w:val="003301BC"/>
    <w:rsid w:val="003302A4"/>
    <w:rsid w:val="00330396"/>
    <w:rsid w:val="003303DC"/>
    <w:rsid w:val="00330438"/>
    <w:rsid w:val="003304E9"/>
    <w:rsid w:val="0033051F"/>
    <w:rsid w:val="00330564"/>
    <w:rsid w:val="0033056E"/>
    <w:rsid w:val="003306C8"/>
    <w:rsid w:val="003306DF"/>
    <w:rsid w:val="0033079C"/>
    <w:rsid w:val="003307A8"/>
    <w:rsid w:val="003307FE"/>
    <w:rsid w:val="00330858"/>
    <w:rsid w:val="0033086B"/>
    <w:rsid w:val="003309A7"/>
    <w:rsid w:val="00330A5A"/>
    <w:rsid w:val="00330A64"/>
    <w:rsid w:val="00330A86"/>
    <w:rsid w:val="00330B00"/>
    <w:rsid w:val="00330BCE"/>
    <w:rsid w:val="00330BE1"/>
    <w:rsid w:val="00330E15"/>
    <w:rsid w:val="00330EFC"/>
    <w:rsid w:val="00330F02"/>
    <w:rsid w:val="00330F14"/>
    <w:rsid w:val="0033102C"/>
    <w:rsid w:val="0033106A"/>
    <w:rsid w:val="003310B7"/>
    <w:rsid w:val="003310C8"/>
    <w:rsid w:val="0033113E"/>
    <w:rsid w:val="003311D4"/>
    <w:rsid w:val="00331214"/>
    <w:rsid w:val="00331283"/>
    <w:rsid w:val="0033128A"/>
    <w:rsid w:val="003312AD"/>
    <w:rsid w:val="003313D1"/>
    <w:rsid w:val="003313FB"/>
    <w:rsid w:val="0033145F"/>
    <w:rsid w:val="003314BE"/>
    <w:rsid w:val="0033154F"/>
    <w:rsid w:val="0033160D"/>
    <w:rsid w:val="003316BB"/>
    <w:rsid w:val="0033179B"/>
    <w:rsid w:val="003317AD"/>
    <w:rsid w:val="003317D3"/>
    <w:rsid w:val="003318E5"/>
    <w:rsid w:val="003318FB"/>
    <w:rsid w:val="00331937"/>
    <w:rsid w:val="00331B98"/>
    <w:rsid w:val="00331C50"/>
    <w:rsid w:val="00331CF9"/>
    <w:rsid w:val="00331D46"/>
    <w:rsid w:val="00331D54"/>
    <w:rsid w:val="00331DE6"/>
    <w:rsid w:val="00331DE8"/>
    <w:rsid w:val="00331DFD"/>
    <w:rsid w:val="00331E67"/>
    <w:rsid w:val="00331E96"/>
    <w:rsid w:val="00331EDD"/>
    <w:rsid w:val="00331FEB"/>
    <w:rsid w:val="0033202D"/>
    <w:rsid w:val="00332125"/>
    <w:rsid w:val="003321D3"/>
    <w:rsid w:val="00332259"/>
    <w:rsid w:val="0033228D"/>
    <w:rsid w:val="003322A3"/>
    <w:rsid w:val="0033230C"/>
    <w:rsid w:val="00332426"/>
    <w:rsid w:val="00332443"/>
    <w:rsid w:val="003324A9"/>
    <w:rsid w:val="0033262A"/>
    <w:rsid w:val="003326E8"/>
    <w:rsid w:val="0033274E"/>
    <w:rsid w:val="00332755"/>
    <w:rsid w:val="00332780"/>
    <w:rsid w:val="003327E5"/>
    <w:rsid w:val="003328D9"/>
    <w:rsid w:val="003329DC"/>
    <w:rsid w:val="003329EC"/>
    <w:rsid w:val="003329FC"/>
    <w:rsid w:val="00332B21"/>
    <w:rsid w:val="00332B3E"/>
    <w:rsid w:val="00332C16"/>
    <w:rsid w:val="00332C18"/>
    <w:rsid w:val="00332C29"/>
    <w:rsid w:val="00332CF5"/>
    <w:rsid w:val="00332DCB"/>
    <w:rsid w:val="00332E5D"/>
    <w:rsid w:val="00332E98"/>
    <w:rsid w:val="00332F85"/>
    <w:rsid w:val="0033313B"/>
    <w:rsid w:val="003331A9"/>
    <w:rsid w:val="003331BE"/>
    <w:rsid w:val="003331EC"/>
    <w:rsid w:val="0033326C"/>
    <w:rsid w:val="00333427"/>
    <w:rsid w:val="00333439"/>
    <w:rsid w:val="0033343C"/>
    <w:rsid w:val="00333512"/>
    <w:rsid w:val="003335FB"/>
    <w:rsid w:val="0033361A"/>
    <w:rsid w:val="0033369C"/>
    <w:rsid w:val="003336A1"/>
    <w:rsid w:val="003336B0"/>
    <w:rsid w:val="00333799"/>
    <w:rsid w:val="0033383B"/>
    <w:rsid w:val="00333867"/>
    <w:rsid w:val="003338F5"/>
    <w:rsid w:val="00333954"/>
    <w:rsid w:val="00333983"/>
    <w:rsid w:val="0033399D"/>
    <w:rsid w:val="003339A3"/>
    <w:rsid w:val="003339CA"/>
    <w:rsid w:val="00333A15"/>
    <w:rsid w:val="00333A75"/>
    <w:rsid w:val="00333CFE"/>
    <w:rsid w:val="00333DA0"/>
    <w:rsid w:val="00333DCC"/>
    <w:rsid w:val="00333EA3"/>
    <w:rsid w:val="00333F2C"/>
    <w:rsid w:val="00333F41"/>
    <w:rsid w:val="00333FDF"/>
    <w:rsid w:val="00333FEB"/>
    <w:rsid w:val="003340D3"/>
    <w:rsid w:val="003340E1"/>
    <w:rsid w:val="003340EC"/>
    <w:rsid w:val="00334138"/>
    <w:rsid w:val="00334145"/>
    <w:rsid w:val="00334148"/>
    <w:rsid w:val="00334166"/>
    <w:rsid w:val="00334174"/>
    <w:rsid w:val="00334176"/>
    <w:rsid w:val="0033420C"/>
    <w:rsid w:val="00334270"/>
    <w:rsid w:val="0033429E"/>
    <w:rsid w:val="003342D0"/>
    <w:rsid w:val="00334306"/>
    <w:rsid w:val="003344F0"/>
    <w:rsid w:val="00334566"/>
    <w:rsid w:val="0033458C"/>
    <w:rsid w:val="00334645"/>
    <w:rsid w:val="00334663"/>
    <w:rsid w:val="003346B9"/>
    <w:rsid w:val="0033475A"/>
    <w:rsid w:val="00334796"/>
    <w:rsid w:val="003347B5"/>
    <w:rsid w:val="003347E8"/>
    <w:rsid w:val="003347FD"/>
    <w:rsid w:val="00334840"/>
    <w:rsid w:val="00334876"/>
    <w:rsid w:val="0033488F"/>
    <w:rsid w:val="00334903"/>
    <w:rsid w:val="0033497F"/>
    <w:rsid w:val="003349A0"/>
    <w:rsid w:val="003349CE"/>
    <w:rsid w:val="00334A04"/>
    <w:rsid w:val="00334A29"/>
    <w:rsid w:val="00334A41"/>
    <w:rsid w:val="00334A77"/>
    <w:rsid w:val="00334A8E"/>
    <w:rsid w:val="00334B08"/>
    <w:rsid w:val="00334B25"/>
    <w:rsid w:val="00334BAD"/>
    <w:rsid w:val="00334BB5"/>
    <w:rsid w:val="00334C37"/>
    <w:rsid w:val="00334C4A"/>
    <w:rsid w:val="00334C5A"/>
    <w:rsid w:val="00334CFE"/>
    <w:rsid w:val="00334E20"/>
    <w:rsid w:val="00334E6F"/>
    <w:rsid w:val="00334EC9"/>
    <w:rsid w:val="00334F94"/>
    <w:rsid w:val="00334FFB"/>
    <w:rsid w:val="00335128"/>
    <w:rsid w:val="003353F7"/>
    <w:rsid w:val="003355D5"/>
    <w:rsid w:val="003355F4"/>
    <w:rsid w:val="003356A8"/>
    <w:rsid w:val="003356B4"/>
    <w:rsid w:val="003356BB"/>
    <w:rsid w:val="003356FD"/>
    <w:rsid w:val="00335719"/>
    <w:rsid w:val="00335729"/>
    <w:rsid w:val="00335746"/>
    <w:rsid w:val="003357DC"/>
    <w:rsid w:val="00335814"/>
    <w:rsid w:val="0033588B"/>
    <w:rsid w:val="003358A6"/>
    <w:rsid w:val="003358FA"/>
    <w:rsid w:val="003359AA"/>
    <w:rsid w:val="00335A17"/>
    <w:rsid w:val="00335A2B"/>
    <w:rsid w:val="00335A9C"/>
    <w:rsid w:val="00335AB9"/>
    <w:rsid w:val="00335AD3"/>
    <w:rsid w:val="00335B2C"/>
    <w:rsid w:val="00335B33"/>
    <w:rsid w:val="00335B49"/>
    <w:rsid w:val="00335C2A"/>
    <w:rsid w:val="00335C6C"/>
    <w:rsid w:val="00335CC3"/>
    <w:rsid w:val="00335D3E"/>
    <w:rsid w:val="00335DB5"/>
    <w:rsid w:val="00335E02"/>
    <w:rsid w:val="00335E11"/>
    <w:rsid w:val="00335E33"/>
    <w:rsid w:val="00335E74"/>
    <w:rsid w:val="00335F31"/>
    <w:rsid w:val="0033602D"/>
    <w:rsid w:val="00336040"/>
    <w:rsid w:val="003360CB"/>
    <w:rsid w:val="003360DD"/>
    <w:rsid w:val="00336159"/>
    <w:rsid w:val="0033617A"/>
    <w:rsid w:val="003361F1"/>
    <w:rsid w:val="0033624E"/>
    <w:rsid w:val="0033625C"/>
    <w:rsid w:val="0033629D"/>
    <w:rsid w:val="003362E2"/>
    <w:rsid w:val="0033630F"/>
    <w:rsid w:val="00336339"/>
    <w:rsid w:val="0033636D"/>
    <w:rsid w:val="003363C8"/>
    <w:rsid w:val="0033649E"/>
    <w:rsid w:val="003364E6"/>
    <w:rsid w:val="003364FB"/>
    <w:rsid w:val="0033654A"/>
    <w:rsid w:val="003366BF"/>
    <w:rsid w:val="003366CD"/>
    <w:rsid w:val="003367FD"/>
    <w:rsid w:val="00336867"/>
    <w:rsid w:val="003368B2"/>
    <w:rsid w:val="003368E4"/>
    <w:rsid w:val="003368F3"/>
    <w:rsid w:val="003368F7"/>
    <w:rsid w:val="0033691E"/>
    <w:rsid w:val="003369A2"/>
    <w:rsid w:val="00336A07"/>
    <w:rsid w:val="00336AE8"/>
    <w:rsid w:val="00336B1E"/>
    <w:rsid w:val="00336B1F"/>
    <w:rsid w:val="00336B5D"/>
    <w:rsid w:val="00336D56"/>
    <w:rsid w:val="00336DD0"/>
    <w:rsid w:val="00336E65"/>
    <w:rsid w:val="00336E73"/>
    <w:rsid w:val="00336E96"/>
    <w:rsid w:val="00336EDB"/>
    <w:rsid w:val="00336F50"/>
    <w:rsid w:val="00336F88"/>
    <w:rsid w:val="00336FB4"/>
    <w:rsid w:val="00336FD2"/>
    <w:rsid w:val="00336FD9"/>
    <w:rsid w:val="0033708A"/>
    <w:rsid w:val="00337295"/>
    <w:rsid w:val="003372B2"/>
    <w:rsid w:val="00337321"/>
    <w:rsid w:val="00337382"/>
    <w:rsid w:val="003373BF"/>
    <w:rsid w:val="0033755F"/>
    <w:rsid w:val="00337577"/>
    <w:rsid w:val="0033757B"/>
    <w:rsid w:val="00337588"/>
    <w:rsid w:val="00337634"/>
    <w:rsid w:val="00337743"/>
    <w:rsid w:val="00337787"/>
    <w:rsid w:val="00337798"/>
    <w:rsid w:val="003377E1"/>
    <w:rsid w:val="003378A5"/>
    <w:rsid w:val="00337916"/>
    <w:rsid w:val="0033792E"/>
    <w:rsid w:val="00337996"/>
    <w:rsid w:val="00337BF4"/>
    <w:rsid w:val="00337C10"/>
    <w:rsid w:val="00337C9E"/>
    <w:rsid w:val="00337DAC"/>
    <w:rsid w:val="00337E3A"/>
    <w:rsid w:val="00337E41"/>
    <w:rsid w:val="00337EB2"/>
    <w:rsid w:val="00337EEE"/>
    <w:rsid w:val="00337FA9"/>
    <w:rsid w:val="00340100"/>
    <w:rsid w:val="00340113"/>
    <w:rsid w:val="0034015E"/>
    <w:rsid w:val="003401FB"/>
    <w:rsid w:val="00340346"/>
    <w:rsid w:val="003404FD"/>
    <w:rsid w:val="003405AA"/>
    <w:rsid w:val="003405E7"/>
    <w:rsid w:val="003405F1"/>
    <w:rsid w:val="00340698"/>
    <w:rsid w:val="0034071A"/>
    <w:rsid w:val="003407CF"/>
    <w:rsid w:val="003408D0"/>
    <w:rsid w:val="00340966"/>
    <w:rsid w:val="00340A2C"/>
    <w:rsid w:val="00340A6A"/>
    <w:rsid w:val="00340B05"/>
    <w:rsid w:val="00340BA9"/>
    <w:rsid w:val="00340BBB"/>
    <w:rsid w:val="00340BC1"/>
    <w:rsid w:val="00340C26"/>
    <w:rsid w:val="00340C57"/>
    <w:rsid w:val="00340C86"/>
    <w:rsid w:val="00340CB4"/>
    <w:rsid w:val="00340D69"/>
    <w:rsid w:val="00340D8D"/>
    <w:rsid w:val="00340DA7"/>
    <w:rsid w:val="00340DB5"/>
    <w:rsid w:val="00340DC8"/>
    <w:rsid w:val="00340E76"/>
    <w:rsid w:val="00340E9C"/>
    <w:rsid w:val="00340F6E"/>
    <w:rsid w:val="00340F9C"/>
    <w:rsid w:val="003410D4"/>
    <w:rsid w:val="00341107"/>
    <w:rsid w:val="003411A5"/>
    <w:rsid w:val="0034125C"/>
    <w:rsid w:val="0034134D"/>
    <w:rsid w:val="00341382"/>
    <w:rsid w:val="00341476"/>
    <w:rsid w:val="00341482"/>
    <w:rsid w:val="0034148E"/>
    <w:rsid w:val="003414CE"/>
    <w:rsid w:val="00341573"/>
    <w:rsid w:val="0034157A"/>
    <w:rsid w:val="00341582"/>
    <w:rsid w:val="003415C9"/>
    <w:rsid w:val="003415F5"/>
    <w:rsid w:val="0034160F"/>
    <w:rsid w:val="0034166D"/>
    <w:rsid w:val="00341683"/>
    <w:rsid w:val="00341722"/>
    <w:rsid w:val="0034176C"/>
    <w:rsid w:val="0034182E"/>
    <w:rsid w:val="0034184D"/>
    <w:rsid w:val="003418CB"/>
    <w:rsid w:val="003418D3"/>
    <w:rsid w:val="00341908"/>
    <w:rsid w:val="0034194A"/>
    <w:rsid w:val="00341CAD"/>
    <w:rsid w:val="00341D77"/>
    <w:rsid w:val="00341DA4"/>
    <w:rsid w:val="00341DD4"/>
    <w:rsid w:val="00341DF0"/>
    <w:rsid w:val="00341E2A"/>
    <w:rsid w:val="00341E3C"/>
    <w:rsid w:val="00341E4A"/>
    <w:rsid w:val="00341E60"/>
    <w:rsid w:val="00341F3F"/>
    <w:rsid w:val="00341FD3"/>
    <w:rsid w:val="0034205D"/>
    <w:rsid w:val="00342064"/>
    <w:rsid w:val="003420AA"/>
    <w:rsid w:val="003421D8"/>
    <w:rsid w:val="00342250"/>
    <w:rsid w:val="00342288"/>
    <w:rsid w:val="0034229E"/>
    <w:rsid w:val="003422F5"/>
    <w:rsid w:val="00342383"/>
    <w:rsid w:val="00342385"/>
    <w:rsid w:val="00342393"/>
    <w:rsid w:val="003423D7"/>
    <w:rsid w:val="0034262A"/>
    <w:rsid w:val="0034266C"/>
    <w:rsid w:val="0034268A"/>
    <w:rsid w:val="003426A4"/>
    <w:rsid w:val="003426A7"/>
    <w:rsid w:val="003426F5"/>
    <w:rsid w:val="00342700"/>
    <w:rsid w:val="0034278A"/>
    <w:rsid w:val="0034279E"/>
    <w:rsid w:val="00342810"/>
    <w:rsid w:val="00342822"/>
    <w:rsid w:val="0034292E"/>
    <w:rsid w:val="0034299C"/>
    <w:rsid w:val="00342A01"/>
    <w:rsid w:val="00342AE6"/>
    <w:rsid w:val="00342B0E"/>
    <w:rsid w:val="00342B65"/>
    <w:rsid w:val="00342B74"/>
    <w:rsid w:val="00342C42"/>
    <w:rsid w:val="00342C55"/>
    <w:rsid w:val="00342E10"/>
    <w:rsid w:val="00342EC5"/>
    <w:rsid w:val="00342EFB"/>
    <w:rsid w:val="00342FA0"/>
    <w:rsid w:val="00342FD1"/>
    <w:rsid w:val="0034315F"/>
    <w:rsid w:val="0034326C"/>
    <w:rsid w:val="0034330F"/>
    <w:rsid w:val="0034344C"/>
    <w:rsid w:val="00343666"/>
    <w:rsid w:val="003436A9"/>
    <w:rsid w:val="003436AD"/>
    <w:rsid w:val="003436BE"/>
    <w:rsid w:val="00343797"/>
    <w:rsid w:val="00343905"/>
    <w:rsid w:val="003439A7"/>
    <w:rsid w:val="00343A1A"/>
    <w:rsid w:val="00343A35"/>
    <w:rsid w:val="00343ABB"/>
    <w:rsid w:val="00343C4E"/>
    <w:rsid w:val="00343C57"/>
    <w:rsid w:val="00343C84"/>
    <w:rsid w:val="00343CD3"/>
    <w:rsid w:val="00343D87"/>
    <w:rsid w:val="00343DB6"/>
    <w:rsid w:val="00343DBC"/>
    <w:rsid w:val="00343E03"/>
    <w:rsid w:val="00343E59"/>
    <w:rsid w:val="00343EAA"/>
    <w:rsid w:val="00343F5A"/>
    <w:rsid w:val="00343F6B"/>
    <w:rsid w:val="00343F91"/>
    <w:rsid w:val="00344027"/>
    <w:rsid w:val="00344056"/>
    <w:rsid w:val="003440D2"/>
    <w:rsid w:val="003441C4"/>
    <w:rsid w:val="003441F0"/>
    <w:rsid w:val="003441FB"/>
    <w:rsid w:val="0034425C"/>
    <w:rsid w:val="003442A9"/>
    <w:rsid w:val="003442B4"/>
    <w:rsid w:val="003442EB"/>
    <w:rsid w:val="003442F9"/>
    <w:rsid w:val="00344321"/>
    <w:rsid w:val="0034435B"/>
    <w:rsid w:val="00344394"/>
    <w:rsid w:val="00344409"/>
    <w:rsid w:val="0034450D"/>
    <w:rsid w:val="00344571"/>
    <w:rsid w:val="00344609"/>
    <w:rsid w:val="00344638"/>
    <w:rsid w:val="00344643"/>
    <w:rsid w:val="00344778"/>
    <w:rsid w:val="0034480E"/>
    <w:rsid w:val="00344895"/>
    <w:rsid w:val="003448E6"/>
    <w:rsid w:val="003448F6"/>
    <w:rsid w:val="003449A4"/>
    <w:rsid w:val="003449D9"/>
    <w:rsid w:val="00344AAC"/>
    <w:rsid w:val="00344B00"/>
    <w:rsid w:val="00344B3B"/>
    <w:rsid w:val="00344BAC"/>
    <w:rsid w:val="00344C5D"/>
    <w:rsid w:val="00344C7E"/>
    <w:rsid w:val="00344D68"/>
    <w:rsid w:val="00344DBB"/>
    <w:rsid w:val="00344FBA"/>
    <w:rsid w:val="00345093"/>
    <w:rsid w:val="003450E0"/>
    <w:rsid w:val="003451FC"/>
    <w:rsid w:val="00345273"/>
    <w:rsid w:val="003453AB"/>
    <w:rsid w:val="003453B8"/>
    <w:rsid w:val="003453CE"/>
    <w:rsid w:val="003453F1"/>
    <w:rsid w:val="00345415"/>
    <w:rsid w:val="00345460"/>
    <w:rsid w:val="003454C6"/>
    <w:rsid w:val="0034550F"/>
    <w:rsid w:val="00345552"/>
    <w:rsid w:val="0034557F"/>
    <w:rsid w:val="00345615"/>
    <w:rsid w:val="003456B8"/>
    <w:rsid w:val="003456E4"/>
    <w:rsid w:val="003456E7"/>
    <w:rsid w:val="0034578D"/>
    <w:rsid w:val="00345813"/>
    <w:rsid w:val="0034583D"/>
    <w:rsid w:val="0034591F"/>
    <w:rsid w:val="00345940"/>
    <w:rsid w:val="00345972"/>
    <w:rsid w:val="0034597D"/>
    <w:rsid w:val="00345990"/>
    <w:rsid w:val="00345A1E"/>
    <w:rsid w:val="00345A76"/>
    <w:rsid w:val="00345B8E"/>
    <w:rsid w:val="00345D9B"/>
    <w:rsid w:val="00345DAF"/>
    <w:rsid w:val="00345E6A"/>
    <w:rsid w:val="00345E76"/>
    <w:rsid w:val="00345EE9"/>
    <w:rsid w:val="00345F49"/>
    <w:rsid w:val="0034607E"/>
    <w:rsid w:val="003460A1"/>
    <w:rsid w:val="003460C7"/>
    <w:rsid w:val="00346199"/>
    <w:rsid w:val="003462A7"/>
    <w:rsid w:val="003462F2"/>
    <w:rsid w:val="003463F9"/>
    <w:rsid w:val="00346513"/>
    <w:rsid w:val="00346569"/>
    <w:rsid w:val="00346659"/>
    <w:rsid w:val="003466FC"/>
    <w:rsid w:val="00346703"/>
    <w:rsid w:val="00346747"/>
    <w:rsid w:val="00346777"/>
    <w:rsid w:val="00346809"/>
    <w:rsid w:val="003468FF"/>
    <w:rsid w:val="0034692D"/>
    <w:rsid w:val="0034692F"/>
    <w:rsid w:val="003469D6"/>
    <w:rsid w:val="003469D8"/>
    <w:rsid w:val="00346A19"/>
    <w:rsid w:val="00346AFA"/>
    <w:rsid w:val="00346B01"/>
    <w:rsid w:val="00346B7F"/>
    <w:rsid w:val="00346BD5"/>
    <w:rsid w:val="00346C89"/>
    <w:rsid w:val="00346CC1"/>
    <w:rsid w:val="00346CCD"/>
    <w:rsid w:val="00346D6B"/>
    <w:rsid w:val="00346DEC"/>
    <w:rsid w:val="00346E40"/>
    <w:rsid w:val="00346EC6"/>
    <w:rsid w:val="00346F05"/>
    <w:rsid w:val="00346FA9"/>
    <w:rsid w:val="003470A2"/>
    <w:rsid w:val="0034710E"/>
    <w:rsid w:val="00347113"/>
    <w:rsid w:val="0034712F"/>
    <w:rsid w:val="0034715A"/>
    <w:rsid w:val="003471AC"/>
    <w:rsid w:val="0034723E"/>
    <w:rsid w:val="003472A0"/>
    <w:rsid w:val="003472A1"/>
    <w:rsid w:val="00347318"/>
    <w:rsid w:val="00347368"/>
    <w:rsid w:val="00347436"/>
    <w:rsid w:val="0034757A"/>
    <w:rsid w:val="003475D1"/>
    <w:rsid w:val="003476A5"/>
    <w:rsid w:val="003477B1"/>
    <w:rsid w:val="003477F4"/>
    <w:rsid w:val="003478B2"/>
    <w:rsid w:val="00347924"/>
    <w:rsid w:val="003479F8"/>
    <w:rsid w:val="00347A5A"/>
    <w:rsid w:val="00347A62"/>
    <w:rsid w:val="00347AD3"/>
    <w:rsid w:val="00347B20"/>
    <w:rsid w:val="00347B8F"/>
    <w:rsid w:val="00347C44"/>
    <w:rsid w:val="00347C9F"/>
    <w:rsid w:val="00347CE8"/>
    <w:rsid w:val="00347D16"/>
    <w:rsid w:val="00347D56"/>
    <w:rsid w:val="00347D5F"/>
    <w:rsid w:val="00347D8C"/>
    <w:rsid w:val="00347F0E"/>
    <w:rsid w:val="00347F20"/>
    <w:rsid w:val="00347F37"/>
    <w:rsid w:val="00347F72"/>
    <w:rsid w:val="00347FF4"/>
    <w:rsid w:val="0035009F"/>
    <w:rsid w:val="00350104"/>
    <w:rsid w:val="00350108"/>
    <w:rsid w:val="0035019B"/>
    <w:rsid w:val="00350388"/>
    <w:rsid w:val="00350415"/>
    <w:rsid w:val="0035046D"/>
    <w:rsid w:val="00350485"/>
    <w:rsid w:val="0035048E"/>
    <w:rsid w:val="00350556"/>
    <w:rsid w:val="003505BD"/>
    <w:rsid w:val="003505DD"/>
    <w:rsid w:val="00350660"/>
    <w:rsid w:val="00350672"/>
    <w:rsid w:val="00350759"/>
    <w:rsid w:val="003507B7"/>
    <w:rsid w:val="003507F3"/>
    <w:rsid w:val="0035089B"/>
    <w:rsid w:val="0035097A"/>
    <w:rsid w:val="003509B2"/>
    <w:rsid w:val="00350BBB"/>
    <w:rsid w:val="00350CAD"/>
    <w:rsid w:val="00350D8C"/>
    <w:rsid w:val="00350DDB"/>
    <w:rsid w:val="00350EB3"/>
    <w:rsid w:val="00350F3B"/>
    <w:rsid w:val="00350F47"/>
    <w:rsid w:val="00350F8B"/>
    <w:rsid w:val="0035109A"/>
    <w:rsid w:val="00351115"/>
    <w:rsid w:val="0035116A"/>
    <w:rsid w:val="00351236"/>
    <w:rsid w:val="0035127E"/>
    <w:rsid w:val="003512D6"/>
    <w:rsid w:val="003512E9"/>
    <w:rsid w:val="00351307"/>
    <w:rsid w:val="0035132F"/>
    <w:rsid w:val="00351339"/>
    <w:rsid w:val="0035138D"/>
    <w:rsid w:val="003513A0"/>
    <w:rsid w:val="003513A9"/>
    <w:rsid w:val="0035143D"/>
    <w:rsid w:val="00351486"/>
    <w:rsid w:val="0035148C"/>
    <w:rsid w:val="003514A1"/>
    <w:rsid w:val="003514DD"/>
    <w:rsid w:val="00351551"/>
    <w:rsid w:val="0035155E"/>
    <w:rsid w:val="003515DE"/>
    <w:rsid w:val="00351667"/>
    <w:rsid w:val="003516A4"/>
    <w:rsid w:val="00351722"/>
    <w:rsid w:val="00351780"/>
    <w:rsid w:val="00351811"/>
    <w:rsid w:val="00351935"/>
    <w:rsid w:val="0035197B"/>
    <w:rsid w:val="003519AA"/>
    <w:rsid w:val="003519EF"/>
    <w:rsid w:val="00351A7B"/>
    <w:rsid w:val="00351B5C"/>
    <w:rsid w:val="00351BD4"/>
    <w:rsid w:val="00351C75"/>
    <w:rsid w:val="00351DA3"/>
    <w:rsid w:val="00351E80"/>
    <w:rsid w:val="00351F27"/>
    <w:rsid w:val="00351F28"/>
    <w:rsid w:val="00351F43"/>
    <w:rsid w:val="00351F81"/>
    <w:rsid w:val="0035205F"/>
    <w:rsid w:val="00352097"/>
    <w:rsid w:val="003520B7"/>
    <w:rsid w:val="0035210B"/>
    <w:rsid w:val="00352250"/>
    <w:rsid w:val="00352271"/>
    <w:rsid w:val="003522A1"/>
    <w:rsid w:val="003522C6"/>
    <w:rsid w:val="003522F5"/>
    <w:rsid w:val="0035237D"/>
    <w:rsid w:val="0035238E"/>
    <w:rsid w:val="00352408"/>
    <w:rsid w:val="00352468"/>
    <w:rsid w:val="003524A5"/>
    <w:rsid w:val="0035250B"/>
    <w:rsid w:val="00352607"/>
    <w:rsid w:val="0035263B"/>
    <w:rsid w:val="0035266A"/>
    <w:rsid w:val="003527A2"/>
    <w:rsid w:val="003528B1"/>
    <w:rsid w:val="003528E1"/>
    <w:rsid w:val="00352C22"/>
    <w:rsid w:val="00352C9F"/>
    <w:rsid w:val="00352CB2"/>
    <w:rsid w:val="00352CED"/>
    <w:rsid w:val="00352D43"/>
    <w:rsid w:val="00352D46"/>
    <w:rsid w:val="00352DE5"/>
    <w:rsid w:val="00352E17"/>
    <w:rsid w:val="00352E61"/>
    <w:rsid w:val="00352E83"/>
    <w:rsid w:val="00352EB5"/>
    <w:rsid w:val="00352ED8"/>
    <w:rsid w:val="00352EF1"/>
    <w:rsid w:val="00352F5C"/>
    <w:rsid w:val="00352FB7"/>
    <w:rsid w:val="00353000"/>
    <w:rsid w:val="00353088"/>
    <w:rsid w:val="003530AD"/>
    <w:rsid w:val="003530DF"/>
    <w:rsid w:val="00353156"/>
    <w:rsid w:val="0035317E"/>
    <w:rsid w:val="003531C9"/>
    <w:rsid w:val="003532D8"/>
    <w:rsid w:val="0035340E"/>
    <w:rsid w:val="00353421"/>
    <w:rsid w:val="00353466"/>
    <w:rsid w:val="00353485"/>
    <w:rsid w:val="00353595"/>
    <w:rsid w:val="00353612"/>
    <w:rsid w:val="003536BE"/>
    <w:rsid w:val="00353771"/>
    <w:rsid w:val="003537AA"/>
    <w:rsid w:val="003537D7"/>
    <w:rsid w:val="0035382C"/>
    <w:rsid w:val="00353883"/>
    <w:rsid w:val="00353934"/>
    <w:rsid w:val="0035395A"/>
    <w:rsid w:val="0035399E"/>
    <w:rsid w:val="003539BB"/>
    <w:rsid w:val="00353AFC"/>
    <w:rsid w:val="00353B20"/>
    <w:rsid w:val="00353B84"/>
    <w:rsid w:val="00353C2F"/>
    <w:rsid w:val="00353CF5"/>
    <w:rsid w:val="00353D5D"/>
    <w:rsid w:val="00353D63"/>
    <w:rsid w:val="00353E05"/>
    <w:rsid w:val="00353E75"/>
    <w:rsid w:val="00353EF6"/>
    <w:rsid w:val="00353EFD"/>
    <w:rsid w:val="0035403A"/>
    <w:rsid w:val="00354040"/>
    <w:rsid w:val="0035427B"/>
    <w:rsid w:val="003542B6"/>
    <w:rsid w:val="003542D8"/>
    <w:rsid w:val="003543CF"/>
    <w:rsid w:val="003543D8"/>
    <w:rsid w:val="00354423"/>
    <w:rsid w:val="0035445A"/>
    <w:rsid w:val="00354478"/>
    <w:rsid w:val="003544C2"/>
    <w:rsid w:val="0035460F"/>
    <w:rsid w:val="00354642"/>
    <w:rsid w:val="00354695"/>
    <w:rsid w:val="0035470F"/>
    <w:rsid w:val="0035477B"/>
    <w:rsid w:val="0035479C"/>
    <w:rsid w:val="003547BC"/>
    <w:rsid w:val="00354873"/>
    <w:rsid w:val="00354910"/>
    <w:rsid w:val="00354941"/>
    <w:rsid w:val="00354958"/>
    <w:rsid w:val="0035496D"/>
    <w:rsid w:val="00354986"/>
    <w:rsid w:val="003549BF"/>
    <w:rsid w:val="00354A69"/>
    <w:rsid w:val="00354ACE"/>
    <w:rsid w:val="00354B24"/>
    <w:rsid w:val="00354C0B"/>
    <w:rsid w:val="00354C31"/>
    <w:rsid w:val="00354C54"/>
    <w:rsid w:val="00354D27"/>
    <w:rsid w:val="00354DB6"/>
    <w:rsid w:val="00354DDB"/>
    <w:rsid w:val="00354E65"/>
    <w:rsid w:val="00354E75"/>
    <w:rsid w:val="00354E8E"/>
    <w:rsid w:val="00354EA9"/>
    <w:rsid w:val="00354EDD"/>
    <w:rsid w:val="00354F81"/>
    <w:rsid w:val="00354FAB"/>
    <w:rsid w:val="00354FC4"/>
    <w:rsid w:val="00354FDF"/>
    <w:rsid w:val="00354FE5"/>
    <w:rsid w:val="00355022"/>
    <w:rsid w:val="0035503F"/>
    <w:rsid w:val="0035505E"/>
    <w:rsid w:val="003550D1"/>
    <w:rsid w:val="00355221"/>
    <w:rsid w:val="00355269"/>
    <w:rsid w:val="00355430"/>
    <w:rsid w:val="00355522"/>
    <w:rsid w:val="00355643"/>
    <w:rsid w:val="0035564B"/>
    <w:rsid w:val="00355779"/>
    <w:rsid w:val="003557B9"/>
    <w:rsid w:val="00355831"/>
    <w:rsid w:val="0035588A"/>
    <w:rsid w:val="00355915"/>
    <w:rsid w:val="003559D9"/>
    <w:rsid w:val="00355A03"/>
    <w:rsid w:val="00355A2B"/>
    <w:rsid w:val="00355A2C"/>
    <w:rsid w:val="00355B29"/>
    <w:rsid w:val="00355B46"/>
    <w:rsid w:val="00355D0F"/>
    <w:rsid w:val="00355D6D"/>
    <w:rsid w:val="00355DCC"/>
    <w:rsid w:val="00355DE2"/>
    <w:rsid w:val="00355DE9"/>
    <w:rsid w:val="00355DEB"/>
    <w:rsid w:val="00355E78"/>
    <w:rsid w:val="00355E86"/>
    <w:rsid w:val="00355EAC"/>
    <w:rsid w:val="00355EE0"/>
    <w:rsid w:val="00355F19"/>
    <w:rsid w:val="00355FC6"/>
    <w:rsid w:val="00356025"/>
    <w:rsid w:val="00356041"/>
    <w:rsid w:val="0035604E"/>
    <w:rsid w:val="0035608E"/>
    <w:rsid w:val="003560C7"/>
    <w:rsid w:val="00356232"/>
    <w:rsid w:val="0035627F"/>
    <w:rsid w:val="00356281"/>
    <w:rsid w:val="00356305"/>
    <w:rsid w:val="00356314"/>
    <w:rsid w:val="003563A5"/>
    <w:rsid w:val="0035643D"/>
    <w:rsid w:val="00356464"/>
    <w:rsid w:val="0035649A"/>
    <w:rsid w:val="0035658D"/>
    <w:rsid w:val="0035662C"/>
    <w:rsid w:val="003566B2"/>
    <w:rsid w:val="003566DE"/>
    <w:rsid w:val="00356757"/>
    <w:rsid w:val="0035678A"/>
    <w:rsid w:val="003567D5"/>
    <w:rsid w:val="00356841"/>
    <w:rsid w:val="003568CE"/>
    <w:rsid w:val="0035695A"/>
    <w:rsid w:val="00356976"/>
    <w:rsid w:val="00356A45"/>
    <w:rsid w:val="00356AE1"/>
    <w:rsid w:val="00356AEB"/>
    <w:rsid w:val="00356AEC"/>
    <w:rsid w:val="00356B6B"/>
    <w:rsid w:val="00356BCA"/>
    <w:rsid w:val="00356BF1"/>
    <w:rsid w:val="00356C31"/>
    <w:rsid w:val="00356C3B"/>
    <w:rsid w:val="00356C62"/>
    <w:rsid w:val="00356CA3"/>
    <w:rsid w:val="00356D3B"/>
    <w:rsid w:val="00356D85"/>
    <w:rsid w:val="00356DA1"/>
    <w:rsid w:val="00356E67"/>
    <w:rsid w:val="00356F76"/>
    <w:rsid w:val="00357002"/>
    <w:rsid w:val="0035704F"/>
    <w:rsid w:val="0035705D"/>
    <w:rsid w:val="00357060"/>
    <w:rsid w:val="00357090"/>
    <w:rsid w:val="00357099"/>
    <w:rsid w:val="003570CC"/>
    <w:rsid w:val="003570E0"/>
    <w:rsid w:val="003570E8"/>
    <w:rsid w:val="0035718B"/>
    <w:rsid w:val="00357245"/>
    <w:rsid w:val="00357343"/>
    <w:rsid w:val="0035735D"/>
    <w:rsid w:val="0035738A"/>
    <w:rsid w:val="0035743A"/>
    <w:rsid w:val="00357499"/>
    <w:rsid w:val="003574DB"/>
    <w:rsid w:val="003574DC"/>
    <w:rsid w:val="003574DD"/>
    <w:rsid w:val="003574FB"/>
    <w:rsid w:val="0035754E"/>
    <w:rsid w:val="00357568"/>
    <w:rsid w:val="0035756F"/>
    <w:rsid w:val="003575C1"/>
    <w:rsid w:val="003575F7"/>
    <w:rsid w:val="003577E0"/>
    <w:rsid w:val="003577EA"/>
    <w:rsid w:val="00357844"/>
    <w:rsid w:val="003578FF"/>
    <w:rsid w:val="00357940"/>
    <w:rsid w:val="00357964"/>
    <w:rsid w:val="00357A42"/>
    <w:rsid w:val="00357A6C"/>
    <w:rsid w:val="00357B09"/>
    <w:rsid w:val="00357B3D"/>
    <w:rsid w:val="00357B46"/>
    <w:rsid w:val="00357C0B"/>
    <w:rsid w:val="00357C79"/>
    <w:rsid w:val="00357C9B"/>
    <w:rsid w:val="00357CF8"/>
    <w:rsid w:val="00357D8A"/>
    <w:rsid w:val="00357DAA"/>
    <w:rsid w:val="00357DF5"/>
    <w:rsid w:val="00357E5B"/>
    <w:rsid w:val="00357EC7"/>
    <w:rsid w:val="00357EDC"/>
    <w:rsid w:val="00357F12"/>
    <w:rsid w:val="00357F22"/>
    <w:rsid w:val="00357FAA"/>
    <w:rsid w:val="00360142"/>
    <w:rsid w:val="0036020A"/>
    <w:rsid w:val="003602A1"/>
    <w:rsid w:val="003603CF"/>
    <w:rsid w:val="003604AF"/>
    <w:rsid w:val="003605A5"/>
    <w:rsid w:val="003605CF"/>
    <w:rsid w:val="00360681"/>
    <w:rsid w:val="003606FB"/>
    <w:rsid w:val="00360716"/>
    <w:rsid w:val="003607AD"/>
    <w:rsid w:val="00360836"/>
    <w:rsid w:val="00360927"/>
    <w:rsid w:val="00360957"/>
    <w:rsid w:val="0036097D"/>
    <w:rsid w:val="00360998"/>
    <w:rsid w:val="00360A08"/>
    <w:rsid w:val="00360A31"/>
    <w:rsid w:val="00360A44"/>
    <w:rsid w:val="00360ABC"/>
    <w:rsid w:val="00360BF3"/>
    <w:rsid w:val="00360DAC"/>
    <w:rsid w:val="00360EB8"/>
    <w:rsid w:val="003610D7"/>
    <w:rsid w:val="003610F5"/>
    <w:rsid w:val="00361177"/>
    <w:rsid w:val="00361217"/>
    <w:rsid w:val="00361246"/>
    <w:rsid w:val="00361275"/>
    <w:rsid w:val="00361297"/>
    <w:rsid w:val="003612EF"/>
    <w:rsid w:val="00361331"/>
    <w:rsid w:val="00361366"/>
    <w:rsid w:val="00361383"/>
    <w:rsid w:val="003613A9"/>
    <w:rsid w:val="003613CF"/>
    <w:rsid w:val="003613D8"/>
    <w:rsid w:val="00361439"/>
    <w:rsid w:val="00361445"/>
    <w:rsid w:val="00361474"/>
    <w:rsid w:val="003615DB"/>
    <w:rsid w:val="0036163C"/>
    <w:rsid w:val="00361648"/>
    <w:rsid w:val="003616B1"/>
    <w:rsid w:val="003616DD"/>
    <w:rsid w:val="003616FE"/>
    <w:rsid w:val="003617D5"/>
    <w:rsid w:val="00361803"/>
    <w:rsid w:val="0036184F"/>
    <w:rsid w:val="0036186E"/>
    <w:rsid w:val="00361878"/>
    <w:rsid w:val="00361997"/>
    <w:rsid w:val="003619E0"/>
    <w:rsid w:val="00361A1C"/>
    <w:rsid w:val="00361A37"/>
    <w:rsid w:val="00361A41"/>
    <w:rsid w:val="00361A6C"/>
    <w:rsid w:val="00361A95"/>
    <w:rsid w:val="00361AB1"/>
    <w:rsid w:val="00361AB3"/>
    <w:rsid w:val="00361B1C"/>
    <w:rsid w:val="00361BAC"/>
    <w:rsid w:val="00361C18"/>
    <w:rsid w:val="00361C40"/>
    <w:rsid w:val="00361CE5"/>
    <w:rsid w:val="00361DE6"/>
    <w:rsid w:val="00361DF9"/>
    <w:rsid w:val="00361E09"/>
    <w:rsid w:val="00361E69"/>
    <w:rsid w:val="00361EB6"/>
    <w:rsid w:val="00362002"/>
    <w:rsid w:val="003620E4"/>
    <w:rsid w:val="00362143"/>
    <w:rsid w:val="00362174"/>
    <w:rsid w:val="003621C5"/>
    <w:rsid w:val="0036221A"/>
    <w:rsid w:val="0036224B"/>
    <w:rsid w:val="00362277"/>
    <w:rsid w:val="00362380"/>
    <w:rsid w:val="00362416"/>
    <w:rsid w:val="00362484"/>
    <w:rsid w:val="00362533"/>
    <w:rsid w:val="003625BA"/>
    <w:rsid w:val="003627C8"/>
    <w:rsid w:val="00362834"/>
    <w:rsid w:val="00362845"/>
    <w:rsid w:val="0036289D"/>
    <w:rsid w:val="003628A9"/>
    <w:rsid w:val="003628BC"/>
    <w:rsid w:val="003628F8"/>
    <w:rsid w:val="0036296A"/>
    <w:rsid w:val="0036296D"/>
    <w:rsid w:val="003629B0"/>
    <w:rsid w:val="003629EE"/>
    <w:rsid w:val="00362A26"/>
    <w:rsid w:val="00362B23"/>
    <w:rsid w:val="00362B28"/>
    <w:rsid w:val="00362B70"/>
    <w:rsid w:val="00362C35"/>
    <w:rsid w:val="00362D00"/>
    <w:rsid w:val="00362D9C"/>
    <w:rsid w:val="00362FA3"/>
    <w:rsid w:val="003630CF"/>
    <w:rsid w:val="003631A4"/>
    <w:rsid w:val="0036326F"/>
    <w:rsid w:val="0036346A"/>
    <w:rsid w:val="00363492"/>
    <w:rsid w:val="003634EA"/>
    <w:rsid w:val="0036359E"/>
    <w:rsid w:val="00363641"/>
    <w:rsid w:val="0036364A"/>
    <w:rsid w:val="003636F6"/>
    <w:rsid w:val="0036378D"/>
    <w:rsid w:val="003637B5"/>
    <w:rsid w:val="0036383F"/>
    <w:rsid w:val="00363939"/>
    <w:rsid w:val="003639B5"/>
    <w:rsid w:val="00363A37"/>
    <w:rsid w:val="00363B22"/>
    <w:rsid w:val="00363C15"/>
    <w:rsid w:val="00363C7F"/>
    <w:rsid w:val="00363DD0"/>
    <w:rsid w:val="00363E73"/>
    <w:rsid w:val="00363E87"/>
    <w:rsid w:val="00363EE7"/>
    <w:rsid w:val="00363F23"/>
    <w:rsid w:val="00363FE9"/>
    <w:rsid w:val="00363FFB"/>
    <w:rsid w:val="00364086"/>
    <w:rsid w:val="003640E0"/>
    <w:rsid w:val="0036414D"/>
    <w:rsid w:val="00364273"/>
    <w:rsid w:val="0036428A"/>
    <w:rsid w:val="0036438F"/>
    <w:rsid w:val="00364424"/>
    <w:rsid w:val="00364460"/>
    <w:rsid w:val="0036446C"/>
    <w:rsid w:val="00364471"/>
    <w:rsid w:val="00364476"/>
    <w:rsid w:val="00364484"/>
    <w:rsid w:val="0036449B"/>
    <w:rsid w:val="003644FF"/>
    <w:rsid w:val="0036458C"/>
    <w:rsid w:val="003645E1"/>
    <w:rsid w:val="00364603"/>
    <w:rsid w:val="00364657"/>
    <w:rsid w:val="0036468A"/>
    <w:rsid w:val="003646F3"/>
    <w:rsid w:val="003647EC"/>
    <w:rsid w:val="003648CD"/>
    <w:rsid w:val="003649A1"/>
    <w:rsid w:val="00364A26"/>
    <w:rsid w:val="00364A68"/>
    <w:rsid w:val="00364A6C"/>
    <w:rsid w:val="00364AA3"/>
    <w:rsid w:val="00364AF4"/>
    <w:rsid w:val="00364B2B"/>
    <w:rsid w:val="00364C0B"/>
    <w:rsid w:val="00364C3D"/>
    <w:rsid w:val="00364C5B"/>
    <w:rsid w:val="00364CB4"/>
    <w:rsid w:val="00364E64"/>
    <w:rsid w:val="00364F55"/>
    <w:rsid w:val="00364FE7"/>
    <w:rsid w:val="0036508B"/>
    <w:rsid w:val="003650BA"/>
    <w:rsid w:val="00365288"/>
    <w:rsid w:val="003652ED"/>
    <w:rsid w:val="0036530B"/>
    <w:rsid w:val="0036531E"/>
    <w:rsid w:val="0036547C"/>
    <w:rsid w:val="00365495"/>
    <w:rsid w:val="0036549D"/>
    <w:rsid w:val="00365547"/>
    <w:rsid w:val="0036554D"/>
    <w:rsid w:val="0036558A"/>
    <w:rsid w:val="003655E8"/>
    <w:rsid w:val="00365617"/>
    <w:rsid w:val="00365630"/>
    <w:rsid w:val="00365640"/>
    <w:rsid w:val="0036565D"/>
    <w:rsid w:val="0036569A"/>
    <w:rsid w:val="00365775"/>
    <w:rsid w:val="00365797"/>
    <w:rsid w:val="003657AB"/>
    <w:rsid w:val="00365806"/>
    <w:rsid w:val="00365864"/>
    <w:rsid w:val="0036596B"/>
    <w:rsid w:val="00365990"/>
    <w:rsid w:val="00365A77"/>
    <w:rsid w:val="00365B13"/>
    <w:rsid w:val="00365B43"/>
    <w:rsid w:val="00365CFB"/>
    <w:rsid w:val="00365D77"/>
    <w:rsid w:val="00365DAE"/>
    <w:rsid w:val="00365DCF"/>
    <w:rsid w:val="00365E7E"/>
    <w:rsid w:val="00365E8A"/>
    <w:rsid w:val="00365F35"/>
    <w:rsid w:val="00366005"/>
    <w:rsid w:val="0036613E"/>
    <w:rsid w:val="00366156"/>
    <w:rsid w:val="0036615B"/>
    <w:rsid w:val="00366296"/>
    <w:rsid w:val="00366353"/>
    <w:rsid w:val="00366363"/>
    <w:rsid w:val="00366430"/>
    <w:rsid w:val="003664DE"/>
    <w:rsid w:val="0036650E"/>
    <w:rsid w:val="00366625"/>
    <w:rsid w:val="0036668E"/>
    <w:rsid w:val="00366779"/>
    <w:rsid w:val="00366893"/>
    <w:rsid w:val="0036689E"/>
    <w:rsid w:val="003668F6"/>
    <w:rsid w:val="003669C8"/>
    <w:rsid w:val="00366A00"/>
    <w:rsid w:val="00366A7D"/>
    <w:rsid w:val="00366AA5"/>
    <w:rsid w:val="00366B86"/>
    <w:rsid w:val="00366B9D"/>
    <w:rsid w:val="00366BF8"/>
    <w:rsid w:val="00366C4E"/>
    <w:rsid w:val="00366C6B"/>
    <w:rsid w:val="00366C92"/>
    <w:rsid w:val="00366D20"/>
    <w:rsid w:val="00366D6D"/>
    <w:rsid w:val="00366DCC"/>
    <w:rsid w:val="00366E09"/>
    <w:rsid w:val="00366FE6"/>
    <w:rsid w:val="003670A2"/>
    <w:rsid w:val="00367147"/>
    <w:rsid w:val="00367307"/>
    <w:rsid w:val="0036733A"/>
    <w:rsid w:val="003673D1"/>
    <w:rsid w:val="003673FC"/>
    <w:rsid w:val="00367429"/>
    <w:rsid w:val="00367433"/>
    <w:rsid w:val="00367474"/>
    <w:rsid w:val="003674FD"/>
    <w:rsid w:val="00367555"/>
    <w:rsid w:val="003675A4"/>
    <w:rsid w:val="00367606"/>
    <w:rsid w:val="00367654"/>
    <w:rsid w:val="003676C5"/>
    <w:rsid w:val="003676DD"/>
    <w:rsid w:val="003677C9"/>
    <w:rsid w:val="0036784D"/>
    <w:rsid w:val="0036788F"/>
    <w:rsid w:val="003678AA"/>
    <w:rsid w:val="003678F0"/>
    <w:rsid w:val="003679B1"/>
    <w:rsid w:val="003679F7"/>
    <w:rsid w:val="00367A39"/>
    <w:rsid w:val="00367AA9"/>
    <w:rsid w:val="00367AFF"/>
    <w:rsid w:val="00367B4F"/>
    <w:rsid w:val="00367B69"/>
    <w:rsid w:val="00367B95"/>
    <w:rsid w:val="00367BCE"/>
    <w:rsid w:val="00367BE5"/>
    <w:rsid w:val="00367C57"/>
    <w:rsid w:val="00367CFE"/>
    <w:rsid w:val="00367D93"/>
    <w:rsid w:val="00367D94"/>
    <w:rsid w:val="00367E0B"/>
    <w:rsid w:val="00367E83"/>
    <w:rsid w:val="00367E9D"/>
    <w:rsid w:val="00367EA7"/>
    <w:rsid w:val="00367EE0"/>
    <w:rsid w:val="00367F76"/>
    <w:rsid w:val="00367F8C"/>
    <w:rsid w:val="0037003D"/>
    <w:rsid w:val="00370098"/>
    <w:rsid w:val="003700E5"/>
    <w:rsid w:val="00370136"/>
    <w:rsid w:val="00370179"/>
    <w:rsid w:val="003701EF"/>
    <w:rsid w:val="00370225"/>
    <w:rsid w:val="0037028F"/>
    <w:rsid w:val="003702C6"/>
    <w:rsid w:val="00370306"/>
    <w:rsid w:val="003703D3"/>
    <w:rsid w:val="003703D6"/>
    <w:rsid w:val="00370406"/>
    <w:rsid w:val="00370457"/>
    <w:rsid w:val="00370474"/>
    <w:rsid w:val="00370488"/>
    <w:rsid w:val="00370523"/>
    <w:rsid w:val="00370577"/>
    <w:rsid w:val="00370591"/>
    <w:rsid w:val="00370626"/>
    <w:rsid w:val="003706FD"/>
    <w:rsid w:val="00370736"/>
    <w:rsid w:val="00370789"/>
    <w:rsid w:val="00370796"/>
    <w:rsid w:val="0037081E"/>
    <w:rsid w:val="003708C8"/>
    <w:rsid w:val="003708D4"/>
    <w:rsid w:val="0037093F"/>
    <w:rsid w:val="003709F1"/>
    <w:rsid w:val="00370A71"/>
    <w:rsid w:val="00370A85"/>
    <w:rsid w:val="00370BC8"/>
    <w:rsid w:val="00370C90"/>
    <w:rsid w:val="00370D39"/>
    <w:rsid w:val="00370D3D"/>
    <w:rsid w:val="00370D54"/>
    <w:rsid w:val="00370E25"/>
    <w:rsid w:val="00370E4D"/>
    <w:rsid w:val="00371188"/>
    <w:rsid w:val="0037130E"/>
    <w:rsid w:val="00371341"/>
    <w:rsid w:val="0037138F"/>
    <w:rsid w:val="003713FF"/>
    <w:rsid w:val="00371440"/>
    <w:rsid w:val="00371497"/>
    <w:rsid w:val="003715B4"/>
    <w:rsid w:val="0037169F"/>
    <w:rsid w:val="003716EF"/>
    <w:rsid w:val="00371726"/>
    <w:rsid w:val="003717F5"/>
    <w:rsid w:val="0037185C"/>
    <w:rsid w:val="0037185D"/>
    <w:rsid w:val="00371867"/>
    <w:rsid w:val="003718B4"/>
    <w:rsid w:val="0037198B"/>
    <w:rsid w:val="00371ABF"/>
    <w:rsid w:val="00371B3F"/>
    <w:rsid w:val="00371B83"/>
    <w:rsid w:val="00371BB4"/>
    <w:rsid w:val="00371BD9"/>
    <w:rsid w:val="00371CDE"/>
    <w:rsid w:val="00371D3F"/>
    <w:rsid w:val="00371D66"/>
    <w:rsid w:val="00371F23"/>
    <w:rsid w:val="00372022"/>
    <w:rsid w:val="00372037"/>
    <w:rsid w:val="003720DB"/>
    <w:rsid w:val="003721C3"/>
    <w:rsid w:val="003722C8"/>
    <w:rsid w:val="003722D5"/>
    <w:rsid w:val="003722FC"/>
    <w:rsid w:val="00372382"/>
    <w:rsid w:val="003723BA"/>
    <w:rsid w:val="003723D6"/>
    <w:rsid w:val="003723E5"/>
    <w:rsid w:val="003723FD"/>
    <w:rsid w:val="00372422"/>
    <w:rsid w:val="0037243F"/>
    <w:rsid w:val="0037247C"/>
    <w:rsid w:val="00372521"/>
    <w:rsid w:val="00372589"/>
    <w:rsid w:val="003726D5"/>
    <w:rsid w:val="0037276A"/>
    <w:rsid w:val="00372784"/>
    <w:rsid w:val="00372AF2"/>
    <w:rsid w:val="00372C8C"/>
    <w:rsid w:val="00372CB2"/>
    <w:rsid w:val="00372CD6"/>
    <w:rsid w:val="00372D1B"/>
    <w:rsid w:val="00372D99"/>
    <w:rsid w:val="00372DD0"/>
    <w:rsid w:val="00372E94"/>
    <w:rsid w:val="00372EEA"/>
    <w:rsid w:val="00372FB6"/>
    <w:rsid w:val="00372FF9"/>
    <w:rsid w:val="00373031"/>
    <w:rsid w:val="00373041"/>
    <w:rsid w:val="0037311F"/>
    <w:rsid w:val="00373143"/>
    <w:rsid w:val="00373154"/>
    <w:rsid w:val="003731B7"/>
    <w:rsid w:val="0037327C"/>
    <w:rsid w:val="00373385"/>
    <w:rsid w:val="00373390"/>
    <w:rsid w:val="003733E8"/>
    <w:rsid w:val="00373417"/>
    <w:rsid w:val="00373449"/>
    <w:rsid w:val="0037351F"/>
    <w:rsid w:val="0037359B"/>
    <w:rsid w:val="00373694"/>
    <w:rsid w:val="00373707"/>
    <w:rsid w:val="0037376D"/>
    <w:rsid w:val="0037382E"/>
    <w:rsid w:val="003738AB"/>
    <w:rsid w:val="00373901"/>
    <w:rsid w:val="0037399B"/>
    <w:rsid w:val="00373A8A"/>
    <w:rsid w:val="00373AE2"/>
    <w:rsid w:val="00373B84"/>
    <w:rsid w:val="00373C99"/>
    <w:rsid w:val="00373D3F"/>
    <w:rsid w:val="00373E08"/>
    <w:rsid w:val="00373E4C"/>
    <w:rsid w:val="00373E4E"/>
    <w:rsid w:val="00373EA4"/>
    <w:rsid w:val="00373EC3"/>
    <w:rsid w:val="00373FA0"/>
    <w:rsid w:val="00373FB3"/>
    <w:rsid w:val="0037403D"/>
    <w:rsid w:val="0037418E"/>
    <w:rsid w:val="003741C4"/>
    <w:rsid w:val="003741ED"/>
    <w:rsid w:val="0037424F"/>
    <w:rsid w:val="00374266"/>
    <w:rsid w:val="0037427A"/>
    <w:rsid w:val="0037428C"/>
    <w:rsid w:val="00374363"/>
    <w:rsid w:val="003744A1"/>
    <w:rsid w:val="003744B0"/>
    <w:rsid w:val="003745CB"/>
    <w:rsid w:val="003745F6"/>
    <w:rsid w:val="003746A5"/>
    <w:rsid w:val="003746DC"/>
    <w:rsid w:val="00374758"/>
    <w:rsid w:val="00374855"/>
    <w:rsid w:val="00374865"/>
    <w:rsid w:val="00374898"/>
    <w:rsid w:val="003748CD"/>
    <w:rsid w:val="00374904"/>
    <w:rsid w:val="0037497C"/>
    <w:rsid w:val="0037497E"/>
    <w:rsid w:val="00374AD4"/>
    <w:rsid w:val="00374BAE"/>
    <w:rsid w:val="00374C48"/>
    <w:rsid w:val="00374D22"/>
    <w:rsid w:val="00374D2F"/>
    <w:rsid w:val="00374D77"/>
    <w:rsid w:val="00374E32"/>
    <w:rsid w:val="00374ECE"/>
    <w:rsid w:val="00374ED6"/>
    <w:rsid w:val="00374F30"/>
    <w:rsid w:val="00374FCF"/>
    <w:rsid w:val="0037506E"/>
    <w:rsid w:val="0037507B"/>
    <w:rsid w:val="003750AE"/>
    <w:rsid w:val="003750DA"/>
    <w:rsid w:val="00375148"/>
    <w:rsid w:val="003752DD"/>
    <w:rsid w:val="003752EB"/>
    <w:rsid w:val="003752F0"/>
    <w:rsid w:val="003752FF"/>
    <w:rsid w:val="00375364"/>
    <w:rsid w:val="003753C4"/>
    <w:rsid w:val="0037557F"/>
    <w:rsid w:val="00375589"/>
    <w:rsid w:val="00375655"/>
    <w:rsid w:val="00375890"/>
    <w:rsid w:val="003758A2"/>
    <w:rsid w:val="003758CA"/>
    <w:rsid w:val="003758F0"/>
    <w:rsid w:val="00375901"/>
    <w:rsid w:val="0037594F"/>
    <w:rsid w:val="00375965"/>
    <w:rsid w:val="003759BE"/>
    <w:rsid w:val="00375AAE"/>
    <w:rsid w:val="00375B31"/>
    <w:rsid w:val="00375B5D"/>
    <w:rsid w:val="00375B8F"/>
    <w:rsid w:val="00375B94"/>
    <w:rsid w:val="00375BA4"/>
    <w:rsid w:val="00375C4D"/>
    <w:rsid w:val="00375D12"/>
    <w:rsid w:val="00375D8E"/>
    <w:rsid w:val="00375DB3"/>
    <w:rsid w:val="00375DBB"/>
    <w:rsid w:val="00375DEE"/>
    <w:rsid w:val="00375E4D"/>
    <w:rsid w:val="00375F43"/>
    <w:rsid w:val="00375F4A"/>
    <w:rsid w:val="00375F72"/>
    <w:rsid w:val="00376083"/>
    <w:rsid w:val="003760B6"/>
    <w:rsid w:val="00376118"/>
    <w:rsid w:val="0037615E"/>
    <w:rsid w:val="00376199"/>
    <w:rsid w:val="00376232"/>
    <w:rsid w:val="00376299"/>
    <w:rsid w:val="00376374"/>
    <w:rsid w:val="003764A4"/>
    <w:rsid w:val="00376582"/>
    <w:rsid w:val="00376583"/>
    <w:rsid w:val="00376718"/>
    <w:rsid w:val="00376891"/>
    <w:rsid w:val="003768CD"/>
    <w:rsid w:val="003768FF"/>
    <w:rsid w:val="00376925"/>
    <w:rsid w:val="0037693C"/>
    <w:rsid w:val="00376A6C"/>
    <w:rsid w:val="00376A94"/>
    <w:rsid w:val="00376ACE"/>
    <w:rsid w:val="00376B5B"/>
    <w:rsid w:val="00376B90"/>
    <w:rsid w:val="00376CEA"/>
    <w:rsid w:val="00376CF0"/>
    <w:rsid w:val="00376D3C"/>
    <w:rsid w:val="00376D7F"/>
    <w:rsid w:val="00376DEB"/>
    <w:rsid w:val="00376EBC"/>
    <w:rsid w:val="00376EF8"/>
    <w:rsid w:val="00376F6A"/>
    <w:rsid w:val="00376F83"/>
    <w:rsid w:val="00377028"/>
    <w:rsid w:val="003770EF"/>
    <w:rsid w:val="003771DD"/>
    <w:rsid w:val="00377229"/>
    <w:rsid w:val="00377261"/>
    <w:rsid w:val="0037739D"/>
    <w:rsid w:val="003773BF"/>
    <w:rsid w:val="0037745D"/>
    <w:rsid w:val="00377623"/>
    <w:rsid w:val="003777A5"/>
    <w:rsid w:val="003777D8"/>
    <w:rsid w:val="003777F1"/>
    <w:rsid w:val="00377898"/>
    <w:rsid w:val="003778E5"/>
    <w:rsid w:val="003778F9"/>
    <w:rsid w:val="00377911"/>
    <w:rsid w:val="003779EF"/>
    <w:rsid w:val="00377A3A"/>
    <w:rsid w:val="00377B21"/>
    <w:rsid w:val="00377BD2"/>
    <w:rsid w:val="00377BFA"/>
    <w:rsid w:val="00377C09"/>
    <w:rsid w:val="00377CB7"/>
    <w:rsid w:val="00377CC8"/>
    <w:rsid w:val="00377DA8"/>
    <w:rsid w:val="00377DC0"/>
    <w:rsid w:val="00377DE9"/>
    <w:rsid w:val="00377EA7"/>
    <w:rsid w:val="00377FDB"/>
    <w:rsid w:val="00377FF6"/>
    <w:rsid w:val="00380065"/>
    <w:rsid w:val="003800A1"/>
    <w:rsid w:val="003801D7"/>
    <w:rsid w:val="003801FF"/>
    <w:rsid w:val="0038021A"/>
    <w:rsid w:val="0038024D"/>
    <w:rsid w:val="003802EF"/>
    <w:rsid w:val="003805DB"/>
    <w:rsid w:val="003805E6"/>
    <w:rsid w:val="0038061A"/>
    <w:rsid w:val="00380634"/>
    <w:rsid w:val="00380698"/>
    <w:rsid w:val="003806A7"/>
    <w:rsid w:val="0038074F"/>
    <w:rsid w:val="003807F5"/>
    <w:rsid w:val="00380964"/>
    <w:rsid w:val="003809CB"/>
    <w:rsid w:val="00380A45"/>
    <w:rsid w:val="00380A84"/>
    <w:rsid w:val="00380ACD"/>
    <w:rsid w:val="00380AEA"/>
    <w:rsid w:val="00380AF8"/>
    <w:rsid w:val="00380B88"/>
    <w:rsid w:val="00380D17"/>
    <w:rsid w:val="00380D5C"/>
    <w:rsid w:val="00380DE1"/>
    <w:rsid w:val="0038104F"/>
    <w:rsid w:val="00381085"/>
    <w:rsid w:val="003810C9"/>
    <w:rsid w:val="00381100"/>
    <w:rsid w:val="003811E5"/>
    <w:rsid w:val="00381279"/>
    <w:rsid w:val="0038127F"/>
    <w:rsid w:val="003812A2"/>
    <w:rsid w:val="003812EB"/>
    <w:rsid w:val="003812FE"/>
    <w:rsid w:val="00381317"/>
    <w:rsid w:val="00381329"/>
    <w:rsid w:val="00381366"/>
    <w:rsid w:val="00381415"/>
    <w:rsid w:val="003815DF"/>
    <w:rsid w:val="00381612"/>
    <w:rsid w:val="00381659"/>
    <w:rsid w:val="0038165E"/>
    <w:rsid w:val="003816FF"/>
    <w:rsid w:val="00381712"/>
    <w:rsid w:val="0038175F"/>
    <w:rsid w:val="003817C4"/>
    <w:rsid w:val="003817FA"/>
    <w:rsid w:val="00381806"/>
    <w:rsid w:val="00381812"/>
    <w:rsid w:val="003818B5"/>
    <w:rsid w:val="003818E2"/>
    <w:rsid w:val="00381953"/>
    <w:rsid w:val="0038198C"/>
    <w:rsid w:val="0038199A"/>
    <w:rsid w:val="003819AA"/>
    <w:rsid w:val="003819D4"/>
    <w:rsid w:val="00381A1C"/>
    <w:rsid w:val="00381A57"/>
    <w:rsid w:val="00381A69"/>
    <w:rsid w:val="00381AE2"/>
    <w:rsid w:val="00381B8B"/>
    <w:rsid w:val="00381BA1"/>
    <w:rsid w:val="00381C1C"/>
    <w:rsid w:val="00381C35"/>
    <w:rsid w:val="00381CB4"/>
    <w:rsid w:val="00381CB7"/>
    <w:rsid w:val="00381CDE"/>
    <w:rsid w:val="00381DEF"/>
    <w:rsid w:val="00381E97"/>
    <w:rsid w:val="00381F05"/>
    <w:rsid w:val="0038200F"/>
    <w:rsid w:val="00382049"/>
    <w:rsid w:val="003820A0"/>
    <w:rsid w:val="00382105"/>
    <w:rsid w:val="003821B0"/>
    <w:rsid w:val="0038226C"/>
    <w:rsid w:val="003823CD"/>
    <w:rsid w:val="003824B0"/>
    <w:rsid w:val="003824D0"/>
    <w:rsid w:val="003824DF"/>
    <w:rsid w:val="0038256C"/>
    <w:rsid w:val="003825C5"/>
    <w:rsid w:val="00382627"/>
    <w:rsid w:val="0038266A"/>
    <w:rsid w:val="00382741"/>
    <w:rsid w:val="0038278A"/>
    <w:rsid w:val="00382811"/>
    <w:rsid w:val="0038288C"/>
    <w:rsid w:val="0038299B"/>
    <w:rsid w:val="003829C6"/>
    <w:rsid w:val="003829CD"/>
    <w:rsid w:val="00382A00"/>
    <w:rsid w:val="00382A14"/>
    <w:rsid w:val="00382AF5"/>
    <w:rsid w:val="00382DC5"/>
    <w:rsid w:val="00382DCC"/>
    <w:rsid w:val="00382E5C"/>
    <w:rsid w:val="00382F0E"/>
    <w:rsid w:val="00382FFC"/>
    <w:rsid w:val="00383011"/>
    <w:rsid w:val="0038301B"/>
    <w:rsid w:val="003830BF"/>
    <w:rsid w:val="003831CC"/>
    <w:rsid w:val="00383211"/>
    <w:rsid w:val="00383237"/>
    <w:rsid w:val="00383272"/>
    <w:rsid w:val="00383386"/>
    <w:rsid w:val="00383422"/>
    <w:rsid w:val="0038352B"/>
    <w:rsid w:val="00383546"/>
    <w:rsid w:val="00383555"/>
    <w:rsid w:val="00383789"/>
    <w:rsid w:val="003838B8"/>
    <w:rsid w:val="003838E7"/>
    <w:rsid w:val="003838E9"/>
    <w:rsid w:val="00383939"/>
    <w:rsid w:val="0038395E"/>
    <w:rsid w:val="00383A4A"/>
    <w:rsid w:val="00383A72"/>
    <w:rsid w:val="00383B69"/>
    <w:rsid w:val="00383C20"/>
    <w:rsid w:val="00383C65"/>
    <w:rsid w:val="00383C7F"/>
    <w:rsid w:val="00383CC5"/>
    <w:rsid w:val="00383CC9"/>
    <w:rsid w:val="00383D3E"/>
    <w:rsid w:val="00383E5D"/>
    <w:rsid w:val="00383EAB"/>
    <w:rsid w:val="00383F2A"/>
    <w:rsid w:val="00383F67"/>
    <w:rsid w:val="00383FC5"/>
    <w:rsid w:val="0038408D"/>
    <w:rsid w:val="00384093"/>
    <w:rsid w:val="00384169"/>
    <w:rsid w:val="0038425A"/>
    <w:rsid w:val="0038437C"/>
    <w:rsid w:val="003843EA"/>
    <w:rsid w:val="0038465A"/>
    <w:rsid w:val="00384774"/>
    <w:rsid w:val="003848BF"/>
    <w:rsid w:val="003848F7"/>
    <w:rsid w:val="00384918"/>
    <w:rsid w:val="003849AB"/>
    <w:rsid w:val="003849CF"/>
    <w:rsid w:val="00384A2B"/>
    <w:rsid w:val="00384AF2"/>
    <w:rsid w:val="00384B39"/>
    <w:rsid w:val="00384B3C"/>
    <w:rsid w:val="00384D9B"/>
    <w:rsid w:val="00384DAD"/>
    <w:rsid w:val="00384DC0"/>
    <w:rsid w:val="00384DD3"/>
    <w:rsid w:val="00384DFC"/>
    <w:rsid w:val="00384ED4"/>
    <w:rsid w:val="00384F1C"/>
    <w:rsid w:val="00385054"/>
    <w:rsid w:val="0038518C"/>
    <w:rsid w:val="003851AC"/>
    <w:rsid w:val="003851BD"/>
    <w:rsid w:val="003852F1"/>
    <w:rsid w:val="00385477"/>
    <w:rsid w:val="003854F3"/>
    <w:rsid w:val="00385592"/>
    <w:rsid w:val="003855AF"/>
    <w:rsid w:val="00385668"/>
    <w:rsid w:val="003856F0"/>
    <w:rsid w:val="00385761"/>
    <w:rsid w:val="00385798"/>
    <w:rsid w:val="003857BA"/>
    <w:rsid w:val="003858A6"/>
    <w:rsid w:val="003858E1"/>
    <w:rsid w:val="00385906"/>
    <w:rsid w:val="00385A8B"/>
    <w:rsid w:val="00385C07"/>
    <w:rsid w:val="00385C6D"/>
    <w:rsid w:val="00385C9E"/>
    <w:rsid w:val="00385CF1"/>
    <w:rsid w:val="00385D76"/>
    <w:rsid w:val="00385D82"/>
    <w:rsid w:val="00385EE6"/>
    <w:rsid w:val="00385EF8"/>
    <w:rsid w:val="00385EF9"/>
    <w:rsid w:val="00385F78"/>
    <w:rsid w:val="00385FB6"/>
    <w:rsid w:val="00385FF4"/>
    <w:rsid w:val="0038602F"/>
    <w:rsid w:val="003860C3"/>
    <w:rsid w:val="0038618F"/>
    <w:rsid w:val="003861D7"/>
    <w:rsid w:val="0038627A"/>
    <w:rsid w:val="00386289"/>
    <w:rsid w:val="0038628C"/>
    <w:rsid w:val="0038630D"/>
    <w:rsid w:val="0038634B"/>
    <w:rsid w:val="0038639A"/>
    <w:rsid w:val="003863F3"/>
    <w:rsid w:val="00386406"/>
    <w:rsid w:val="00386413"/>
    <w:rsid w:val="00386515"/>
    <w:rsid w:val="0038653A"/>
    <w:rsid w:val="0038659B"/>
    <w:rsid w:val="003865B6"/>
    <w:rsid w:val="00386657"/>
    <w:rsid w:val="0038667F"/>
    <w:rsid w:val="003866AE"/>
    <w:rsid w:val="003866F8"/>
    <w:rsid w:val="00386923"/>
    <w:rsid w:val="00386924"/>
    <w:rsid w:val="00386949"/>
    <w:rsid w:val="0038698C"/>
    <w:rsid w:val="003869D9"/>
    <w:rsid w:val="00386A09"/>
    <w:rsid w:val="00386A96"/>
    <w:rsid w:val="00386A9E"/>
    <w:rsid w:val="00386BAA"/>
    <w:rsid w:val="00386BF6"/>
    <w:rsid w:val="00386C5B"/>
    <w:rsid w:val="00386CAD"/>
    <w:rsid w:val="00386D50"/>
    <w:rsid w:val="00386DA2"/>
    <w:rsid w:val="00386E95"/>
    <w:rsid w:val="00386EAA"/>
    <w:rsid w:val="00386F07"/>
    <w:rsid w:val="00386F69"/>
    <w:rsid w:val="00386FCA"/>
    <w:rsid w:val="00386FCB"/>
    <w:rsid w:val="003870CE"/>
    <w:rsid w:val="00387134"/>
    <w:rsid w:val="0038738A"/>
    <w:rsid w:val="003873B6"/>
    <w:rsid w:val="003874A0"/>
    <w:rsid w:val="00387552"/>
    <w:rsid w:val="003875DF"/>
    <w:rsid w:val="00387631"/>
    <w:rsid w:val="003876B9"/>
    <w:rsid w:val="003876EE"/>
    <w:rsid w:val="003876F7"/>
    <w:rsid w:val="00387763"/>
    <w:rsid w:val="00387808"/>
    <w:rsid w:val="00387831"/>
    <w:rsid w:val="00387888"/>
    <w:rsid w:val="003879A0"/>
    <w:rsid w:val="00387A28"/>
    <w:rsid w:val="00387A35"/>
    <w:rsid w:val="00387BD1"/>
    <w:rsid w:val="00387BDD"/>
    <w:rsid w:val="00387CC1"/>
    <w:rsid w:val="00387D03"/>
    <w:rsid w:val="00387D1D"/>
    <w:rsid w:val="00387DAC"/>
    <w:rsid w:val="00387DD7"/>
    <w:rsid w:val="00387DFB"/>
    <w:rsid w:val="00387F98"/>
    <w:rsid w:val="00387FB8"/>
    <w:rsid w:val="00390047"/>
    <w:rsid w:val="0039008D"/>
    <w:rsid w:val="003900FE"/>
    <w:rsid w:val="00390100"/>
    <w:rsid w:val="00390137"/>
    <w:rsid w:val="003901CD"/>
    <w:rsid w:val="003901F2"/>
    <w:rsid w:val="003901F6"/>
    <w:rsid w:val="00390426"/>
    <w:rsid w:val="0039047D"/>
    <w:rsid w:val="0039048A"/>
    <w:rsid w:val="00390497"/>
    <w:rsid w:val="00390521"/>
    <w:rsid w:val="00390526"/>
    <w:rsid w:val="00390565"/>
    <w:rsid w:val="0039056F"/>
    <w:rsid w:val="00390582"/>
    <w:rsid w:val="003905CC"/>
    <w:rsid w:val="00390692"/>
    <w:rsid w:val="0039073F"/>
    <w:rsid w:val="003907E7"/>
    <w:rsid w:val="003907ED"/>
    <w:rsid w:val="0039080E"/>
    <w:rsid w:val="00390846"/>
    <w:rsid w:val="0039088B"/>
    <w:rsid w:val="00390890"/>
    <w:rsid w:val="0039094A"/>
    <w:rsid w:val="00390A05"/>
    <w:rsid w:val="00390AAB"/>
    <w:rsid w:val="00390B0E"/>
    <w:rsid w:val="00390BBB"/>
    <w:rsid w:val="00390BE0"/>
    <w:rsid w:val="00390C74"/>
    <w:rsid w:val="00390CC6"/>
    <w:rsid w:val="00390CEF"/>
    <w:rsid w:val="00390D1A"/>
    <w:rsid w:val="00390D45"/>
    <w:rsid w:val="00390D81"/>
    <w:rsid w:val="00390ED6"/>
    <w:rsid w:val="00390F42"/>
    <w:rsid w:val="00391040"/>
    <w:rsid w:val="003910DD"/>
    <w:rsid w:val="00391102"/>
    <w:rsid w:val="00391123"/>
    <w:rsid w:val="00391130"/>
    <w:rsid w:val="00391181"/>
    <w:rsid w:val="00391243"/>
    <w:rsid w:val="003912C7"/>
    <w:rsid w:val="003913BA"/>
    <w:rsid w:val="003913F3"/>
    <w:rsid w:val="00391453"/>
    <w:rsid w:val="003914D1"/>
    <w:rsid w:val="003914E2"/>
    <w:rsid w:val="0039150C"/>
    <w:rsid w:val="00391515"/>
    <w:rsid w:val="0039154C"/>
    <w:rsid w:val="0039158D"/>
    <w:rsid w:val="00391595"/>
    <w:rsid w:val="00391649"/>
    <w:rsid w:val="003916CE"/>
    <w:rsid w:val="0039176C"/>
    <w:rsid w:val="00391774"/>
    <w:rsid w:val="00391889"/>
    <w:rsid w:val="003919F7"/>
    <w:rsid w:val="00391A8D"/>
    <w:rsid w:val="00391B38"/>
    <w:rsid w:val="00391B94"/>
    <w:rsid w:val="00391BE0"/>
    <w:rsid w:val="00391BF9"/>
    <w:rsid w:val="00391C5F"/>
    <w:rsid w:val="00391CC7"/>
    <w:rsid w:val="00391CDD"/>
    <w:rsid w:val="00391D1B"/>
    <w:rsid w:val="00391D79"/>
    <w:rsid w:val="00391E1D"/>
    <w:rsid w:val="00391E27"/>
    <w:rsid w:val="00391E63"/>
    <w:rsid w:val="00391E99"/>
    <w:rsid w:val="00391F50"/>
    <w:rsid w:val="00391F7D"/>
    <w:rsid w:val="00392024"/>
    <w:rsid w:val="00392052"/>
    <w:rsid w:val="00392097"/>
    <w:rsid w:val="003921B0"/>
    <w:rsid w:val="003921B2"/>
    <w:rsid w:val="00392203"/>
    <w:rsid w:val="0039240B"/>
    <w:rsid w:val="00392410"/>
    <w:rsid w:val="0039245A"/>
    <w:rsid w:val="00392462"/>
    <w:rsid w:val="003924B7"/>
    <w:rsid w:val="0039253F"/>
    <w:rsid w:val="00392581"/>
    <w:rsid w:val="00392647"/>
    <w:rsid w:val="00392661"/>
    <w:rsid w:val="003926D5"/>
    <w:rsid w:val="003926D7"/>
    <w:rsid w:val="00392751"/>
    <w:rsid w:val="003927A1"/>
    <w:rsid w:val="003927A5"/>
    <w:rsid w:val="003927AF"/>
    <w:rsid w:val="00392840"/>
    <w:rsid w:val="00392850"/>
    <w:rsid w:val="003928E7"/>
    <w:rsid w:val="0039296F"/>
    <w:rsid w:val="003929CD"/>
    <w:rsid w:val="003929D6"/>
    <w:rsid w:val="00392B75"/>
    <w:rsid w:val="00392B92"/>
    <w:rsid w:val="00392BA4"/>
    <w:rsid w:val="00392BB8"/>
    <w:rsid w:val="00392D45"/>
    <w:rsid w:val="00392DCC"/>
    <w:rsid w:val="00392E27"/>
    <w:rsid w:val="00392E68"/>
    <w:rsid w:val="00392E82"/>
    <w:rsid w:val="00392F02"/>
    <w:rsid w:val="003931B6"/>
    <w:rsid w:val="0039324A"/>
    <w:rsid w:val="0039326A"/>
    <w:rsid w:val="0039335F"/>
    <w:rsid w:val="0039338A"/>
    <w:rsid w:val="003933AE"/>
    <w:rsid w:val="003933B7"/>
    <w:rsid w:val="0039345F"/>
    <w:rsid w:val="0039359B"/>
    <w:rsid w:val="00393628"/>
    <w:rsid w:val="00393792"/>
    <w:rsid w:val="003937AB"/>
    <w:rsid w:val="003937EE"/>
    <w:rsid w:val="00393824"/>
    <w:rsid w:val="0039386B"/>
    <w:rsid w:val="003938AE"/>
    <w:rsid w:val="00393915"/>
    <w:rsid w:val="00393941"/>
    <w:rsid w:val="00393957"/>
    <w:rsid w:val="00393989"/>
    <w:rsid w:val="00393990"/>
    <w:rsid w:val="003939C9"/>
    <w:rsid w:val="00393A07"/>
    <w:rsid w:val="00393B80"/>
    <w:rsid w:val="00393C26"/>
    <w:rsid w:val="00393C81"/>
    <w:rsid w:val="00393D55"/>
    <w:rsid w:val="00393DF5"/>
    <w:rsid w:val="00393E39"/>
    <w:rsid w:val="00394014"/>
    <w:rsid w:val="00394094"/>
    <w:rsid w:val="00394167"/>
    <w:rsid w:val="0039417A"/>
    <w:rsid w:val="0039418B"/>
    <w:rsid w:val="00394191"/>
    <w:rsid w:val="003941CF"/>
    <w:rsid w:val="003941F7"/>
    <w:rsid w:val="0039421D"/>
    <w:rsid w:val="00394252"/>
    <w:rsid w:val="0039437C"/>
    <w:rsid w:val="0039449B"/>
    <w:rsid w:val="003946AD"/>
    <w:rsid w:val="003946DE"/>
    <w:rsid w:val="003946E1"/>
    <w:rsid w:val="003947CE"/>
    <w:rsid w:val="003947DE"/>
    <w:rsid w:val="003947E5"/>
    <w:rsid w:val="00394ACA"/>
    <w:rsid w:val="00394AE6"/>
    <w:rsid w:val="00394C1B"/>
    <w:rsid w:val="00394CEE"/>
    <w:rsid w:val="00394DBC"/>
    <w:rsid w:val="00394E68"/>
    <w:rsid w:val="00394EA0"/>
    <w:rsid w:val="00394EAE"/>
    <w:rsid w:val="00394EF2"/>
    <w:rsid w:val="00394FA7"/>
    <w:rsid w:val="00395019"/>
    <w:rsid w:val="003950AA"/>
    <w:rsid w:val="00395172"/>
    <w:rsid w:val="003952B2"/>
    <w:rsid w:val="003952C3"/>
    <w:rsid w:val="003952D4"/>
    <w:rsid w:val="00395307"/>
    <w:rsid w:val="003953BE"/>
    <w:rsid w:val="00395476"/>
    <w:rsid w:val="00395494"/>
    <w:rsid w:val="0039559F"/>
    <w:rsid w:val="003955AA"/>
    <w:rsid w:val="003955EA"/>
    <w:rsid w:val="0039563C"/>
    <w:rsid w:val="003956A7"/>
    <w:rsid w:val="00395743"/>
    <w:rsid w:val="003957F0"/>
    <w:rsid w:val="0039593F"/>
    <w:rsid w:val="003959A3"/>
    <w:rsid w:val="003959A6"/>
    <w:rsid w:val="003959D8"/>
    <w:rsid w:val="00395A34"/>
    <w:rsid w:val="00395B70"/>
    <w:rsid w:val="00395BD0"/>
    <w:rsid w:val="00395BE8"/>
    <w:rsid w:val="00395C11"/>
    <w:rsid w:val="00395D9F"/>
    <w:rsid w:val="00395DEE"/>
    <w:rsid w:val="00395E51"/>
    <w:rsid w:val="00395EAA"/>
    <w:rsid w:val="00395F4C"/>
    <w:rsid w:val="00395FA0"/>
    <w:rsid w:val="00395FB2"/>
    <w:rsid w:val="00396113"/>
    <w:rsid w:val="0039611A"/>
    <w:rsid w:val="0039615C"/>
    <w:rsid w:val="003961A9"/>
    <w:rsid w:val="003961BF"/>
    <w:rsid w:val="0039628C"/>
    <w:rsid w:val="00396297"/>
    <w:rsid w:val="003964D9"/>
    <w:rsid w:val="00396540"/>
    <w:rsid w:val="00396569"/>
    <w:rsid w:val="00396609"/>
    <w:rsid w:val="003966CB"/>
    <w:rsid w:val="003966D7"/>
    <w:rsid w:val="003966E0"/>
    <w:rsid w:val="003966FC"/>
    <w:rsid w:val="003966FD"/>
    <w:rsid w:val="00396701"/>
    <w:rsid w:val="0039673A"/>
    <w:rsid w:val="00396766"/>
    <w:rsid w:val="003967FB"/>
    <w:rsid w:val="003969E6"/>
    <w:rsid w:val="00396A17"/>
    <w:rsid w:val="00396A54"/>
    <w:rsid w:val="00396AA6"/>
    <w:rsid w:val="00396ACB"/>
    <w:rsid w:val="00396C90"/>
    <w:rsid w:val="00396D0D"/>
    <w:rsid w:val="00396D13"/>
    <w:rsid w:val="00396D2E"/>
    <w:rsid w:val="00396DBC"/>
    <w:rsid w:val="00396DE1"/>
    <w:rsid w:val="00396E34"/>
    <w:rsid w:val="00396E9F"/>
    <w:rsid w:val="00396EC3"/>
    <w:rsid w:val="00396F76"/>
    <w:rsid w:val="00396FF1"/>
    <w:rsid w:val="00396FFA"/>
    <w:rsid w:val="0039708B"/>
    <w:rsid w:val="0039708C"/>
    <w:rsid w:val="00397096"/>
    <w:rsid w:val="003970C1"/>
    <w:rsid w:val="00397133"/>
    <w:rsid w:val="00397176"/>
    <w:rsid w:val="00397188"/>
    <w:rsid w:val="003972BF"/>
    <w:rsid w:val="00397355"/>
    <w:rsid w:val="00397374"/>
    <w:rsid w:val="00397392"/>
    <w:rsid w:val="003973B6"/>
    <w:rsid w:val="003973BD"/>
    <w:rsid w:val="003974A8"/>
    <w:rsid w:val="00397578"/>
    <w:rsid w:val="003975D6"/>
    <w:rsid w:val="00397697"/>
    <w:rsid w:val="0039776B"/>
    <w:rsid w:val="0039781C"/>
    <w:rsid w:val="0039789A"/>
    <w:rsid w:val="00397A5A"/>
    <w:rsid w:val="00397A61"/>
    <w:rsid w:val="00397ADE"/>
    <w:rsid w:val="00397B20"/>
    <w:rsid w:val="00397B49"/>
    <w:rsid w:val="00397B57"/>
    <w:rsid w:val="00397BB5"/>
    <w:rsid w:val="00397BC2"/>
    <w:rsid w:val="00397BDB"/>
    <w:rsid w:val="00397C06"/>
    <w:rsid w:val="00397CBC"/>
    <w:rsid w:val="00397CCC"/>
    <w:rsid w:val="00397DBB"/>
    <w:rsid w:val="00397DBE"/>
    <w:rsid w:val="00397DEF"/>
    <w:rsid w:val="00397E09"/>
    <w:rsid w:val="00397E28"/>
    <w:rsid w:val="00397FA0"/>
    <w:rsid w:val="00397FD2"/>
    <w:rsid w:val="00397FE1"/>
    <w:rsid w:val="003A006F"/>
    <w:rsid w:val="003A01C4"/>
    <w:rsid w:val="003A021D"/>
    <w:rsid w:val="003A026B"/>
    <w:rsid w:val="003A0328"/>
    <w:rsid w:val="003A03A9"/>
    <w:rsid w:val="003A03F2"/>
    <w:rsid w:val="003A04E6"/>
    <w:rsid w:val="003A0665"/>
    <w:rsid w:val="003A068C"/>
    <w:rsid w:val="003A07F7"/>
    <w:rsid w:val="003A07FB"/>
    <w:rsid w:val="003A0819"/>
    <w:rsid w:val="003A0920"/>
    <w:rsid w:val="003A092E"/>
    <w:rsid w:val="003A0991"/>
    <w:rsid w:val="003A0A03"/>
    <w:rsid w:val="003A0A60"/>
    <w:rsid w:val="003A0C08"/>
    <w:rsid w:val="003A0C78"/>
    <w:rsid w:val="003A0D2B"/>
    <w:rsid w:val="003A0D89"/>
    <w:rsid w:val="003A0DC8"/>
    <w:rsid w:val="003A0E5B"/>
    <w:rsid w:val="003A0E6C"/>
    <w:rsid w:val="003A0EA6"/>
    <w:rsid w:val="003A0F10"/>
    <w:rsid w:val="003A0F60"/>
    <w:rsid w:val="003A1025"/>
    <w:rsid w:val="003A103D"/>
    <w:rsid w:val="003A10E9"/>
    <w:rsid w:val="003A1116"/>
    <w:rsid w:val="003A111F"/>
    <w:rsid w:val="003A1185"/>
    <w:rsid w:val="003A11D5"/>
    <w:rsid w:val="003A1254"/>
    <w:rsid w:val="003A1286"/>
    <w:rsid w:val="003A133F"/>
    <w:rsid w:val="003A135D"/>
    <w:rsid w:val="003A15DD"/>
    <w:rsid w:val="003A16A0"/>
    <w:rsid w:val="003A1743"/>
    <w:rsid w:val="003A177F"/>
    <w:rsid w:val="003A17DC"/>
    <w:rsid w:val="003A17E8"/>
    <w:rsid w:val="003A186C"/>
    <w:rsid w:val="003A1895"/>
    <w:rsid w:val="003A1983"/>
    <w:rsid w:val="003A1AE1"/>
    <w:rsid w:val="003A1C05"/>
    <w:rsid w:val="003A1D14"/>
    <w:rsid w:val="003A1D99"/>
    <w:rsid w:val="003A1DF5"/>
    <w:rsid w:val="003A1E9B"/>
    <w:rsid w:val="003A1EB8"/>
    <w:rsid w:val="003A1F06"/>
    <w:rsid w:val="003A1FF8"/>
    <w:rsid w:val="003A2010"/>
    <w:rsid w:val="003A2274"/>
    <w:rsid w:val="003A24AF"/>
    <w:rsid w:val="003A2524"/>
    <w:rsid w:val="003A2707"/>
    <w:rsid w:val="003A27F1"/>
    <w:rsid w:val="003A282A"/>
    <w:rsid w:val="003A2861"/>
    <w:rsid w:val="003A28B1"/>
    <w:rsid w:val="003A28B6"/>
    <w:rsid w:val="003A28E6"/>
    <w:rsid w:val="003A29D1"/>
    <w:rsid w:val="003A2A1E"/>
    <w:rsid w:val="003A2A58"/>
    <w:rsid w:val="003A2AEB"/>
    <w:rsid w:val="003A2B32"/>
    <w:rsid w:val="003A2E5E"/>
    <w:rsid w:val="003A2E99"/>
    <w:rsid w:val="003A2EC9"/>
    <w:rsid w:val="003A2ECB"/>
    <w:rsid w:val="003A2F7B"/>
    <w:rsid w:val="003A2FBF"/>
    <w:rsid w:val="003A2FE9"/>
    <w:rsid w:val="003A2FF9"/>
    <w:rsid w:val="003A3072"/>
    <w:rsid w:val="003A30B8"/>
    <w:rsid w:val="003A30C8"/>
    <w:rsid w:val="003A30EA"/>
    <w:rsid w:val="003A3149"/>
    <w:rsid w:val="003A3269"/>
    <w:rsid w:val="003A32B1"/>
    <w:rsid w:val="003A3323"/>
    <w:rsid w:val="003A3419"/>
    <w:rsid w:val="003A34C4"/>
    <w:rsid w:val="003A3512"/>
    <w:rsid w:val="003A3599"/>
    <w:rsid w:val="003A35E6"/>
    <w:rsid w:val="003A35E9"/>
    <w:rsid w:val="003A3639"/>
    <w:rsid w:val="003A377E"/>
    <w:rsid w:val="003A37AD"/>
    <w:rsid w:val="003A385A"/>
    <w:rsid w:val="003A3887"/>
    <w:rsid w:val="003A395B"/>
    <w:rsid w:val="003A39D1"/>
    <w:rsid w:val="003A3A91"/>
    <w:rsid w:val="003A3AE1"/>
    <w:rsid w:val="003A3B3F"/>
    <w:rsid w:val="003A3B5C"/>
    <w:rsid w:val="003A3C16"/>
    <w:rsid w:val="003A3C1E"/>
    <w:rsid w:val="003A3C2A"/>
    <w:rsid w:val="003A3C46"/>
    <w:rsid w:val="003A3D68"/>
    <w:rsid w:val="003A3E2F"/>
    <w:rsid w:val="003A3E57"/>
    <w:rsid w:val="003A3E80"/>
    <w:rsid w:val="003A3EA9"/>
    <w:rsid w:val="003A3F45"/>
    <w:rsid w:val="003A4041"/>
    <w:rsid w:val="003A4067"/>
    <w:rsid w:val="003A4195"/>
    <w:rsid w:val="003A41A1"/>
    <w:rsid w:val="003A41AC"/>
    <w:rsid w:val="003A41E4"/>
    <w:rsid w:val="003A4215"/>
    <w:rsid w:val="003A4236"/>
    <w:rsid w:val="003A4249"/>
    <w:rsid w:val="003A4372"/>
    <w:rsid w:val="003A4551"/>
    <w:rsid w:val="003A45DA"/>
    <w:rsid w:val="003A45DC"/>
    <w:rsid w:val="003A4605"/>
    <w:rsid w:val="003A460A"/>
    <w:rsid w:val="003A4646"/>
    <w:rsid w:val="003A4681"/>
    <w:rsid w:val="003A4691"/>
    <w:rsid w:val="003A469B"/>
    <w:rsid w:val="003A47F1"/>
    <w:rsid w:val="003A482E"/>
    <w:rsid w:val="003A4833"/>
    <w:rsid w:val="003A4980"/>
    <w:rsid w:val="003A49E8"/>
    <w:rsid w:val="003A4A35"/>
    <w:rsid w:val="003A4A6A"/>
    <w:rsid w:val="003A4AAE"/>
    <w:rsid w:val="003A4B20"/>
    <w:rsid w:val="003A4B5C"/>
    <w:rsid w:val="003A4C09"/>
    <w:rsid w:val="003A4D65"/>
    <w:rsid w:val="003A4D7C"/>
    <w:rsid w:val="003A4E9F"/>
    <w:rsid w:val="003A5018"/>
    <w:rsid w:val="003A508E"/>
    <w:rsid w:val="003A51BD"/>
    <w:rsid w:val="003A51D2"/>
    <w:rsid w:val="003A5261"/>
    <w:rsid w:val="003A5328"/>
    <w:rsid w:val="003A5377"/>
    <w:rsid w:val="003A53CF"/>
    <w:rsid w:val="003A541E"/>
    <w:rsid w:val="003A5438"/>
    <w:rsid w:val="003A5474"/>
    <w:rsid w:val="003A55E6"/>
    <w:rsid w:val="003A55EF"/>
    <w:rsid w:val="003A562C"/>
    <w:rsid w:val="003A566B"/>
    <w:rsid w:val="003A5709"/>
    <w:rsid w:val="003A570C"/>
    <w:rsid w:val="003A576C"/>
    <w:rsid w:val="003A584C"/>
    <w:rsid w:val="003A58B1"/>
    <w:rsid w:val="003A58CE"/>
    <w:rsid w:val="003A58E4"/>
    <w:rsid w:val="003A58FE"/>
    <w:rsid w:val="003A5992"/>
    <w:rsid w:val="003A5A39"/>
    <w:rsid w:val="003A5A76"/>
    <w:rsid w:val="003A5A79"/>
    <w:rsid w:val="003A5B1C"/>
    <w:rsid w:val="003A5B1D"/>
    <w:rsid w:val="003A5B26"/>
    <w:rsid w:val="003A5B36"/>
    <w:rsid w:val="003A5B5D"/>
    <w:rsid w:val="003A5B6D"/>
    <w:rsid w:val="003A5B93"/>
    <w:rsid w:val="003A5BF9"/>
    <w:rsid w:val="003A5C1F"/>
    <w:rsid w:val="003A5C32"/>
    <w:rsid w:val="003A5CC1"/>
    <w:rsid w:val="003A5DB3"/>
    <w:rsid w:val="003A5DF6"/>
    <w:rsid w:val="003A5E0E"/>
    <w:rsid w:val="003A5E83"/>
    <w:rsid w:val="003A5E98"/>
    <w:rsid w:val="003A5EF1"/>
    <w:rsid w:val="003A5FA4"/>
    <w:rsid w:val="003A5FA7"/>
    <w:rsid w:val="003A5FB1"/>
    <w:rsid w:val="003A5FEF"/>
    <w:rsid w:val="003A6040"/>
    <w:rsid w:val="003A6126"/>
    <w:rsid w:val="003A612B"/>
    <w:rsid w:val="003A616B"/>
    <w:rsid w:val="003A61F9"/>
    <w:rsid w:val="003A624F"/>
    <w:rsid w:val="003A6277"/>
    <w:rsid w:val="003A6580"/>
    <w:rsid w:val="003A663E"/>
    <w:rsid w:val="003A667F"/>
    <w:rsid w:val="003A668B"/>
    <w:rsid w:val="003A676F"/>
    <w:rsid w:val="003A680F"/>
    <w:rsid w:val="003A686C"/>
    <w:rsid w:val="003A6A50"/>
    <w:rsid w:val="003A6A67"/>
    <w:rsid w:val="003A6AF0"/>
    <w:rsid w:val="003A6BF5"/>
    <w:rsid w:val="003A6BF6"/>
    <w:rsid w:val="003A6C45"/>
    <w:rsid w:val="003A6CC9"/>
    <w:rsid w:val="003A6D17"/>
    <w:rsid w:val="003A6DC6"/>
    <w:rsid w:val="003A6DCC"/>
    <w:rsid w:val="003A6EA1"/>
    <w:rsid w:val="003A6ECB"/>
    <w:rsid w:val="003A6ED1"/>
    <w:rsid w:val="003A6EF5"/>
    <w:rsid w:val="003A6F5A"/>
    <w:rsid w:val="003A7007"/>
    <w:rsid w:val="003A70D7"/>
    <w:rsid w:val="003A7259"/>
    <w:rsid w:val="003A726A"/>
    <w:rsid w:val="003A73FE"/>
    <w:rsid w:val="003A7486"/>
    <w:rsid w:val="003A74C9"/>
    <w:rsid w:val="003A7518"/>
    <w:rsid w:val="003A754F"/>
    <w:rsid w:val="003A758E"/>
    <w:rsid w:val="003A762B"/>
    <w:rsid w:val="003A7650"/>
    <w:rsid w:val="003A78A6"/>
    <w:rsid w:val="003A793A"/>
    <w:rsid w:val="003A7966"/>
    <w:rsid w:val="003A7A4F"/>
    <w:rsid w:val="003A7A5F"/>
    <w:rsid w:val="003A7ACC"/>
    <w:rsid w:val="003A7B4C"/>
    <w:rsid w:val="003A7BEF"/>
    <w:rsid w:val="003A7C94"/>
    <w:rsid w:val="003A7D0B"/>
    <w:rsid w:val="003A7D11"/>
    <w:rsid w:val="003A7D46"/>
    <w:rsid w:val="003A7DBC"/>
    <w:rsid w:val="003A7DE6"/>
    <w:rsid w:val="003A7E39"/>
    <w:rsid w:val="003A7E8B"/>
    <w:rsid w:val="003B0027"/>
    <w:rsid w:val="003B005F"/>
    <w:rsid w:val="003B028F"/>
    <w:rsid w:val="003B0304"/>
    <w:rsid w:val="003B0318"/>
    <w:rsid w:val="003B039A"/>
    <w:rsid w:val="003B03DA"/>
    <w:rsid w:val="003B03FB"/>
    <w:rsid w:val="003B04E9"/>
    <w:rsid w:val="003B04F9"/>
    <w:rsid w:val="003B050E"/>
    <w:rsid w:val="003B051D"/>
    <w:rsid w:val="003B053A"/>
    <w:rsid w:val="003B056F"/>
    <w:rsid w:val="003B0574"/>
    <w:rsid w:val="003B05C6"/>
    <w:rsid w:val="003B05D9"/>
    <w:rsid w:val="003B05DF"/>
    <w:rsid w:val="003B060F"/>
    <w:rsid w:val="003B0616"/>
    <w:rsid w:val="003B0629"/>
    <w:rsid w:val="003B069A"/>
    <w:rsid w:val="003B0725"/>
    <w:rsid w:val="003B0746"/>
    <w:rsid w:val="003B077F"/>
    <w:rsid w:val="003B07C0"/>
    <w:rsid w:val="003B0809"/>
    <w:rsid w:val="003B09F5"/>
    <w:rsid w:val="003B0A4C"/>
    <w:rsid w:val="003B0B1C"/>
    <w:rsid w:val="003B0B44"/>
    <w:rsid w:val="003B0B7D"/>
    <w:rsid w:val="003B0B89"/>
    <w:rsid w:val="003B0BA3"/>
    <w:rsid w:val="003B0C04"/>
    <w:rsid w:val="003B0C32"/>
    <w:rsid w:val="003B0C87"/>
    <w:rsid w:val="003B0CC6"/>
    <w:rsid w:val="003B0CEE"/>
    <w:rsid w:val="003B0D09"/>
    <w:rsid w:val="003B0D7B"/>
    <w:rsid w:val="003B0D95"/>
    <w:rsid w:val="003B0DA8"/>
    <w:rsid w:val="003B0DBD"/>
    <w:rsid w:val="003B0E2D"/>
    <w:rsid w:val="003B0E7B"/>
    <w:rsid w:val="003B0F47"/>
    <w:rsid w:val="003B0FB9"/>
    <w:rsid w:val="003B0FD5"/>
    <w:rsid w:val="003B0FF2"/>
    <w:rsid w:val="003B10BE"/>
    <w:rsid w:val="003B1147"/>
    <w:rsid w:val="003B1178"/>
    <w:rsid w:val="003B124F"/>
    <w:rsid w:val="003B128F"/>
    <w:rsid w:val="003B12D3"/>
    <w:rsid w:val="003B1404"/>
    <w:rsid w:val="003B14D6"/>
    <w:rsid w:val="003B150B"/>
    <w:rsid w:val="003B1566"/>
    <w:rsid w:val="003B15B6"/>
    <w:rsid w:val="003B1619"/>
    <w:rsid w:val="003B1675"/>
    <w:rsid w:val="003B1723"/>
    <w:rsid w:val="003B1744"/>
    <w:rsid w:val="003B176A"/>
    <w:rsid w:val="003B17D2"/>
    <w:rsid w:val="003B1911"/>
    <w:rsid w:val="003B1A0E"/>
    <w:rsid w:val="003B1BEB"/>
    <w:rsid w:val="003B1D33"/>
    <w:rsid w:val="003B1D7D"/>
    <w:rsid w:val="003B1DA5"/>
    <w:rsid w:val="003B1F86"/>
    <w:rsid w:val="003B1FFC"/>
    <w:rsid w:val="003B2064"/>
    <w:rsid w:val="003B2066"/>
    <w:rsid w:val="003B220B"/>
    <w:rsid w:val="003B2256"/>
    <w:rsid w:val="003B2259"/>
    <w:rsid w:val="003B225A"/>
    <w:rsid w:val="003B229A"/>
    <w:rsid w:val="003B2355"/>
    <w:rsid w:val="003B2362"/>
    <w:rsid w:val="003B2398"/>
    <w:rsid w:val="003B23F3"/>
    <w:rsid w:val="003B23FF"/>
    <w:rsid w:val="003B2580"/>
    <w:rsid w:val="003B2581"/>
    <w:rsid w:val="003B25C9"/>
    <w:rsid w:val="003B2690"/>
    <w:rsid w:val="003B26AF"/>
    <w:rsid w:val="003B2732"/>
    <w:rsid w:val="003B277B"/>
    <w:rsid w:val="003B2780"/>
    <w:rsid w:val="003B27C7"/>
    <w:rsid w:val="003B2861"/>
    <w:rsid w:val="003B2879"/>
    <w:rsid w:val="003B28A5"/>
    <w:rsid w:val="003B28EA"/>
    <w:rsid w:val="003B28FB"/>
    <w:rsid w:val="003B294D"/>
    <w:rsid w:val="003B29F3"/>
    <w:rsid w:val="003B2A1F"/>
    <w:rsid w:val="003B2A24"/>
    <w:rsid w:val="003B2A78"/>
    <w:rsid w:val="003B2B06"/>
    <w:rsid w:val="003B2B54"/>
    <w:rsid w:val="003B2B5C"/>
    <w:rsid w:val="003B2CDF"/>
    <w:rsid w:val="003B2CF9"/>
    <w:rsid w:val="003B2F4A"/>
    <w:rsid w:val="003B2F5F"/>
    <w:rsid w:val="003B2F88"/>
    <w:rsid w:val="003B2F93"/>
    <w:rsid w:val="003B30D2"/>
    <w:rsid w:val="003B3133"/>
    <w:rsid w:val="003B31A8"/>
    <w:rsid w:val="003B31E8"/>
    <w:rsid w:val="003B3203"/>
    <w:rsid w:val="003B3252"/>
    <w:rsid w:val="003B32AB"/>
    <w:rsid w:val="003B32E9"/>
    <w:rsid w:val="003B330B"/>
    <w:rsid w:val="003B333F"/>
    <w:rsid w:val="003B334C"/>
    <w:rsid w:val="003B33B7"/>
    <w:rsid w:val="003B3427"/>
    <w:rsid w:val="003B3452"/>
    <w:rsid w:val="003B345E"/>
    <w:rsid w:val="003B348E"/>
    <w:rsid w:val="003B34E1"/>
    <w:rsid w:val="003B35A3"/>
    <w:rsid w:val="003B35C3"/>
    <w:rsid w:val="003B362A"/>
    <w:rsid w:val="003B36B9"/>
    <w:rsid w:val="003B36D7"/>
    <w:rsid w:val="003B3728"/>
    <w:rsid w:val="003B3749"/>
    <w:rsid w:val="003B375E"/>
    <w:rsid w:val="003B38F3"/>
    <w:rsid w:val="003B3AAA"/>
    <w:rsid w:val="003B3AD1"/>
    <w:rsid w:val="003B3AE7"/>
    <w:rsid w:val="003B3C48"/>
    <w:rsid w:val="003B3CA9"/>
    <w:rsid w:val="003B3CEB"/>
    <w:rsid w:val="003B3EB4"/>
    <w:rsid w:val="003B3F21"/>
    <w:rsid w:val="003B3FA1"/>
    <w:rsid w:val="003B4113"/>
    <w:rsid w:val="003B412E"/>
    <w:rsid w:val="003B4135"/>
    <w:rsid w:val="003B4139"/>
    <w:rsid w:val="003B4141"/>
    <w:rsid w:val="003B420C"/>
    <w:rsid w:val="003B4286"/>
    <w:rsid w:val="003B42A6"/>
    <w:rsid w:val="003B4353"/>
    <w:rsid w:val="003B4391"/>
    <w:rsid w:val="003B43B7"/>
    <w:rsid w:val="003B43BD"/>
    <w:rsid w:val="003B4441"/>
    <w:rsid w:val="003B44DC"/>
    <w:rsid w:val="003B4506"/>
    <w:rsid w:val="003B4569"/>
    <w:rsid w:val="003B4598"/>
    <w:rsid w:val="003B4637"/>
    <w:rsid w:val="003B4681"/>
    <w:rsid w:val="003B4723"/>
    <w:rsid w:val="003B47C6"/>
    <w:rsid w:val="003B4894"/>
    <w:rsid w:val="003B4902"/>
    <w:rsid w:val="003B4935"/>
    <w:rsid w:val="003B49C4"/>
    <w:rsid w:val="003B4AB8"/>
    <w:rsid w:val="003B4B2F"/>
    <w:rsid w:val="003B4C05"/>
    <w:rsid w:val="003B4DBD"/>
    <w:rsid w:val="003B4DD6"/>
    <w:rsid w:val="003B4E96"/>
    <w:rsid w:val="003B5351"/>
    <w:rsid w:val="003B53EB"/>
    <w:rsid w:val="003B546E"/>
    <w:rsid w:val="003B5493"/>
    <w:rsid w:val="003B54A2"/>
    <w:rsid w:val="003B54CF"/>
    <w:rsid w:val="003B5524"/>
    <w:rsid w:val="003B55DA"/>
    <w:rsid w:val="003B5666"/>
    <w:rsid w:val="003B5795"/>
    <w:rsid w:val="003B57E8"/>
    <w:rsid w:val="003B5826"/>
    <w:rsid w:val="003B58E8"/>
    <w:rsid w:val="003B5931"/>
    <w:rsid w:val="003B599D"/>
    <w:rsid w:val="003B59AE"/>
    <w:rsid w:val="003B59CE"/>
    <w:rsid w:val="003B5A60"/>
    <w:rsid w:val="003B5B27"/>
    <w:rsid w:val="003B5B79"/>
    <w:rsid w:val="003B5CEA"/>
    <w:rsid w:val="003B5D0C"/>
    <w:rsid w:val="003B5D73"/>
    <w:rsid w:val="003B5D78"/>
    <w:rsid w:val="003B5D96"/>
    <w:rsid w:val="003B5E35"/>
    <w:rsid w:val="003B5ECB"/>
    <w:rsid w:val="003B5F44"/>
    <w:rsid w:val="003B5F47"/>
    <w:rsid w:val="003B5F75"/>
    <w:rsid w:val="003B6038"/>
    <w:rsid w:val="003B6046"/>
    <w:rsid w:val="003B60A7"/>
    <w:rsid w:val="003B60A9"/>
    <w:rsid w:val="003B60CD"/>
    <w:rsid w:val="003B6103"/>
    <w:rsid w:val="003B6155"/>
    <w:rsid w:val="003B61A9"/>
    <w:rsid w:val="003B624D"/>
    <w:rsid w:val="003B6258"/>
    <w:rsid w:val="003B62A6"/>
    <w:rsid w:val="003B63B7"/>
    <w:rsid w:val="003B63BE"/>
    <w:rsid w:val="003B63D6"/>
    <w:rsid w:val="003B63E3"/>
    <w:rsid w:val="003B6414"/>
    <w:rsid w:val="003B6418"/>
    <w:rsid w:val="003B6419"/>
    <w:rsid w:val="003B6526"/>
    <w:rsid w:val="003B655F"/>
    <w:rsid w:val="003B6587"/>
    <w:rsid w:val="003B65D8"/>
    <w:rsid w:val="003B6658"/>
    <w:rsid w:val="003B665E"/>
    <w:rsid w:val="003B6673"/>
    <w:rsid w:val="003B66B6"/>
    <w:rsid w:val="003B66CD"/>
    <w:rsid w:val="003B670D"/>
    <w:rsid w:val="003B67BE"/>
    <w:rsid w:val="003B6988"/>
    <w:rsid w:val="003B6A1A"/>
    <w:rsid w:val="003B6A8D"/>
    <w:rsid w:val="003B6ADC"/>
    <w:rsid w:val="003B6B84"/>
    <w:rsid w:val="003B6B88"/>
    <w:rsid w:val="003B6BAD"/>
    <w:rsid w:val="003B6BFB"/>
    <w:rsid w:val="003B6C4E"/>
    <w:rsid w:val="003B6D24"/>
    <w:rsid w:val="003B6D59"/>
    <w:rsid w:val="003B6F2C"/>
    <w:rsid w:val="003B6F31"/>
    <w:rsid w:val="003B6F34"/>
    <w:rsid w:val="003B6F83"/>
    <w:rsid w:val="003B6FAE"/>
    <w:rsid w:val="003B71F8"/>
    <w:rsid w:val="003B72CD"/>
    <w:rsid w:val="003B72DE"/>
    <w:rsid w:val="003B72F0"/>
    <w:rsid w:val="003B7355"/>
    <w:rsid w:val="003B73C3"/>
    <w:rsid w:val="003B7418"/>
    <w:rsid w:val="003B7464"/>
    <w:rsid w:val="003B74A9"/>
    <w:rsid w:val="003B7689"/>
    <w:rsid w:val="003B770C"/>
    <w:rsid w:val="003B782F"/>
    <w:rsid w:val="003B7838"/>
    <w:rsid w:val="003B7B9A"/>
    <w:rsid w:val="003B7C04"/>
    <w:rsid w:val="003B7C30"/>
    <w:rsid w:val="003B7C39"/>
    <w:rsid w:val="003B7CA4"/>
    <w:rsid w:val="003B7CB7"/>
    <w:rsid w:val="003B7CE2"/>
    <w:rsid w:val="003B7CFF"/>
    <w:rsid w:val="003B7D6B"/>
    <w:rsid w:val="003B7DA2"/>
    <w:rsid w:val="003B7E96"/>
    <w:rsid w:val="003B7EA4"/>
    <w:rsid w:val="003B7EBF"/>
    <w:rsid w:val="003B7F4A"/>
    <w:rsid w:val="003B7FA1"/>
    <w:rsid w:val="003C0014"/>
    <w:rsid w:val="003C0113"/>
    <w:rsid w:val="003C0139"/>
    <w:rsid w:val="003C013D"/>
    <w:rsid w:val="003C013E"/>
    <w:rsid w:val="003C0147"/>
    <w:rsid w:val="003C0162"/>
    <w:rsid w:val="003C0203"/>
    <w:rsid w:val="003C021A"/>
    <w:rsid w:val="003C0299"/>
    <w:rsid w:val="003C030B"/>
    <w:rsid w:val="003C03CF"/>
    <w:rsid w:val="003C0413"/>
    <w:rsid w:val="003C0414"/>
    <w:rsid w:val="003C0415"/>
    <w:rsid w:val="003C041E"/>
    <w:rsid w:val="003C0440"/>
    <w:rsid w:val="003C047C"/>
    <w:rsid w:val="003C04C4"/>
    <w:rsid w:val="003C052B"/>
    <w:rsid w:val="003C05B4"/>
    <w:rsid w:val="003C05ED"/>
    <w:rsid w:val="003C0707"/>
    <w:rsid w:val="003C08C0"/>
    <w:rsid w:val="003C08DC"/>
    <w:rsid w:val="003C0932"/>
    <w:rsid w:val="003C0943"/>
    <w:rsid w:val="003C09A3"/>
    <w:rsid w:val="003C0A27"/>
    <w:rsid w:val="003C0B02"/>
    <w:rsid w:val="003C0B54"/>
    <w:rsid w:val="003C0B57"/>
    <w:rsid w:val="003C0D50"/>
    <w:rsid w:val="003C0DAF"/>
    <w:rsid w:val="003C0DDF"/>
    <w:rsid w:val="003C0E1C"/>
    <w:rsid w:val="003C0E7C"/>
    <w:rsid w:val="003C0F01"/>
    <w:rsid w:val="003C0F1A"/>
    <w:rsid w:val="003C0F4E"/>
    <w:rsid w:val="003C0F5B"/>
    <w:rsid w:val="003C10FC"/>
    <w:rsid w:val="003C1141"/>
    <w:rsid w:val="003C11B2"/>
    <w:rsid w:val="003C11C0"/>
    <w:rsid w:val="003C1206"/>
    <w:rsid w:val="003C1244"/>
    <w:rsid w:val="003C1424"/>
    <w:rsid w:val="003C1486"/>
    <w:rsid w:val="003C1679"/>
    <w:rsid w:val="003C16CC"/>
    <w:rsid w:val="003C1841"/>
    <w:rsid w:val="003C1877"/>
    <w:rsid w:val="003C18B0"/>
    <w:rsid w:val="003C1A4C"/>
    <w:rsid w:val="003C1A81"/>
    <w:rsid w:val="003C1A99"/>
    <w:rsid w:val="003C1BB3"/>
    <w:rsid w:val="003C1D58"/>
    <w:rsid w:val="003C1D8F"/>
    <w:rsid w:val="003C1E16"/>
    <w:rsid w:val="003C1E20"/>
    <w:rsid w:val="003C1ED8"/>
    <w:rsid w:val="003C1F92"/>
    <w:rsid w:val="003C2058"/>
    <w:rsid w:val="003C21B0"/>
    <w:rsid w:val="003C2200"/>
    <w:rsid w:val="003C23BA"/>
    <w:rsid w:val="003C23FA"/>
    <w:rsid w:val="003C245B"/>
    <w:rsid w:val="003C24B4"/>
    <w:rsid w:val="003C257E"/>
    <w:rsid w:val="003C268E"/>
    <w:rsid w:val="003C26C7"/>
    <w:rsid w:val="003C2776"/>
    <w:rsid w:val="003C27E7"/>
    <w:rsid w:val="003C28BA"/>
    <w:rsid w:val="003C29D0"/>
    <w:rsid w:val="003C29FB"/>
    <w:rsid w:val="003C2A3F"/>
    <w:rsid w:val="003C2A71"/>
    <w:rsid w:val="003C2BB7"/>
    <w:rsid w:val="003C2C3C"/>
    <w:rsid w:val="003C2D23"/>
    <w:rsid w:val="003C2E61"/>
    <w:rsid w:val="003C2F51"/>
    <w:rsid w:val="003C2F58"/>
    <w:rsid w:val="003C2FB6"/>
    <w:rsid w:val="003C2FB8"/>
    <w:rsid w:val="003C2FE2"/>
    <w:rsid w:val="003C30E6"/>
    <w:rsid w:val="003C317E"/>
    <w:rsid w:val="003C3407"/>
    <w:rsid w:val="003C3455"/>
    <w:rsid w:val="003C35A3"/>
    <w:rsid w:val="003C35FF"/>
    <w:rsid w:val="003C3667"/>
    <w:rsid w:val="003C371F"/>
    <w:rsid w:val="003C3724"/>
    <w:rsid w:val="003C3751"/>
    <w:rsid w:val="003C378D"/>
    <w:rsid w:val="003C37B2"/>
    <w:rsid w:val="003C3853"/>
    <w:rsid w:val="003C3A38"/>
    <w:rsid w:val="003C3B34"/>
    <w:rsid w:val="003C3C75"/>
    <w:rsid w:val="003C3D5C"/>
    <w:rsid w:val="003C3D85"/>
    <w:rsid w:val="003C3DC4"/>
    <w:rsid w:val="003C3DD4"/>
    <w:rsid w:val="003C3E1D"/>
    <w:rsid w:val="003C3F36"/>
    <w:rsid w:val="003C3F7A"/>
    <w:rsid w:val="003C4097"/>
    <w:rsid w:val="003C4136"/>
    <w:rsid w:val="003C418C"/>
    <w:rsid w:val="003C41AE"/>
    <w:rsid w:val="003C41C1"/>
    <w:rsid w:val="003C41E0"/>
    <w:rsid w:val="003C431B"/>
    <w:rsid w:val="003C4328"/>
    <w:rsid w:val="003C4379"/>
    <w:rsid w:val="003C4383"/>
    <w:rsid w:val="003C443A"/>
    <w:rsid w:val="003C4496"/>
    <w:rsid w:val="003C450A"/>
    <w:rsid w:val="003C45C8"/>
    <w:rsid w:val="003C46E6"/>
    <w:rsid w:val="003C4755"/>
    <w:rsid w:val="003C47AC"/>
    <w:rsid w:val="003C4814"/>
    <w:rsid w:val="003C48D5"/>
    <w:rsid w:val="003C4907"/>
    <w:rsid w:val="003C4999"/>
    <w:rsid w:val="003C4A19"/>
    <w:rsid w:val="003C4A32"/>
    <w:rsid w:val="003C4A62"/>
    <w:rsid w:val="003C4BB9"/>
    <w:rsid w:val="003C4CF6"/>
    <w:rsid w:val="003C4D16"/>
    <w:rsid w:val="003C4D40"/>
    <w:rsid w:val="003C4DB3"/>
    <w:rsid w:val="003C4DC9"/>
    <w:rsid w:val="003C4EB6"/>
    <w:rsid w:val="003C4F65"/>
    <w:rsid w:val="003C4FD2"/>
    <w:rsid w:val="003C5015"/>
    <w:rsid w:val="003C50FF"/>
    <w:rsid w:val="003C5102"/>
    <w:rsid w:val="003C5134"/>
    <w:rsid w:val="003C5154"/>
    <w:rsid w:val="003C515F"/>
    <w:rsid w:val="003C519F"/>
    <w:rsid w:val="003C52C8"/>
    <w:rsid w:val="003C5329"/>
    <w:rsid w:val="003C5359"/>
    <w:rsid w:val="003C53A3"/>
    <w:rsid w:val="003C54E3"/>
    <w:rsid w:val="003C55F2"/>
    <w:rsid w:val="003C567C"/>
    <w:rsid w:val="003C56CD"/>
    <w:rsid w:val="003C575F"/>
    <w:rsid w:val="003C577E"/>
    <w:rsid w:val="003C5918"/>
    <w:rsid w:val="003C5975"/>
    <w:rsid w:val="003C5AF1"/>
    <w:rsid w:val="003C5C09"/>
    <w:rsid w:val="003C5C9C"/>
    <w:rsid w:val="003C5CB4"/>
    <w:rsid w:val="003C5DD1"/>
    <w:rsid w:val="003C5DE4"/>
    <w:rsid w:val="003C5DE7"/>
    <w:rsid w:val="003C5E44"/>
    <w:rsid w:val="003C5E58"/>
    <w:rsid w:val="003C5E71"/>
    <w:rsid w:val="003C5EA7"/>
    <w:rsid w:val="003C5EDD"/>
    <w:rsid w:val="003C5F21"/>
    <w:rsid w:val="003C5F27"/>
    <w:rsid w:val="003C5FE5"/>
    <w:rsid w:val="003C606F"/>
    <w:rsid w:val="003C60B4"/>
    <w:rsid w:val="003C6151"/>
    <w:rsid w:val="003C61BD"/>
    <w:rsid w:val="003C6200"/>
    <w:rsid w:val="003C626F"/>
    <w:rsid w:val="003C628A"/>
    <w:rsid w:val="003C633C"/>
    <w:rsid w:val="003C633D"/>
    <w:rsid w:val="003C634E"/>
    <w:rsid w:val="003C645C"/>
    <w:rsid w:val="003C6534"/>
    <w:rsid w:val="003C658A"/>
    <w:rsid w:val="003C65B7"/>
    <w:rsid w:val="003C65BD"/>
    <w:rsid w:val="003C66D1"/>
    <w:rsid w:val="003C6709"/>
    <w:rsid w:val="003C672A"/>
    <w:rsid w:val="003C67B4"/>
    <w:rsid w:val="003C680B"/>
    <w:rsid w:val="003C6869"/>
    <w:rsid w:val="003C686D"/>
    <w:rsid w:val="003C68F9"/>
    <w:rsid w:val="003C6971"/>
    <w:rsid w:val="003C69FF"/>
    <w:rsid w:val="003C6A17"/>
    <w:rsid w:val="003C6A1F"/>
    <w:rsid w:val="003C6A23"/>
    <w:rsid w:val="003C6AFC"/>
    <w:rsid w:val="003C6B81"/>
    <w:rsid w:val="003C6B9F"/>
    <w:rsid w:val="003C6BEB"/>
    <w:rsid w:val="003C6BFE"/>
    <w:rsid w:val="003C6C7A"/>
    <w:rsid w:val="003C6C7E"/>
    <w:rsid w:val="003C6CC0"/>
    <w:rsid w:val="003C6D22"/>
    <w:rsid w:val="003C6D27"/>
    <w:rsid w:val="003C6D88"/>
    <w:rsid w:val="003C6DC5"/>
    <w:rsid w:val="003C6E7D"/>
    <w:rsid w:val="003C6E82"/>
    <w:rsid w:val="003C6ECF"/>
    <w:rsid w:val="003C6F8B"/>
    <w:rsid w:val="003C7052"/>
    <w:rsid w:val="003C706E"/>
    <w:rsid w:val="003C7084"/>
    <w:rsid w:val="003C70DA"/>
    <w:rsid w:val="003C721D"/>
    <w:rsid w:val="003C723F"/>
    <w:rsid w:val="003C7275"/>
    <w:rsid w:val="003C72C2"/>
    <w:rsid w:val="003C7311"/>
    <w:rsid w:val="003C7421"/>
    <w:rsid w:val="003C7452"/>
    <w:rsid w:val="003C751A"/>
    <w:rsid w:val="003C755D"/>
    <w:rsid w:val="003C7781"/>
    <w:rsid w:val="003C7822"/>
    <w:rsid w:val="003C79C2"/>
    <w:rsid w:val="003C7A0A"/>
    <w:rsid w:val="003C7A77"/>
    <w:rsid w:val="003C7ABA"/>
    <w:rsid w:val="003C7B52"/>
    <w:rsid w:val="003C7BD9"/>
    <w:rsid w:val="003C7C3F"/>
    <w:rsid w:val="003C7C6C"/>
    <w:rsid w:val="003C7DB1"/>
    <w:rsid w:val="003C7DB4"/>
    <w:rsid w:val="003C7DC8"/>
    <w:rsid w:val="003C7DEC"/>
    <w:rsid w:val="003C7EF9"/>
    <w:rsid w:val="003D00A1"/>
    <w:rsid w:val="003D00FF"/>
    <w:rsid w:val="003D0179"/>
    <w:rsid w:val="003D01AA"/>
    <w:rsid w:val="003D01D0"/>
    <w:rsid w:val="003D021E"/>
    <w:rsid w:val="003D0237"/>
    <w:rsid w:val="003D0400"/>
    <w:rsid w:val="003D04B4"/>
    <w:rsid w:val="003D0645"/>
    <w:rsid w:val="003D080A"/>
    <w:rsid w:val="003D080F"/>
    <w:rsid w:val="003D082D"/>
    <w:rsid w:val="003D08DC"/>
    <w:rsid w:val="003D0A55"/>
    <w:rsid w:val="003D0A87"/>
    <w:rsid w:val="003D0B2A"/>
    <w:rsid w:val="003D0B2D"/>
    <w:rsid w:val="003D0B57"/>
    <w:rsid w:val="003D0C19"/>
    <w:rsid w:val="003D0C39"/>
    <w:rsid w:val="003D0C63"/>
    <w:rsid w:val="003D0E7A"/>
    <w:rsid w:val="003D0F46"/>
    <w:rsid w:val="003D0F47"/>
    <w:rsid w:val="003D1006"/>
    <w:rsid w:val="003D105C"/>
    <w:rsid w:val="003D109E"/>
    <w:rsid w:val="003D1161"/>
    <w:rsid w:val="003D1210"/>
    <w:rsid w:val="003D128D"/>
    <w:rsid w:val="003D1330"/>
    <w:rsid w:val="003D1360"/>
    <w:rsid w:val="003D1474"/>
    <w:rsid w:val="003D14E8"/>
    <w:rsid w:val="003D1518"/>
    <w:rsid w:val="003D1548"/>
    <w:rsid w:val="003D154E"/>
    <w:rsid w:val="003D1604"/>
    <w:rsid w:val="003D1612"/>
    <w:rsid w:val="003D163B"/>
    <w:rsid w:val="003D1666"/>
    <w:rsid w:val="003D16CF"/>
    <w:rsid w:val="003D1705"/>
    <w:rsid w:val="003D172E"/>
    <w:rsid w:val="003D17E5"/>
    <w:rsid w:val="003D1844"/>
    <w:rsid w:val="003D1875"/>
    <w:rsid w:val="003D18A9"/>
    <w:rsid w:val="003D193C"/>
    <w:rsid w:val="003D1941"/>
    <w:rsid w:val="003D195D"/>
    <w:rsid w:val="003D1AAB"/>
    <w:rsid w:val="003D1AB6"/>
    <w:rsid w:val="003D1AD7"/>
    <w:rsid w:val="003D1C39"/>
    <w:rsid w:val="003D1C68"/>
    <w:rsid w:val="003D1C6D"/>
    <w:rsid w:val="003D1C80"/>
    <w:rsid w:val="003D1C81"/>
    <w:rsid w:val="003D1CD3"/>
    <w:rsid w:val="003D1D30"/>
    <w:rsid w:val="003D1D7B"/>
    <w:rsid w:val="003D1E39"/>
    <w:rsid w:val="003D1E70"/>
    <w:rsid w:val="003D1ED2"/>
    <w:rsid w:val="003D1F0F"/>
    <w:rsid w:val="003D1F77"/>
    <w:rsid w:val="003D2000"/>
    <w:rsid w:val="003D2066"/>
    <w:rsid w:val="003D2088"/>
    <w:rsid w:val="003D20ED"/>
    <w:rsid w:val="003D2181"/>
    <w:rsid w:val="003D21D4"/>
    <w:rsid w:val="003D2220"/>
    <w:rsid w:val="003D225E"/>
    <w:rsid w:val="003D22FE"/>
    <w:rsid w:val="003D230F"/>
    <w:rsid w:val="003D2326"/>
    <w:rsid w:val="003D233E"/>
    <w:rsid w:val="003D2344"/>
    <w:rsid w:val="003D237C"/>
    <w:rsid w:val="003D2414"/>
    <w:rsid w:val="003D241B"/>
    <w:rsid w:val="003D24C4"/>
    <w:rsid w:val="003D2520"/>
    <w:rsid w:val="003D2555"/>
    <w:rsid w:val="003D2557"/>
    <w:rsid w:val="003D2611"/>
    <w:rsid w:val="003D276B"/>
    <w:rsid w:val="003D27EE"/>
    <w:rsid w:val="003D295F"/>
    <w:rsid w:val="003D29DD"/>
    <w:rsid w:val="003D2A76"/>
    <w:rsid w:val="003D2A8D"/>
    <w:rsid w:val="003D2B08"/>
    <w:rsid w:val="003D2C46"/>
    <w:rsid w:val="003D2C4E"/>
    <w:rsid w:val="003D2C7E"/>
    <w:rsid w:val="003D2D3F"/>
    <w:rsid w:val="003D2D47"/>
    <w:rsid w:val="003D2E59"/>
    <w:rsid w:val="003D2E7B"/>
    <w:rsid w:val="003D2E8E"/>
    <w:rsid w:val="003D2EBC"/>
    <w:rsid w:val="003D2F2D"/>
    <w:rsid w:val="003D2F59"/>
    <w:rsid w:val="003D2FF5"/>
    <w:rsid w:val="003D3069"/>
    <w:rsid w:val="003D307A"/>
    <w:rsid w:val="003D308F"/>
    <w:rsid w:val="003D30C2"/>
    <w:rsid w:val="003D32CE"/>
    <w:rsid w:val="003D341D"/>
    <w:rsid w:val="003D3445"/>
    <w:rsid w:val="003D3473"/>
    <w:rsid w:val="003D34FE"/>
    <w:rsid w:val="003D3556"/>
    <w:rsid w:val="003D3573"/>
    <w:rsid w:val="003D35C6"/>
    <w:rsid w:val="003D35F0"/>
    <w:rsid w:val="003D35FF"/>
    <w:rsid w:val="003D3627"/>
    <w:rsid w:val="003D36C9"/>
    <w:rsid w:val="003D3883"/>
    <w:rsid w:val="003D38D7"/>
    <w:rsid w:val="003D3984"/>
    <w:rsid w:val="003D3B5E"/>
    <w:rsid w:val="003D3BA2"/>
    <w:rsid w:val="003D3D8B"/>
    <w:rsid w:val="003D3DE3"/>
    <w:rsid w:val="003D3E71"/>
    <w:rsid w:val="003D3EA1"/>
    <w:rsid w:val="003D3F09"/>
    <w:rsid w:val="003D3F98"/>
    <w:rsid w:val="003D3FBC"/>
    <w:rsid w:val="003D40E5"/>
    <w:rsid w:val="003D414C"/>
    <w:rsid w:val="003D41DD"/>
    <w:rsid w:val="003D4249"/>
    <w:rsid w:val="003D44A8"/>
    <w:rsid w:val="003D44B1"/>
    <w:rsid w:val="003D44E1"/>
    <w:rsid w:val="003D4543"/>
    <w:rsid w:val="003D4550"/>
    <w:rsid w:val="003D4568"/>
    <w:rsid w:val="003D45D9"/>
    <w:rsid w:val="003D45EF"/>
    <w:rsid w:val="003D4641"/>
    <w:rsid w:val="003D46C4"/>
    <w:rsid w:val="003D46D7"/>
    <w:rsid w:val="003D47AB"/>
    <w:rsid w:val="003D47AD"/>
    <w:rsid w:val="003D489B"/>
    <w:rsid w:val="003D48BE"/>
    <w:rsid w:val="003D48CB"/>
    <w:rsid w:val="003D4A2B"/>
    <w:rsid w:val="003D4A4D"/>
    <w:rsid w:val="003D4B74"/>
    <w:rsid w:val="003D4BFE"/>
    <w:rsid w:val="003D4C1A"/>
    <w:rsid w:val="003D4C50"/>
    <w:rsid w:val="003D4C73"/>
    <w:rsid w:val="003D4CC3"/>
    <w:rsid w:val="003D4D85"/>
    <w:rsid w:val="003D4D9B"/>
    <w:rsid w:val="003D4DA4"/>
    <w:rsid w:val="003D4DB8"/>
    <w:rsid w:val="003D4DBB"/>
    <w:rsid w:val="003D4F16"/>
    <w:rsid w:val="003D501E"/>
    <w:rsid w:val="003D506A"/>
    <w:rsid w:val="003D5172"/>
    <w:rsid w:val="003D51E3"/>
    <w:rsid w:val="003D52DC"/>
    <w:rsid w:val="003D5331"/>
    <w:rsid w:val="003D53C0"/>
    <w:rsid w:val="003D53C2"/>
    <w:rsid w:val="003D545D"/>
    <w:rsid w:val="003D54FE"/>
    <w:rsid w:val="003D555A"/>
    <w:rsid w:val="003D570E"/>
    <w:rsid w:val="003D5734"/>
    <w:rsid w:val="003D5740"/>
    <w:rsid w:val="003D57EB"/>
    <w:rsid w:val="003D57F5"/>
    <w:rsid w:val="003D581E"/>
    <w:rsid w:val="003D5864"/>
    <w:rsid w:val="003D5886"/>
    <w:rsid w:val="003D591A"/>
    <w:rsid w:val="003D596F"/>
    <w:rsid w:val="003D59A8"/>
    <w:rsid w:val="003D59E0"/>
    <w:rsid w:val="003D5A0A"/>
    <w:rsid w:val="003D5A44"/>
    <w:rsid w:val="003D5B3A"/>
    <w:rsid w:val="003D5CDE"/>
    <w:rsid w:val="003D5CF1"/>
    <w:rsid w:val="003D5CF7"/>
    <w:rsid w:val="003D5D62"/>
    <w:rsid w:val="003D5DF4"/>
    <w:rsid w:val="003D5DFA"/>
    <w:rsid w:val="003D5DFF"/>
    <w:rsid w:val="003D5E3F"/>
    <w:rsid w:val="003D60E0"/>
    <w:rsid w:val="003D60E2"/>
    <w:rsid w:val="003D6218"/>
    <w:rsid w:val="003D630C"/>
    <w:rsid w:val="003D6337"/>
    <w:rsid w:val="003D63C0"/>
    <w:rsid w:val="003D641D"/>
    <w:rsid w:val="003D642F"/>
    <w:rsid w:val="003D678E"/>
    <w:rsid w:val="003D67A6"/>
    <w:rsid w:val="003D67C0"/>
    <w:rsid w:val="003D67FC"/>
    <w:rsid w:val="003D681F"/>
    <w:rsid w:val="003D687E"/>
    <w:rsid w:val="003D6923"/>
    <w:rsid w:val="003D6A06"/>
    <w:rsid w:val="003D6A6A"/>
    <w:rsid w:val="003D6A7C"/>
    <w:rsid w:val="003D6A85"/>
    <w:rsid w:val="003D6AC5"/>
    <w:rsid w:val="003D6BF3"/>
    <w:rsid w:val="003D6D22"/>
    <w:rsid w:val="003D6D40"/>
    <w:rsid w:val="003D6D66"/>
    <w:rsid w:val="003D6E5D"/>
    <w:rsid w:val="003D6E8A"/>
    <w:rsid w:val="003D6F89"/>
    <w:rsid w:val="003D6F92"/>
    <w:rsid w:val="003D703F"/>
    <w:rsid w:val="003D7518"/>
    <w:rsid w:val="003D7556"/>
    <w:rsid w:val="003D7568"/>
    <w:rsid w:val="003D756C"/>
    <w:rsid w:val="003D75DC"/>
    <w:rsid w:val="003D75F2"/>
    <w:rsid w:val="003D771D"/>
    <w:rsid w:val="003D77AB"/>
    <w:rsid w:val="003D77D3"/>
    <w:rsid w:val="003D77F9"/>
    <w:rsid w:val="003D7872"/>
    <w:rsid w:val="003D78A1"/>
    <w:rsid w:val="003D78D8"/>
    <w:rsid w:val="003D7900"/>
    <w:rsid w:val="003D7936"/>
    <w:rsid w:val="003D797A"/>
    <w:rsid w:val="003D7992"/>
    <w:rsid w:val="003D79E2"/>
    <w:rsid w:val="003D7BF6"/>
    <w:rsid w:val="003D7CF4"/>
    <w:rsid w:val="003D7E60"/>
    <w:rsid w:val="003D7E9C"/>
    <w:rsid w:val="003D7ECE"/>
    <w:rsid w:val="003D7F29"/>
    <w:rsid w:val="003D7FD3"/>
    <w:rsid w:val="003E0005"/>
    <w:rsid w:val="003E00F3"/>
    <w:rsid w:val="003E01AE"/>
    <w:rsid w:val="003E01B1"/>
    <w:rsid w:val="003E02BE"/>
    <w:rsid w:val="003E030D"/>
    <w:rsid w:val="003E0378"/>
    <w:rsid w:val="003E0458"/>
    <w:rsid w:val="003E0464"/>
    <w:rsid w:val="003E04F5"/>
    <w:rsid w:val="003E056C"/>
    <w:rsid w:val="003E0597"/>
    <w:rsid w:val="003E05A5"/>
    <w:rsid w:val="003E05B1"/>
    <w:rsid w:val="003E06E7"/>
    <w:rsid w:val="003E0897"/>
    <w:rsid w:val="003E08EB"/>
    <w:rsid w:val="003E08FF"/>
    <w:rsid w:val="003E0A07"/>
    <w:rsid w:val="003E0A67"/>
    <w:rsid w:val="003E0A85"/>
    <w:rsid w:val="003E0AB3"/>
    <w:rsid w:val="003E0B00"/>
    <w:rsid w:val="003E0B80"/>
    <w:rsid w:val="003E0BB5"/>
    <w:rsid w:val="003E0BD0"/>
    <w:rsid w:val="003E0C4A"/>
    <w:rsid w:val="003E0C8D"/>
    <w:rsid w:val="003E0CB4"/>
    <w:rsid w:val="003E0CC5"/>
    <w:rsid w:val="003E0CDE"/>
    <w:rsid w:val="003E0DB6"/>
    <w:rsid w:val="003E0E94"/>
    <w:rsid w:val="003E0ED4"/>
    <w:rsid w:val="003E0F5E"/>
    <w:rsid w:val="003E0FD0"/>
    <w:rsid w:val="003E103E"/>
    <w:rsid w:val="003E1076"/>
    <w:rsid w:val="003E113A"/>
    <w:rsid w:val="003E1278"/>
    <w:rsid w:val="003E1372"/>
    <w:rsid w:val="003E13FC"/>
    <w:rsid w:val="003E1403"/>
    <w:rsid w:val="003E14BE"/>
    <w:rsid w:val="003E1676"/>
    <w:rsid w:val="003E16CB"/>
    <w:rsid w:val="003E16FE"/>
    <w:rsid w:val="003E1718"/>
    <w:rsid w:val="003E1772"/>
    <w:rsid w:val="003E179F"/>
    <w:rsid w:val="003E17A6"/>
    <w:rsid w:val="003E17D6"/>
    <w:rsid w:val="003E186B"/>
    <w:rsid w:val="003E1879"/>
    <w:rsid w:val="003E18DD"/>
    <w:rsid w:val="003E1986"/>
    <w:rsid w:val="003E1A5F"/>
    <w:rsid w:val="003E1B44"/>
    <w:rsid w:val="003E1BAF"/>
    <w:rsid w:val="003E1BB6"/>
    <w:rsid w:val="003E1BD9"/>
    <w:rsid w:val="003E1C02"/>
    <w:rsid w:val="003E1C49"/>
    <w:rsid w:val="003E1D0C"/>
    <w:rsid w:val="003E1D20"/>
    <w:rsid w:val="003E1FEE"/>
    <w:rsid w:val="003E2019"/>
    <w:rsid w:val="003E2050"/>
    <w:rsid w:val="003E20D6"/>
    <w:rsid w:val="003E211A"/>
    <w:rsid w:val="003E21C2"/>
    <w:rsid w:val="003E226C"/>
    <w:rsid w:val="003E23EC"/>
    <w:rsid w:val="003E2469"/>
    <w:rsid w:val="003E249C"/>
    <w:rsid w:val="003E24A2"/>
    <w:rsid w:val="003E24AC"/>
    <w:rsid w:val="003E24B7"/>
    <w:rsid w:val="003E2554"/>
    <w:rsid w:val="003E25D6"/>
    <w:rsid w:val="003E29A7"/>
    <w:rsid w:val="003E29C2"/>
    <w:rsid w:val="003E2B19"/>
    <w:rsid w:val="003E2B27"/>
    <w:rsid w:val="003E2C67"/>
    <w:rsid w:val="003E2CA3"/>
    <w:rsid w:val="003E2CD9"/>
    <w:rsid w:val="003E2D40"/>
    <w:rsid w:val="003E2E09"/>
    <w:rsid w:val="003E2E30"/>
    <w:rsid w:val="003E2F1C"/>
    <w:rsid w:val="003E2FA4"/>
    <w:rsid w:val="003E30D8"/>
    <w:rsid w:val="003E31FE"/>
    <w:rsid w:val="003E3241"/>
    <w:rsid w:val="003E32E4"/>
    <w:rsid w:val="003E3336"/>
    <w:rsid w:val="003E3339"/>
    <w:rsid w:val="003E3348"/>
    <w:rsid w:val="003E335C"/>
    <w:rsid w:val="003E33BA"/>
    <w:rsid w:val="003E33BF"/>
    <w:rsid w:val="003E33DE"/>
    <w:rsid w:val="003E3476"/>
    <w:rsid w:val="003E3623"/>
    <w:rsid w:val="003E3641"/>
    <w:rsid w:val="003E367F"/>
    <w:rsid w:val="003E36C1"/>
    <w:rsid w:val="003E3727"/>
    <w:rsid w:val="003E3826"/>
    <w:rsid w:val="003E382C"/>
    <w:rsid w:val="003E3913"/>
    <w:rsid w:val="003E3917"/>
    <w:rsid w:val="003E39D2"/>
    <w:rsid w:val="003E39F4"/>
    <w:rsid w:val="003E3A2D"/>
    <w:rsid w:val="003E3A55"/>
    <w:rsid w:val="003E3A58"/>
    <w:rsid w:val="003E3A68"/>
    <w:rsid w:val="003E3A99"/>
    <w:rsid w:val="003E3ABE"/>
    <w:rsid w:val="003E3AC0"/>
    <w:rsid w:val="003E3C2A"/>
    <w:rsid w:val="003E3D4C"/>
    <w:rsid w:val="003E3D9D"/>
    <w:rsid w:val="003E3E37"/>
    <w:rsid w:val="003E3E4E"/>
    <w:rsid w:val="003E3E70"/>
    <w:rsid w:val="003E3F09"/>
    <w:rsid w:val="003E3F37"/>
    <w:rsid w:val="003E3F3C"/>
    <w:rsid w:val="003E3F3D"/>
    <w:rsid w:val="003E415F"/>
    <w:rsid w:val="003E4195"/>
    <w:rsid w:val="003E4234"/>
    <w:rsid w:val="003E43A5"/>
    <w:rsid w:val="003E43AB"/>
    <w:rsid w:val="003E43CD"/>
    <w:rsid w:val="003E43D1"/>
    <w:rsid w:val="003E4422"/>
    <w:rsid w:val="003E443A"/>
    <w:rsid w:val="003E44D0"/>
    <w:rsid w:val="003E451D"/>
    <w:rsid w:val="003E4535"/>
    <w:rsid w:val="003E46A9"/>
    <w:rsid w:val="003E47F2"/>
    <w:rsid w:val="003E482B"/>
    <w:rsid w:val="003E4831"/>
    <w:rsid w:val="003E48B4"/>
    <w:rsid w:val="003E4969"/>
    <w:rsid w:val="003E496C"/>
    <w:rsid w:val="003E4A06"/>
    <w:rsid w:val="003E4B0E"/>
    <w:rsid w:val="003E4BD5"/>
    <w:rsid w:val="003E4BDE"/>
    <w:rsid w:val="003E4BEB"/>
    <w:rsid w:val="003E4C52"/>
    <w:rsid w:val="003E4C78"/>
    <w:rsid w:val="003E4C80"/>
    <w:rsid w:val="003E4D6B"/>
    <w:rsid w:val="003E4D87"/>
    <w:rsid w:val="003E4DFD"/>
    <w:rsid w:val="003E4F20"/>
    <w:rsid w:val="003E502C"/>
    <w:rsid w:val="003E5127"/>
    <w:rsid w:val="003E514E"/>
    <w:rsid w:val="003E5180"/>
    <w:rsid w:val="003E51CB"/>
    <w:rsid w:val="003E52B3"/>
    <w:rsid w:val="003E5346"/>
    <w:rsid w:val="003E5510"/>
    <w:rsid w:val="003E5552"/>
    <w:rsid w:val="003E5581"/>
    <w:rsid w:val="003E5592"/>
    <w:rsid w:val="003E566C"/>
    <w:rsid w:val="003E5687"/>
    <w:rsid w:val="003E57C4"/>
    <w:rsid w:val="003E57FC"/>
    <w:rsid w:val="003E57FD"/>
    <w:rsid w:val="003E5831"/>
    <w:rsid w:val="003E5862"/>
    <w:rsid w:val="003E58A1"/>
    <w:rsid w:val="003E58D0"/>
    <w:rsid w:val="003E590F"/>
    <w:rsid w:val="003E596C"/>
    <w:rsid w:val="003E5979"/>
    <w:rsid w:val="003E59A4"/>
    <w:rsid w:val="003E5A2A"/>
    <w:rsid w:val="003E5A2E"/>
    <w:rsid w:val="003E5A51"/>
    <w:rsid w:val="003E5AA8"/>
    <w:rsid w:val="003E5AAD"/>
    <w:rsid w:val="003E5AFA"/>
    <w:rsid w:val="003E5B3A"/>
    <w:rsid w:val="003E5B49"/>
    <w:rsid w:val="003E5B6D"/>
    <w:rsid w:val="003E5BD1"/>
    <w:rsid w:val="003E5C0F"/>
    <w:rsid w:val="003E5CF9"/>
    <w:rsid w:val="003E5DE5"/>
    <w:rsid w:val="003E5E61"/>
    <w:rsid w:val="003E5EA6"/>
    <w:rsid w:val="003E5EF6"/>
    <w:rsid w:val="003E5F5B"/>
    <w:rsid w:val="003E606D"/>
    <w:rsid w:val="003E60CD"/>
    <w:rsid w:val="003E6124"/>
    <w:rsid w:val="003E61B6"/>
    <w:rsid w:val="003E61E7"/>
    <w:rsid w:val="003E6234"/>
    <w:rsid w:val="003E627B"/>
    <w:rsid w:val="003E62E8"/>
    <w:rsid w:val="003E6326"/>
    <w:rsid w:val="003E63AA"/>
    <w:rsid w:val="003E63BA"/>
    <w:rsid w:val="003E645E"/>
    <w:rsid w:val="003E64A7"/>
    <w:rsid w:val="003E64CF"/>
    <w:rsid w:val="003E64D7"/>
    <w:rsid w:val="003E667C"/>
    <w:rsid w:val="003E67E0"/>
    <w:rsid w:val="003E681D"/>
    <w:rsid w:val="003E68A8"/>
    <w:rsid w:val="003E6968"/>
    <w:rsid w:val="003E69FF"/>
    <w:rsid w:val="003E6A18"/>
    <w:rsid w:val="003E6A2E"/>
    <w:rsid w:val="003E6A63"/>
    <w:rsid w:val="003E6AF0"/>
    <w:rsid w:val="003E6BAF"/>
    <w:rsid w:val="003E6BB3"/>
    <w:rsid w:val="003E6C66"/>
    <w:rsid w:val="003E6CAD"/>
    <w:rsid w:val="003E6CC1"/>
    <w:rsid w:val="003E6CED"/>
    <w:rsid w:val="003E6DAD"/>
    <w:rsid w:val="003E6DE6"/>
    <w:rsid w:val="003E6E93"/>
    <w:rsid w:val="003E6E94"/>
    <w:rsid w:val="003E705A"/>
    <w:rsid w:val="003E709B"/>
    <w:rsid w:val="003E709F"/>
    <w:rsid w:val="003E7121"/>
    <w:rsid w:val="003E7168"/>
    <w:rsid w:val="003E7170"/>
    <w:rsid w:val="003E71E0"/>
    <w:rsid w:val="003E722E"/>
    <w:rsid w:val="003E722F"/>
    <w:rsid w:val="003E72AB"/>
    <w:rsid w:val="003E7384"/>
    <w:rsid w:val="003E74D1"/>
    <w:rsid w:val="003E7591"/>
    <w:rsid w:val="003E75CB"/>
    <w:rsid w:val="003E75D2"/>
    <w:rsid w:val="003E75FF"/>
    <w:rsid w:val="003E7790"/>
    <w:rsid w:val="003E7872"/>
    <w:rsid w:val="003E7913"/>
    <w:rsid w:val="003E7A1B"/>
    <w:rsid w:val="003E7A87"/>
    <w:rsid w:val="003E7B93"/>
    <w:rsid w:val="003E7CD4"/>
    <w:rsid w:val="003E7D5E"/>
    <w:rsid w:val="003E7DE5"/>
    <w:rsid w:val="003E7E64"/>
    <w:rsid w:val="003E7FB9"/>
    <w:rsid w:val="003E7FE0"/>
    <w:rsid w:val="003F01A3"/>
    <w:rsid w:val="003F01EB"/>
    <w:rsid w:val="003F0308"/>
    <w:rsid w:val="003F052B"/>
    <w:rsid w:val="003F06FC"/>
    <w:rsid w:val="003F0711"/>
    <w:rsid w:val="003F0750"/>
    <w:rsid w:val="003F0871"/>
    <w:rsid w:val="003F087B"/>
    <w:rsid w:val="003F0A82"/>
    <w:rsid w:val="003F0AC1"/>
    <w:rsid w:val="003F0BD1"/>
    <w:rsid w:val="003F0CFE"/>
    <w:rsid w:val="003F0D4A"/>
    <w:rsid w:val="003F0D8D"/>
    <w:rsid w:val="003F0D9D"/>
    <w:rsid w:val="003F0E02"/>
    <w:rsid w:val="003F0E20"/>
    <w:rsid w:val="003F0E75"/>
    <w:rsid w:val="003F0E92"/>
    <w:rsid w:val="003F0ED1"/>
    <w:rsid w:val="003F0FCA"/>
    <w:rsid w:val="003F103E"/>
    <w:rsid w:val="003F1057"/>
    <w:rsid w:val="003F1120"/>
    <w:rsid w:val="003F1145"/>
    <w:rsid w:val="003F11B1"/>
    <w:rsid w:val="003F11C1"/>
    <w:rsid w:val="003F12DA"/>
    <w:rsid w:val="003F1301"/>
    <w:rsid w:val="003F130C"/>
    <w:rsid w:val="003F13F7"/>
    <w:rsid w:val="003F1418"/>
    <w:rsid w:val="003F147D"/>
    <w:rsid w:val="003F14B2"/>
    <w:rsid w:val="003F14BF"/>
    <w:rsid w:val="003F1594"/>
    <w:rsid w:val="003F15BE"/>
    <w:rsid w:val="003F15DE"/>
    <w:rsid w:val="003F160A"/>
    <w:rsid w:val="003F16C6"/>
    <w:rsid w:val="003F16EC"/>
    <w:rsid w:val="003F17DE"/>
    <w:rsid w:val="003F18DB"/>
    <w:rsid w:val="003F1997"/>
    <w:rsid w:val="003F1A4D"/>
    <w:rsid w:val="003F1A73"/>
    <w:rsid w:val="003F1AA1"/>
    <w:rsid w:val="003F1BCB"/>
    <w:rsid w:val="003F1BE3"/>
    <w:rsid w:val="003F1C25"/>
    <w:rsid w:val="003F1C57"/>
    <w:rsid w:val="003F1D18"/>
    <w:rsid w:val="003F1D96"/>
    <w:rsid w:val="003F1ED0"/>
    <w:rsid w:val="003F1F15"/>
    <w:rsid w:val="003F1F52"/>
    <w:rsid w:val="003F1FEC"/>
    <w:rsid w:val="003F2124"/>
    <w:rsid w:val="003F2222"/>
    <w:rsid w:val="003F2260"/>
    <w:rsid w:val="003F2315"/>
    <w:rsid w:val="003F23C0"/>
    <w:rsid w:val="003F24C7"/>
    <w:rsid w:val="003F2521"/>
    <w:rsid w:val="003F2599"/>
    <w:rsid w:val="003F25F2"/>
    <w:rsid w:val="003F2700"/>
    <w:rsid w:val="003F270D"/>
    <w:rsid w:val="003F27E1"/>
    <w:rsid w:val="003F27EC"/>
    <w:rsid w:val="003F2A43"/>
    <w:rsid w:val="003F2A7C"/>
    <w:rsid w:val="003F2AEB"/>
    <w:rsid w:val="003F2B46"/>
    <w:rsid w:val="003F2C4B"/>
    <w:rsid w:val="003F2C9C"/>
    <w:rsid w:val="003F2CDC"/>
    <w:rsid w:val="003F2CFA"/>
    <w:rsid w:val="003F2EE8"/>
    <w:rsid w:val="003F2F53"/>
    <w:rsid w:val="003F2F73"/>
    <w:rsid w:val="003F2FA5"/>
    <w:rsid w:val="003F2FFD"/>
    <w:rsid w:val="003F300E"/>
    <w:rsid w:val="003F307D"/>
    <w:rsid w:val="003F30C6"/>
    <w:rsid w:val="003F3128"/>
    <w:rsid w:val="003F3136"/>
    <w:rsid w:val="003F3258"/>
    <w:rsid w:val="003F3289"/>
    <w:rsid w:val="003F329F"/>
    <w:rsid w:val="003F33BB"/>
    <w:rsid w:val="003F3599"/>
    <w:rsid w:val="003F35EB"/>
    <w:rsid w:val="003F3609"/>
    <w:rsid w:val="003F3647"/>
    <w:rsid w:val="003F3658"/>
    <w:rsid w:val="003F368E"/>
    <w:rsid w:val="003F3704"/>
    <w:rsid w:val="003F37A1"/>
    <w:rsid w:val="003F37C3"/>
    <w:rsid w:val="003F38DB"/>
    <w:rsid w:val="003F3960"/>
    <w:rsid w:val="003F39D9"/>
    <w:rsid w:val="003F39F5"/>
    <w:rsid w:val="003F3A94"/>
    <w:rsid w:val="003F3BE6"/>
    <w:rsid w:val="003F3C94"/>
    <w:rsid w:val="003F3CFE"/>
    <w:rsid w:val="003F3E39"/>
    <w:rsid w:val="003F3EB2"/>
    <w:rsid w:val="003F402B"/>
    <w:rsid w:val="003F4045"/>
    <w:rsid w:val="003F4070"/>
    <w:rsid w:val="003F408D"/>
    <w:rsid w:val="003F40F7"/>
    <w:rsid w:val="003F4145"/>
    <w:rsid w:val="003F421D"/>
    <w:rsid w:val="003F4235"/>
    <w:rsid w:val="003F4418"/>
    <w:rsid w:val="003F4429"/>
    <w:rsid w:val="003F4464"/>
    <w:rsid w:val="003F44AA"/>
    <w:rsid w:val="003F44B1"/>
    <w:rsid w:val="003F45B0"/>
    <w:rsid w:val="003F45CE"/>
    <w:rsid w:val="003F45E7"/>
    <w:rsid w:val="003F4601"/>
    <w:rsid w:val="003F4666"/>
    <w:rsid w:val="003F46E9"/>
    <w:rsid w:val="003F4780"/>
    <w:rsid w:val="003F489F"/>
    <w:rsid w:val="003F48C6"/>
    <w:rsid w:val="003F4AA5"/>
    <w:rsid w:val="003F4AAB"/>
    <w:rsid w:val="003F4B78"/>
    <w:rsid w:val="003F4B7C"/>
    <w:rsid w:val="003F4BA3"/>
    <w:rsid w:val="003F4BDC"/>
    <w:rsid w:val="003F4C07"/>
    <w:rsid w:val="003F4CD3"/>
    <w:rsid w:val="003F4D1C"/>
    <w:rsid w:val="003F4DCE"/>
    <w:rsid w:val="003F4DE4"/>
    <w:rsid w:val="003F4E18"/>
    <w:rsid w:val="003F4E7A"/>
    <w:rsid w:val="003F4ED4"/>
    <w:rsid w:val="003F4F03"/>
    <w:rsid w:val="003F4F8C"/>
    <w:rsid w:val="003F4FB4"/>
    <w:rsid w:val="003F4FC8"/>
    <w:rsid w:val="003F508C"/>
    <w:rsid w:val="003F5149"/>
    <w:rsid w:val="003F5164"/>
    <w:rsid w:val="003F516D"/>
    <w:rsid w:val="003F54B2"/>
    <w:rsid w:val="003F54B7"/>
    <w:rsid w:val="003F5517"/>
    <w:rsid w:val="003F551A"/>
    <w:rsid w:val="003F5612"/>
    <w:rsid w:val="003F5704"/>
    <w:rsid w:val="003F572A"/>
    <w:rsid w:val="003F585B"/>
    <w:rsid w:val="003F58A6"/>
    <w:rsid w:val="003F59B5"/>
    <w:rsid w:val="003F5B3D"/>
    <w:rsid w:val="003F5B7C"/>
    <w:rsid w:val="003F5B96"/>
    <w:rsid w:val="003F5BEA"/>
    <w:rsid w:val="003F5C93"/>
    <w:rsid w:val="003F5CEE"/>
    <w:rsid w:val="003F5D06"/>
    <w:rsid w:val="003F5E03"/>
    <w:rsid w:val="003F5E77"/>
    <w:rsid w:val="003F5EF0"/>
    <w:rsid w:val="003F5F25"/>
    <w:rsid w:val="003F5F79"/>
    <w:rsid w:val="003F5FE2"/>
    <w:rsid w:val="003F6166"/>
    <w:rsid w:val="003F61BC"/>
    <w:rsid w:val="003F6206"/>
    <w:rsid w:val="003F6289"/>
    <w:rsid w:val="003F6320"/>
    <w:rsid w:val="003F64F6"/>
    <w:rsid w:val="003F64F7"/>
    <w:rsid w:val="003F658F"/>
    <w:rsid w:val="003F65CF"/>
    <w:rsid w:val="003F65DA"/>
    <w:rsid w:val="003F6882"/>
    <w:rsid w:val="003F688E"/>
    <w:rsid w:val="003F689D"/>
    <w:rsid w:val="003F68AF"/>
    <w:rsid w:val="003F68B8"/>
    <w:rsid w:val="003F693F"/>
    <w:rsid w:val="003F6949"/>
    <w:rsid w:val="003F694B"/>
    <w:rsid w:val="003F6980"/>
    <w:rsid w:val="003F69A7"/>
    <w:rsid w:val="003F69F9"/>
    <w:rsid w:val="003F6AB8"/>
    <w:rsid w:val="003F6AED"/>
    <w:rsid w:val="003F6B85"/>
    <w:rsid w:val="003F6BF9"/>
    <w:rsid w:val="003F6BFD"/>
    <w:rsid w:val="003F6C67"/>
    <w:rsid w:val="003F6C6B"/>
    <w:rsid w:val="003F6D10"/>
    <w:rsid w:val="003F6D82"/>
    <w:rsid w:val="003F6DA1"/>
    <w:rsid w:val="003F6E78"/>
    <w:rsid w:val="003F6E8C"/>
    <w:rsid w:val="003F6EA7"/>
    <w:rsid w:val="003F6EB5"/>
    <w:rsid w:val="003F6ED9"/>
    <w:rsid w:val="003F6F2A"/>
    <w:rsid w:val="003F6F85"/>
    <w:rsid w:val="003F6FFC"/>
    <w:rsid w:val="003F7044"/>
    <w:rsid w:val="003F7056"/>
    <w:rsid w:val="003F70AE"/>
    <w:rsid w:val="003F70BE"/>
    <w:rsid w:val="003F70F1"/>
    <w:rsid w:val="003F717C"/>
    <w:rsid w:val="003F71DC"/>
    <w:rsid w:val="003F722F"/>
    <w:rsid w:val="003F735B"/>
    <w:rsid w:val="003F7480"/>
    <w:rsid w:val="003F74A5"/>
    <w:rsid w:val="003F7586"/>
    <w:rsid w:val="003F75D3"/>
    <w:rsid w:val="003F760F"/>
    <w:rsid w:val="003F7620"/>
    <w:rsid w:val="003F76A1"/>
    <w:rsid w:val="003F76CE"/>
    <w:rsid w:val="003F773C"/>
    <w:rsid w:val="003F77E4"/>
    <w:rsid w:val="003F77E5"/>
    <w:rsid w:val="003F7833"/>
    <w:rsid w:val="003F7855"/>
    <w:rsid w:val="003F790B"/>
    <w:rsid w:val="003F79A7"/>
    <w:rsid w:val="003F7AC6"/>
    <w:rsid w:val="003F7AFA"/>
    <w:rsid w:val="003F7B2A"/>
    <w:rsid w:val="003F7B45"/>
    <w:rsid w:val="003F7BE7"/>
    <w:rsid w:val="003F7E78"/>
    <w:rsid w:val="003F7EE2"/>
    <w:rsid w:val="003F7EEB"/>
    <w:rsid w:val="003F7F04"/>
    <w:rsid w:val="003F7F50"/>
    <w:rsid w:val="004000AF"/>
    <w:rsid w:val="004000E5"/>
    <w:rsid w:val="004001BC"/>
    <w:rsid w:val="004002E4"/>
    <w:rsid w:val="0040033D"/>
    <w:rsid w:val="004003C1"/>
    <w:rsid w:val="0040043D"/>
    <w:rsid w:val="004004ED"/>
    <w:rsid w:val="00400570"/>
    <w:rsid w:val="004005F4"/>
    <w:rsid w:val="00400686"/>
    <w:rsid w:val="004006EE"/>
    <w:rsid w:val="004006F0"/>
    <w:rsid w:val="004007C3"/>
    <w:rsid w:val="004008B1"/>
    <w:rsid w:val="004008B8"/>
    <w:rsid w:val="00400928"/>
    <w:rsid w:val="0040098E"/>
    <w:rsid w:val="004009B1"/>
    <w:rsid w:val="004009CB"/>
    <w:rsid w:val="00400A3C"/>
    <w:rsid w:val="00400A5E"/>
    <w:rsid w:val="00400AF3"/>
    <w:rsid w:val="00400BB8"/>
    <w:rsid w:val="00400C58"/>
    <w:rsid w:val="00400D03"/>
    <w:rsid w:val="00400D41"/>
    <w:rsid w:val="00400D7B"/>
    <w:rsid w:val="00400D7E"/>
    <w:rsid w:val="00400E07"/>
    <w:rsid w:val="00400E38"/>
    <w:rsid w:val="00400E86"/>
    <w:rsid w:val="00400EE9"/>
    <w:rsid w:val="00400F12"/>
    <w:rsid w:val="00400F27"/>
    <w:rsid w:val="00400F75"/>
    <w:rsid w:val="00401068"/>
    <w:rsid w:val="00401082"/>
    <w:rsid w:val="004010EE"/>
    <w:rsid w:val="00401166"/>
    <w:rsid w:val="00401204"/>
    <w:rsid w:val="00401222"/>
    <w:rsid w:val="00401224"/>
    <w:rsid w:val="0040127B"/>
    <w:rsid w:val="004012EC"/>
    <w:rsid w:val="0040136A"/>
    <w:rsid w:val="00401459"/>
    <w:rsid w:val="0040147A"/>
    <w:rsid w:val="00401480"/>
    <w:rsid w:val="004014FE"/>
    <w:rsid w:val="00401546"/>
    <w:rsid w:val="00401557"/>
    <w:rsid w:val="004015B8"/>
    <w:rsid w:val="004015C7"/>
    <w:rsid w:val="004015E0"/>
    <w:rsid w:val="0040161C"/>
    <w:rsid w:val="00401671"/>
    <w:rsid w:val="00401680"/>
    <w:rsid w:val="00401694"/>
    <w:rsid w:val="004016DD"/>
    <w:rsid w:val="0040176C"/>
    <w:rsid w:val="004017B4"/>
    <w:rsid w:val="004017B6"/>
    <w:rsid w:val="004018CC"/>
    <w:rsid w:val="004018DC"/>
    <w:rsid w:val="00401A6B"/>
    <w:rsid w:val="00401A94"/>
    <w:rsid w:val="00401B8A"/>
    <w:rsid w:val="00401C25"/>
    <w:rsid w:val="00401CE7"/>
    <w:rsid w:val="00401E5A"/>
    <w:rsid w:val="00401E8A"/>
    <w:rsid w:val="00401E9E"/>
    <w:rsid w:val="00401EDC"/>
    <w:rsid w:val="00402053"/>
    <w:rsid w:val="0040206C"/>
    <w:rsid w:val="004020B2"/>
    <w:rsid w:val="00402162"/>
    <w:rsid w:val="004021F9"/>
    <w:rsid w:val="00402219"/>
    <w:rsid w:val="00402248"/>
    <w:rsid w:val="00402424"/>
    <w:rsid w:val="004024DB"/>
    <w:rsid w:val="004024E2"/>
    <w:rsid w:val="0040258B"/>
    <w:rsid w:val="00402603"/>
    <w:rsid w:val="00402651"/>
    <w:rsid w:val="00402713"/>
    <w:rsid w:val="0040276D"/>
    <w:rsid w:val="004027CC"/>
    <w:rsid w:val="00402814"/>
    <w:rsid w:val="00402818"/>
    <w:rsid w:val="00402841"/>
    <w:rsid w:val="004028DA"/>
    <w:rsid w:val="00402A26"/>
    <w:rsid w:val="00402AD9"/>
    <w:rsid w:val="00402B27"/>
    <w:rsid w:val="00402BA4"/>
    <w:rsid w:val="00402BF4"/>
    <w:rsid w:val="00402CA1"/>
    <w:rsid w:val="00402CAB"/>
    <w:rsid w:val="00402CD1"/>
    <w:rsid w:val="00402CEC"/>
    <w:rsid w:val="00402D23"/>
    <w:rsid w:val="00402D57"/>
    <w:rsid w:val="00402D99"/>
    <w:rsid w:val="00402EA4"/>
    <w:rsid w:val="00402F0A"/>
    <w:rsid w:val="00402F2B"/>
    <w:rsid w:val="0040316A"/>
    <w:rsid w:val="0040317C"/>
    <w:rsid w:val="004031B1"/>
    <w:rsid w:val="004031F2"/>
    <w:rsid w:val="0040331C"/>
    <w:rsid w:val="0040332A"/>
    <w:rsid w:val="00403381"/>
    <w:rsid w:val="00403496"/>
    <w:rsid w:val="004034F3"/>
    <w:rsid w:val="004035BF"/>
    <w:rsid w:val="00403676"/>
    <w:rsid w:val="004036BC"/>
    <w:rsid w:val="004036FC"/>
    <w:rsid w:val="00403707"/>
    <w:rsid w:val="00403728"/>
    <w:rsid w:val="0040375E"/>
    <w:rsid w:val="004037B8"/>
    <w:rsid w:val="004037CE"/>
    <w:rsid w:val="00403B5C"/>
    <w:rsid w:val="00403C4C"/>
    <w:rsid w:val="00403C6C"/>
    <w:rsid w:val="00403DA4"/>
    <w:rsid w:val="00403E56"/>
    <w:rsid w:val="00403EB7"/>
    <w:rsid w:val="00403F27"/>
    <w:rsid w:val="00403F91"/>
    <w:rsid w:val="004042FE"/>
    <w:rsid w:val="00404302"/>
    <w:rsid w:val="00404374"/>
    <w:rsid w:val="0040437B"/>
    <w:rsid w:val="0040438A"/>
    <w:rsid w:val="00404484"/>
    <w:rsid w:val="004044EE"/>
    <w:rsid w:val="00404500"/>
    <w:rsid w:val="00404588"/>
    <w:rsid w:val="004045C4"/>
    <w:rsid w:val="00404602"/>
    <w:rsid w:val="00404747"/>
    <w:rsid w:val="00404795"/>
    <w:rsid w:val="004047B6"/>
    <w:rsid w:val="004047CA"/>
    <w:rsid w:val="00404863"/>
    <w:rsid w:val="00404971"/>
    <w:rsid w:val="004049D8"/>
    <w:rsid w:val="00404A31"/>
    <w:rsid w:val="00404AD7"/>
    <w:rsid w:val="00404B25"/>
    <w:rsid w:val="00404BFF"/>
    <w:rsid w:val="00404C10"/>
    <w:rsid w:val="00404C25"/>
    <w:rsid w:val="00404D09"/>
    <w:rsid w:val="00404DD9"/>
    <w:rsid w:val="00404E59"/>
    <w:rsid w:val="00404E60"/>
    <w:rsid w:val="00404E6C"/>
    <w:rsid w:val="00404ED0"/>
    <w:rsid w:val="00404EDB"/>
    <w:rsid w:val="00404F0A"/>
    <w:rsid w:val="0040500A"/>
    <w:rsid w:val="00405088"/>
    <w:rsid w:val="004050EA"/>
    <w:rsid w:val="00405112"/>
    <w:rsid w:val="0040514C"/>
    <w:rsid w:val="004051FF"/>
    <w:rsid w:val="00405201"/>
    <w:rsid w:val="00405244"/>
    <w:rsid w:val="00405255"/>
    <w:rsid w:val="00405262"/>
    <w:rsid w:val="00405267"/>
    <w:rsid w:val="00405460"/>
    <w:rsid w:val="004054F6"/>
    <w:rsid w:val="0040559E"/>
    <w:rsid w:val="004055AA"/>
    <w:rsid w:val="004056A3"/>
    <w:rsid w:val="0040591C"/>
    <w:rsid w:val="0040599D"/>
    <w:rsid w:val="0040599F"/>
    <w:rsid w:val="004059A9"/>
    <w:rsid w:val="00405A09"/>
    <w:rsid w:val="00405AA6"/>
    <w:rsid w:val="00405AE8"/>
    <w:rsid w:val="00405B8E"/>
    <w:rsid w:val="00405D20"/>
    <w:rsid w:val="00405D50"/>
    <w:rsid w:val="00405DD1"/>
    <w:rsid w:val="00405E43"/>
    <w:rsid w:val="00405E71"/>
    <w:rsid w:val="00405E85"/>
    <w:rsid w:val="00405F52"/>
    <w:rsid w:val="00405FCA"/>
    <w:rsid w:val="0040609A"/>
    <w:rsid w:val="0040617C"/>
    <w:rsid w:val="004061E4"/>
    <w:rsid w:val="004062C6"/>
    <w:rsid w:val="004062FB"/>
    <w:rsid w:val="0040634C"/>
    <w:rsid w:val="00406478"/>
    <w:rsid w:val="00406572"/>
    <w:rsid w:val="004065E5"/>
    <w:rsid w:val="004065F1"/>
    <w:rsid w:val="00406616"/>
    <w:rsid w:val="00406647"/>
    <w:rsid w:val="004066B1"/>
    <w:rsid w:val="004066E0"/>
    <w:rsid w:val="004067BE"/>
    <w:rsid w:val="00406834"/>
    <w:rsid w:val="0040684C"/>
    <w:rsid w:val="0040689F"/>
    <w:rsid w:val="004068E3"/>
    <w:rsid w:val="004068E9"/>
    <w:rsid w:val="00406A08"/>
    <w:rsid w:val="00406A36"/>
    <w:rsid w:val="00406A71"/>
    <w:rsid w:val="00406C31"/>
    <w:rsid w:val="00406C7D"/>
    <w:rsid w:val="00406CA9"/>
    <w:rsid w:val="00406D1C"/>
    <w:rsid w:val="00406D1D"/>
    <w:rsid w:val="00406E93"/>
    <w:rsid w:val="00406EC0"/>
    <w:rsid w:val="00406F24"/>
    <w:rsid w:val="00406F88"/>
    <w:rsid w:val="00407198"/>
    <w:rsid w:val="004071A0"/>
    <w:rsid w:val="004071D2"/>
    <w:rsid w:val="004072F9"/>
    <w:rsid w:val="00407309"/>
    <w:rsid w:val="00407327"/>
    <w:rsid w:val="0040733D"/>
    <w:rsid w:val="00407461"/>
    <w:rsid w:val="00407529"/>
    <w:rsid w:val="004075F9"/>
    <w:rsid w:val="00407604"/>
    <w:rsid w:val="00407647"/>
    <w:rsid w:val="0040768A"/>
    <w:rsid w:val="00407703"/>
    <w:rsid w:val="00407732"/>
    <w:rsid w:val="00407764"/>
    <w:rsid w:val="004077A5"/>
    <w:rsid w:val="00407890"/>
    <w:rsid w:val="00407996"/>
    <w:rsid w:val="004079A5"/>
    <w:rsid w:val="004079AD"/>
    <w:rsid w:val="00407B21"/>
    <w:rsid w:val="00407B3B"/>
    <w:rsid w:val="00407B58"/>
    <w:rsid w:val="00407BB6"/>
    <w:rsid w:val="00407CD9"/>
    <w:rsid w:val="00407D3E"/>
    <w:rsid w:val="00407E13"/>
    <w:rsid w:val="00407E58"/>
    <w:rsid w:val="00407F0D"/>
    <w:rsid w:val="00407FC3"/>
    <w:rsid w:val="00407FC6"/>
    <w:rsid w:val="00410096"/>
    <w:rsid w:val="00410099"/>
    <w:rsid w:val="0041014F"/>
    <w:rsid w:val="004101BF"/>
    <w:rsid w:val="0041021C"/>
    <w:rsid w:val="00410277"/>
    <w:rsid w:val="004102E5"/>
    <w:rsid w:val="004102EC"/>
    <w:rsid w:val="00410314"/>
    <w:rsid w:val="00410346"/>
    <w:rsid w:val="00410429"/>
    <w:rsid w:val="00410506"/>
    <w:rsid w:val="0041051B"/>
    <w:rsid w:val="00410540"/>
    <w:rsid w:val="00410682"/>
    <w:rsid w:val="00410728"/>
    <w:rsid w:val="00410758"/>
    <w:rsid w:val="00410819"/>
    <w:rsid w:val="00410848"/>
    <w:rsid w:val="004108FE"/>
    <w:rsid w:val="00410A2D"/>
    <w:rsid w:val="00410AB0"/>
    <w:rsid w:val="00410BF8"/>
    <w:rsid w:val="00410C65"/>
    <w:rsid w:val="00410D08"/>
    <w:rsid w:val="00410D45"/>
    <w:rsid w:val="00410D48"/>
    <w:rsid w:val="00410D56"/>
    <w:rsid w:val="00410D61"/>
    <w:rsid w:val="00410E16"/>
    <w:rsid w:val="00410E43"/>
    <w:rsid w:val="00410E5B"/>
    <w:rsid w:val="0041103C"/>
    <w:rsid w:val="0041106B"/>
    <w:rsid w:val="004110BC"/>
    <w:rsid w:val="004111DE"/>
    <w:rsid w:val="0041121C"/>
    <w:rsid w:val="00411232"/>
    <w:rsid w:val="0041125F"/>
    <w:rsid w:val="004113C8"/>
    <w:rsid w:val="00411438"/>
    <w:rsid w:val="004114B3"/>
    <w:rsid w:val="004114DE"/>
    <w:rsid w:val="0041155E"/>
    <w:rsid w:val="00411620"/>
    <w:rsid w:val="00411621"/>
    <w:rsid w:val="00411645"/>
    <w:rsid w:val="00411682"/>
    <w:rsid w:val="004116AD"/>
    <w:rsid w:val="004116BA"/>
    <w:rsid w:val="004116CF"/>
    <w:rsid w:val="004116F8"/>
    <w:rsid w:val="0041178D"/>
    <w:rsid w:val="0041179E"/>
    <w:rsid w:val="00411806"/>
    <w:rsid w:val="00411A18"/>
    <w:rsid w:val="00411A1A"/>
    <w:rsid w:val="00411A29"/>
    <w:rsid w:val="00411A38"/>
    <w:rsid w:val="00411A79"/>
    <w:rsid w:val="00411AC5"/>
    <w:rsid w:val="00411B19"/>
    <w:rsid w:val="00411D99"/>
    <w:rsid w:val="00411E4F"/>
    <w:rsid w:val="00412011"/>
    <w:rsid w:val="00412025"/>
    <w:rsid w:val="00412049"/>
    <w:rsid w:val="0041209D"/>
    <w:rsid w:val="004120DC"/>
    <w:rsid w:val="00412151"/>
    <w:rsid w:val="004121C4"/>
    <w:rsid w:val="004122E9"/>
    <w:rsid w:val="00412325"/>
    <w:rsid w:val="00412369"/>
    <w:rsid w:val="004123AB"/>
    <w:rsid w:val="00412434"/>
    <w:rsid w:val="0041250E"/>
    <w:rsid w:val="00412526"/>
    <w:rsid w:val="00412532"/>
    <w:rsid w:val="00412594"/>
    <w:rsid w:val="004125C3"/>
    <w:rsid w:val="0041263F"/>
    <w:rsid w:val="00412707"/>
    <w:rsid w:val="00412843"/>
    <w:rsid w:val="0041286C"/>
    <w:rsid w:val="004128A6"/>
    <w:rsid w:val="00412900"/>
    <w:rsid w:val="00412970"/>
    <w:rsid w:val="00412A9C"/>
    <w:rsid w:val="00412B69"/>
    <w:rsid w:val="00412B8D"/>
    <w:rsid w:val="00412C72"/>
    <w:rsid w:val="00412E4C"/>
    <w:rsid w:val="00412E6E"/>
    <w:rsid w:val="00412FA1"/>
    <w:rsid w:val="00413086"/>
    <w:rsid w:val="00413096"/>
    <w:rsid w:val="0041310F"/>
    <w:rsid w:val="00413128"/>
    <w:rsid w:val="00413132"/>
    <w:rsid w:val="00413139"/>
    <w:rsid w:val="00413232"/>
    <w:rsid w:val="0041325E"/>
    <w:rsid w:val="004132ED"/>
    <w:rsid w:val="00413315"/>
    <w:rsid w:val="0041331A"/>
    <w:rsid w:val="004133D6"/>
    <w:rsid w:val="004133F2"/>
    <w:rsid w:val="00413475"/>
    <w:rsid w:val="004135AA"/>
    <w:rsid w:val="00413636"/>
    <w:rsid w:val="004136C3"/>
    <w:rsid w:val="004136CB"/>
    <w:rsid w:val="00413729"/>
    <w:rsid w:val="0041372E"/>
    <w:rsid w:val="004138F3"/>
    <w:rsid w:val="00413931"/>
    <w:rsid w:val="00413957"/>
    <w:rsid w:val="00413A8B"/>
    <w:rsid w:val="00413B1A"/>
    <w:rsid w:val="00413B90"/>
    <w:rsid w:val="00413C5A"/>
    <w:rsid w:val="00413CE6"/>
    <w:rsid w:val="00413D41"/>
    <w:rsid w:val="00413D65"/>
    <w:rsid w:val="00413DD2"/>
    <w:rsid w:val="00413E0A"/>
    <w:rsid w:val="00413F48"/>
    <w:rsid w:val="00413F58"/>
    <w:rsid w:val="00413FF5"/>
    <w:rsid w:val="004140A2"/>
    <w:rsid w:val="004140AC"/>
    <w:rsid w:val="004140F3"/>
    <w:rsid w:val="00414184"/>
    <w:rsid w:val="00414200"/>
    <w:rsid w:val="00414212"/>
    <w:rsid w:val="00414276"/>
    <w:rsid w:val="004142A7"/>
    <w:rsid w:val="00414343"/>
    <w:rsid w:val="004143A8"/>
    <w:rsid w:val="004143E6"/>
    <w:rsid w:val="0041448C"/>
    <w:rsid w:val="0041451D"/>
    <w:rsid w:val="004145CC"/>
    <w:rsid w:val="004145F1"/>
    <w:rsid w:val="00414737"/>
    <w:rsid w:val="0041476B"/>
    <w:rsid w:val="0041478D"/>
    <w:rsid w:val="004147A5"/>
    <w:rsid w:val="004147AE"/>
    <w:rsid w:val="00414882"/>
    <w:rsid w:val="00414A28"/>
    <w:rsid w:val="00414B36"/>
    <w:rsid w:val="00414B96"/>
    <w:rsid w:val="00414BAE"/>
    <w:rsid w:val="00414C7F"/>
    <w:rsid w:val="00414DA9"/>
    <w:rsid w:val="00414E9C"/>
    <w:rsid w:val="00414F5C"/>
    <w:rsid w:val="00414FB3"/>
    <w:rsid w:val="00414FD1"/>
    <w:rsid w:val="00414FFE"/>
    <w:rsid w:val="00415057"/>
    <w:rsid w:val="004150E0"/>
    <w:rsid w:val="004151A9"/>
    <w:rsid w:val="00415241"/>
    <w:rsid w:val="004152C3"/>
    <w:rsid w:val="00415346"/>
    <w:rsid w:val="0041542E"/>
    <w:rsid w:val="00415475"/>
    <w:rsid w:val="004154E7"/>
    <w:rsid w:val="00415511"/>
    <w:rsid w:val="00415514"/>
    <w:rsid w:val="004155C0"/>
    <w:rsid w:val="00415656"/>
    <w:rsid w:val="0041569D"/>
    <w:rsid w:val="0041577E"/>
    <w:rsid w:val="00415818"/>
    <w:rsid w:val="00415859"/>
    <w:rsid w:val="00415941"/>
    <w:rsid w:val="00415B43"/>
    <w:rsid w:val="00415B5C"/>
    <w:rsid w:val="00415BC7"/>
    <w:rsid w:val="00415BF1"/>
    <w:rsid w:val="00415CDD"/>
    <w:rsid w:val="00415DFF"/>
    <w:rsid w:val="00415E05"/>
    <w:rsid w:val="00415E1D"/>
    <w:rsid w:val="00415F5C"/>
    <w:rsid w:val="00415FCF"/>
    <w:rsid w:val="00416036"/>
    <w:rsid w:val="004160C4"/>
    <w:rsid w:val="004160E4"/>
    <w:rsid w:val="004160F1"/>
    <w:rsid w:val="00416102"/>
    <w:rsid w:val="0041611C"/>
    <w:rsid w:val="00416167"/>
    <w:rsid w:val="00416170"/>
    <w:rsid w:val="004161F8"/>
    <w:rsid w:val="00416261"/>
    <w:rsid w:val="004162F4"/>
    <w:rsid w:val="00416336"/>
    <w:rsid w:val="00416372"/>
    <w:rsid w:val="00416456"/>
    <w:rsid w:val="0041647D"/>
    <w:rsid w:val="004164CB"/>
    <w:rsid w:val="00416586"/>
    <w:rsid w:val="004165B1"/>
    <w:rsid w:val="00416606"/>
    <w:rsid w:val="00416635"/>
    <w:rsid w:val="004166F0"/>
    <w:rsid w:val="00416762"/>
    <w:rsid w:val="0041680C"/>
    <w:rsid w:val="00416831"/>
    <w:rsid w:val="0041683B"/>
    <w:rsid w:val="0041683D"/>
    <w:rsid w:val="0041685D"/>
    <w:rsid w:val="004168DA"/>
    <w:rsid w:val="00416946"/>
    <w:rsid w:val="00416A01"/>
    <w:rsid w:val="00416A72"/>
    <w:rsid w:val="00416B12"/>
    <w:rsid w:val="00416B80"/>
    <w:rsid w:val="00416C41"/>
    <w:rsid w:val="00416CAF"/>
    <w:rsid w:val="00416D27"/>
    <w:rsid w:val="00416D62"/>
    <w:rsid w:val="00416E55"/>
    <w:rsid w:val="00416EA8"/>
    <w:rsid w:val="00416F37"/>
    <w:rsid w:val="0041704E"/>
    <w:rsid w:val="00417075"/>
    <w:rsid w:val="00417146"/>
    <w:rsid w:val="004171EC"/>
    <w:rsid w:val="004171F3"/>
    <w:rsid w:val="004172B7"/>
    <w:rsid w:val="004172B8"/>
    <w:rsid w:val="004172DC"/>
    <w:rsid w:val="004172EB"/>
    <w:rsid w:val="004173A3"/>
    <w:rsid w:val="00417446"/>
    <w:rsid w:val="00417512"/>
    <w:rsid w:val="00417523"/>
    <w:rsid w:val="00417554"/>
    <w:rsid w:val="004175FF"/>
    <w:rsid w:val="00417601"/>
    <w:rsid w:val="00417629"/>
    <w:rsid w:val="00417668"/>
    <w:rsid w:val="00417675"/>
    <w:rsid w:val="004176BA"/>
    <w:rsid w:val="00417772"/>
    <w:rsid w:val="00417825"/>
    <w:rsid w:val="00417A8E"/>
    <w:rsid w:val="00417B4D"/>
    <w:rsid w:val="00417B8F"/>
    <w:rsid w:val="00417C1F"/>
    <w:rsid w:val="00417C66"/>
    <w:rsid w:val="00417CA1"/>
    <w:rsid w:val="00417DE3"/>
    <w:rsid w:val="00417E3B"/>
    <w:rsid w:val="00417EEB"/>
    <w:rsid w:val="00417F16"/>
    <w:rsid w:val="00417F17"/>
    <w:rsid w:val="00417F1A"/>
    <w:rsid w:val="00417F92"/>
    <w:rsid w:val="00417FA3"/>
    <w:rsid w:val="00417FE7"/>
    <w:rsid w:val="00420021"/>
    <w:rsid w:val="0042003A"/>
    <w:rsid w:val="00420103"/>
    <w:rsid w:val="00420189"/>
    <w:rsid w:val="0042018E"/>
    <w:rsid w:val="004201CE"/>
    <w:rsid w:val="00420211"/>
    <w:rsid w:val="00420240"/>
    <w:rsid w:val="004202A6"/>
    <w:rsid w:val="00420341"/>
    <w:rsid w:val="004203B6"/>
    <w:rsid w:val="004203E8"/>
    <w:rsid w:val="00420407"/>
    <w:rsid w:val="00420438"/>
    <w:rsid w:val="004204EC"/>
    <w:rsid w:val="004204F4"/>
    <w:rsid w:val="00420565"/>
    <w:rsid w:val="00420594"/>
    <w:rsid w:val="004205EC"/>
    <w:rsid w:val="00420612"/>
    <w:rsid w:val="0042067F"/>
    <w:rsid w:val="004206B7"/>
    <w:rsid w:val="004206C4"/>
    <w:rsid w:val="004206E4"/>
    <w:rsid w:val="0042072E"/>
    <w:rsid w:val="0042076A"/>
    <w:rsid w:val="0042078E"/>
    <w:rsid w:val="004207DF"/>
    <w:rsid w:val="004207F5"/>
    <w:rsid w:val="0042092C"/>
    <w:rsid w:val="0042094E"/>
    <w:rsid w:val="00420991"/>
    <w:rsid w:val="004209A2"/>
    <w:rsid w:val="00420A89"/>
    <w:rsid w:val="00420BAE"/>
    <w:rsid w:val="00420BB7"/>
    <w:rsid w:val="00420C1E"/>
    <w:rsid w:val="00420C61"/>
    <w:rsid w:val="00420C89"/>
    <w:rsid w:val="00420CD3"/>
    <w:rsid w:val="00420D31"/>
    <w:rsid w:val="00420D46"/>
    <w:rsid w:val="00420D49"/>
    <w:rsid w:val="00420DC0"/>
    <w:rsid w:val="00420E20"/>
    <w:rsid w:val="00420E3D"/>
    <w:rsid w:val="00420FC9"/>
    <w:rsid w:val="00421029"/>
    <w:rsid w:val="004210B5"/>
    <w:rsid w:val="004210E4"/>
    <w:rsid w:val="00421103"/>
    <w:rsid w:val="004211DC"/>
    <w:rsid w:val="004211F8"/>
    <w:rsid w:val="00421264"/>
    <w:rsid w:val="00421331"/>
    <w:rsid w:val="00421365"/>
    <w:rsid w:val="004213A7"/>
    <w:rsid w:val="0042148D"/>
    <w:rsid w:val="004214AD"/>
    <w:rsid w:val="004214B9"/>
    <w:rsid w:val="004214DB"/>
    <w:rsid w:val="00421511"/>
    <w:rsid w:val="00421577"/>
    <w:rsid w:val="004215C6"/>
    <w:rsid w:val="0042161D"/>
    <w:rsid w:val="00421688"/>
    <w:rsid w:val="004216A9"/>
    <w:rsid w:val="0042170C"/>
    <w:rsid w:val="004217F9"/>
    <w:rsid w:val="0042183E"/>
    <w:rsid w:val="00421865"/>
    <w:rsid w:val="00421878"/>
    <w:rsid w:val="004218B5"/>
    <w:rsid w:val="00421954"/>
    <w:rsid w:val="00421955"/>
    <w:rsid w:val="00421A25"/>
    <w:rsid w:val="00421AE7"/>
    <w:rsid w:val="00421B29"/>
    <w:rsid w:val="00421B59"/>
    <w:rsid w:val="00421B98"/>
    <w:rsid w:val="00421BA7"/>
    <w:rsid w:val="00421C65"/>
    <w:rsid w:val="00421C6B"/>
    <w:rsid w:val="00421C81"/>
    <w:rsid w:val="00421CA7"/>
    <w:rsid w:val="00421CB7"/>
    <w:rsid w:val="00421CE1"/>
    <w:rsid w:val="00421CE3"/>
    <w:rsid w:val="00421D9E"/>
    <w:rsid w:val="00421E8B"/>
    <w:rsid w:val="00421E9E"/>
    <w:rsid w:val="00421F5D"/>
    <w:rsid w:val="00421F76"/>
    <w:rsid w:val="00422071"/>
    <w:rsid w:val="004220A0"/>
    <w:rsid w:val="00422254"/>
    <w:rsid w:val="0042228A"/>
    <w:rsid w:val="004223C0"/>
    <w:rsid w:val="004223E5"/>
    <w:rsid w:val="00422412"/>
    <w:rsid w:val="00422435"/>
    <w:rsid w:val="00422479"/>
    <w:rsid w:val="004224CF"/>
    <w:rsid w:val="00422614"/>
    <w:rsid w:val="004228A3"/>
    <w:rsid w:val="00422918"/>
    <w:rsid w:val="00422929"/>
    <w:rsid w:val="00422949"/>
    <w:rsid w:val="00422A9E"/>
    <w:rsid w:val="00422AC8"/>
    <w:rsid w:val="00422BA0"/>
    <w:rsid w:val="00422BF5"/>
    <w:rsid w:val="00422C13"/>
    <w:rsid w:val="00422D3C"/>
    <w:rsid w:val="00422D7E"/>
    <w:rsid w:val="00422E0C"/>
    <w:rsid w:val="00422FF9"/>
    <w:rsid w:val="004230ED"/>
    <w:rsid w:val="0042311C"/>
    <w:rsid w:val="00423171"/>
    <w:rsid w:val="004231DF"/>
    <w:rsid w:val="00423237"/>
    <w:rsid w:val="004232AA"/>
    <w:rsid w:val="0042334A"/>
    <w:rsid w:val="004233EB"/>
    <w:rsid w:val="00423417"/>
    <w:rsid w:val="0042389A"/>
    <w:rsid w:val="004238CA"/>
    <w:rsid w:val="004238F4"/>
    <w:rsid w:val="00423913"/>
    <w:rsid w:val="00423932"/>
    <w:rsid w:val="00423970"/>
    <w:rsid w:val="00423A22"/>
    <w:rsid w:val="00423A81"/>
    <w:rsid w:val="00423AE9"/>
    <w:rsid w:val="00423B4E"/>
    <w:rsid w:val="00423D6C"/>
    <w:rsid w:val="00423D88"/>
    <w:rsid w:val="00423E65"/>
    <w:rsid w:val="00423E83"/>
    <w:rsid w:val="00423EDA"/>
    <w:rsid w:val="00423F2E"/>
    <w:rsid w:val="00424033"/>
    <w:rsid w:val="00424093"/>
    <w:rsid w:val="004240DD"/>
    <w:rsid w:val="004241F0"/>
    <w:rsid w:val="00424226"/>
    <w:rsid w:val="0042424F"/>
    <w:rsid w:val="0042431D"/>
    <w:rsid w:val="004243E2"/>
    <w:rsid w:val="00424403"/>
    <w:rsid w:val="0042443D"/>
    <w:rsid w:val="004245E6"/>
    <w:rsid w:val="004245EF"/>
    <w:rsid w:val="00424694"/>
    <w:rsid w:val="00424704"/>
    <w:rsid w:val="0042470B"/>
    <w:rsid w:val="00424732"/>
    <w:rsid w:val="0042473D"/>
    <w:rsid w:val="0042476C"/>
    <w:rsid w:val="004248BE"/>
    <w:rsid w:val="004248C4"/>
    <w:rsid w:val="00424960"/>
    <w:rsid w:val="00424974"/>
    <w:rsid w:val="004249F7"/>
    <w:rsid w:val="00424A45"/>
    <w:rsid w:val="00424A56"/>
    <w:rsid w:val="00424A92"/>
    <w:rsid w:val="00424B84"/>
    <w:rsid w:val="00424B93"/>
    <w:rsid w:val="00424BEC"/>
    <w:rsid w:val="00424BF6"/>
    <w:rsid w:val="00424D0A"/>
    <w:rsid w:val="00424D47"/>
    <w:rsid w:val="00424D7E"/>
    <w:rsid w:val="00424E45"/>
    <w:rsid w:val="00424E64"/>
    <w:rsid w:val="00424F7C"/>
    <w:rsid w:val="00424F83"/>
    <w:rsid w:val="00424F8E"/>
    <w:rsid w:val="0042501A"/>
    <w:rsid w:val="00425059"/>
    <w:rsid w:val="004250C6"/>
    <w:rsid w:val="00425128"/>
    <w:rsid w:val="00425145"/>
    <w:rsid w:val="0042518A"/>
    <w:rsid w:val="0042521F"/>
    <w:rsid w:val="0042526A"/>
    <w:rsid w:val="004252A8"/>
    <w:rsid w:val="00425343"/>
    <w:rsid w:val="0042535E"/>
    <w:rsid w:val="004253E7"/>
    <w:rsid w:val="00425442"/>
    <w:rsid w:val="00425461"/>
    <w:rsid w:val="00425468"/>
    <w:rsid w:val="0042548E"/>
    <w:rsid w:val="00425494"/>
    <w:rsid w:val="004254A3"/>
    <w:rsid w:val="004254AE"/>
    <w:rsid w:val="004254D3"/>
    <w:rsid w:val="0042551D"/>
    <w:rsid w:val="00425704"/>
    <w:rsid w:val="00425740"/>
    <w:rsid w:val="00425752"/>
    <w:rsid w:val="004257A5"/>
    <w:rsid w:val="004257D4"/>
    <w:rsid w:val="0042586A"/>
    <w:rsid w:val="00425911"/>
    <w:rsid w:val="004259DE"/>
    <w:rsid w:val="004259FB"/>
    <w:rsid w:val="00425A51"/>
    <w:rsid w:val="00425A73"/>
    <w:rsid w:val="00425A8F"/>
    <w:rsid w:val="00425B54"/>
    <w:rsid w:val="00425B67"/>
    <w:rsid w:val="00425B6E"/>
    <w:rsid w:val="00425B9B"/>
    <w:rsid w:val="00425BB2"/>
    <w:rsid w:val="00425BBF"/>
    <w:rsid w:val="00425C0E"/>
    <w:rsid w:val="00425C19"/>
    <w:rsid w:val="00425C41"/>
    <w:rsid w:val="00425C58"/>
    <w:rsid w:val="00425C66"/>
    <w:rsid w:val="00425DD2"/>
    <w:rsid w:val="00425F03"/>
    <w:rsid w:val="00426021"/>
    <w:rsid w:val="0042608D"/>
    <w:rsid w:val="00426435"/>
    <w:rsid w:val="00426586"/>
    <w:rsid w:val="0042659C"/>
    <w:rsid w:val="004266EE"/>
    <w:rsid w:val="00426722"/>
    <w:rsid w:val="00426737"/>
    <w:rsid w:val="0042674D"/>
    <w:rsid w:val="0042675F"/>
    <w:rsid w:val="00426764"/>
    <w:rsid w:val="00426766"/>
    <w:rsid w:val="00426806"/>
    <w:rsid w:val="00426859"/>
    <w:rsid w:val="00426861"/>
    <w:rsid w:val="004268AD"/>
    <w:rsid w:val="004268D4"/>
    <w:rsid w:val="00426910"/>
    <w:rsid w:val="00426968"/>
    <w:rsid w:val="00426A2D"/>
    <w:rsid w:val="00426A9E"/>
    <w:rsid w:val="00426AB4"/>
    <w:rsid w:val="00426B11"/>
    <w:rsid w:val="00426C33"/>
    <w:rsid w:val="00426D10"/>
    <w:rsid w:val="00426D3E"/>
    <w:rsid w:val="00426DAE"/>
    <w:rsid w:val="00426DCF"/>
    <w:rsid w:val="00426F71"/>
    <w:rsid w:val="0042700C"/>
    <w:rsid w:val="00427082"/>
    <w:rsid w:val="00427122"/>
    <w:rsid w:val="0042718D"/>
    <w:rsid w:val="004271B9"/>
    <w:rsid w:val="004271DB"/>
    <w:rsid w:val="004271EC"/>
    <w:rsid w:val="00427322"/>
    <w:rsid w:val="00427349"/>
    <w:rsid w:val="00427360"/>
    <w:rsid w:val="004273B0"/>
    <w:rsid w:val="00427403"/>
    <w:rsid w:val="00427436"/>
    <w:rsid w:val="00427470"/>
    <w:rsid w:val="00427669"/>
    <w:rsid w:val="004276A0"/>
    <w:rsid w:val="004276A2"/>
    <w:rsid w:val="004277D4"/>
    <w:rsid w:val="00427839"/>
    <w:rsid w:val="00427872"/>
    <w:rsid w:val="0042790B"/>
    <w:rsid w:val="00427984"/>
    <w:rsid w:val="004279BE"/>
    <w:rsid w:val="00427A0B"/>
    <w:rsid w:val="00427A1C"/>
    <w:rsid w:val="00427A71"/>
    <w:rsid w:val="00427AF2"/>
    <w:rsid w:val="00427B29"/>
    <w:rsid w:val="00427BC8"/>
    <w:rsid w:val="00427D8B"/>
    <w:rsid w:val="00427E05"/>
    <w:rsid w:val="00427EC9"/>
    <w:rsid w:val="00427F8B"/>
    <w:rsid w:val="00427FC9"/>
    <w:rsid w:val="004300A4"/>
    <w:rsid w:val="00430149"/>
    <w:rsid w:val="00430216"/>
    <w:rsid w:val="00430279"/>
    <w:rsid w:val="00430285"/>
    <w:rsid w:val="004303EF"/>
    <w:rsid w:val="0043046B"/>
    <w:rsid w:val="004304E1"/>
    <w:rsid w:val="0043054F"/>
    <w:rsid w:val="00430561"/>
    <w:rsid w:val="00430607"/>
    <w:rsid w:val="0043064D"/>
    <w:rsid w:val="004306B8"/>
    <w:rsid w:val="004306D1"/>
    <w:rsid w:val="004307FF"/>
    <w:rsid w:val="00430886"/>
    <w:rsid w:val="0043088F"/>
    <w:rsid w:val="00430914"/>
    <w:rsid w:val="0043099A"/>
    <w:rsid w:val="00430A7E"/>
    <w:rsid w:val="00430B83"/>
    <w:rsid w:val="00430BE1"/>
    <w:rsid w:val="00430CE7"/>
    <w:rsid w:val="00430D21"/>
    <w:rsid w:val="00430D43"/>
    <w:rsid w:val="00430DA8"/>
    <w:rsid w:val="00430E4A"/>
    <w:rsid w:val="0043102D"/>
    <w:rsid w:val="004310FD"/>
    <w:rsid w:val="0043113D"/>
    <w:rsid w:val="00431258"/>
    <w:rsid w:val="004312FF"/>
    <w:rsid w:val="00431332"/>
    <w:rsid w:val="004313FB"/>
    <w:rsid w:val="00431401"/>
    <w:rsid w:val="00431451"/>
    <w:rsid w:val="004314C8"/>
    <w:rsid w:val="004315F1"/>
    <w:rsid w:val="00431624"/>
    <w:rsid w:val="004316A4"/>
    <w:rsid w:val="0043170B"/>
    <w:rsid w:val="004317C3"/>
    <w:rsid w:val="004317E6"/>
    <w:rsid w:val="00431853"/>
    <w:rsid w:val="00431963"/>
    <w:rsid w:val="00431A24"/>
    <w:rsid w:val="00431AE7"/>
    <w:rsid w:val="00431B67"/>
    <w:rsid w:val="00431BAC"/>
    <w:rsid w:val="00431C03"/>
    <w:rsid w:val="00431C35"/>
    <w:rsid w:val="00431C53"/>
    <w:rsid w:val="00431C59"/>
    <w:rsid w:val="00431D32"/>
    <w:rsid w:val="00431D45"/>
    <w:rsid w:val="00431D48"/>
    <w:rsid w:val="00431E03"/>
    <w:rsid w:val="00431E5A"/>
    <w:rsid w:val="00431EEE"/>
    <w:rsid w:val="00431F68"/>
    <w:rsid w:val="00431FE9"/>
    <w:rsid w:val="00432026"/>
    <w:rsid w:val="004320DE"/>
    <w:rsid w:val="004321E7"/>
    <w:rsid w:val="0043229D"/>
    <w:rsid w:val="00432496"/>
    <w:rsid w:val="00432530"/>
    <w:rsid w:val="00432571"/>
    <w:rsid w:val="0043261F"/>
    <w:rsid w:val="0043265D"/>
    <w:rsid w:val="00432677"/>
    <w:rsid w:val="00432679"/>
    <w:rsid w:val="004326EA"/>
    <w:rsid w:val="00432780"/>
    <w:rsid w:val="004327A3"/>
    <w:rsid w:val="00432906"/>
    <w:rsid w:val="0043293F"/>
    <w:rsid w:val="0043294F"/>
    <w:rsid w:val="0043299C"/>
    <w:rsid w:val="004329F8"/>
    <w:rsid w:val="00432A3B"/>
    <w:rsid w:val="00432C5F"/>
    <w:rsid w:val="00432C8C"/>
    <w:rsid w:val="00432CAC"/>
    <w:rsid w:val="00432CC6"/>
    <w:rsid w:val="00432D75"/>
    <w:rsid w:val="00432D9F"/>
    <w:rsid w:val="00432E60"/>
    <w:rsid w:val="00432E84"/>
    <w:rsid w:val="00432EA1"/>
    <w:rsid w:val="00432F21"/>
    <w:rsid w:val="00433079"/>
    <w:rsid w:val="004330AF"/>
    <w:rsid w:val="004330DD"/>
    <w:rsid w:val="004330ED"/>
    <w:rsid w:val="0043310E"/>
    <w:rsid w:val="004332DB"/>
    <w:rsid w:val="00433318"/>
    <w:rsid w:val="00433369"/>
    <w:rsid w:val="0043336D"/>
    <w:rsid w:val="004334AC"/>
    <w:rsid w:val="00433638"/>
    <w:rsid w:val="00433669"/>
    <w:rsid w:val="00433713"/>
    <w:rsid w:val="00433777"/>
    <w:rsid w:val="00433864"/>
    <w:rsid w:val="00433973"/>
    <w:rsid w:val="00433A32"/>
    <w:rsid w:val="00433B60"/>
    <w:rsid w:val="00433DB8"/>
    <w:rsid w:val="00433DBE"/>
    <w:rsid w:val="00433DF2"/>
    <w:rsid w:val="00433E47"/>
    <w:rsid w:val="00433EEF"/>
    <w:rsid w:val="00433F09"/>
    <w:rsid w:val="00433FE0"/>
    <w:rsid w:val="0043403E"/>
    <w:rsid w:val="004340BD"/>
    <w:rsid w:val="004340C3"/>
    <w:rsid w:val="00434306"/>
    <w:rsid w:val="00434344"/>
    <w:rsid w:val="0043438D"/>
    <w:rsid w:val="00434525"/>
    <w:rsid w:val="004345B8"/>
    <w:rsid w:val="0043470C"/>
    <w:rsid w:val="00434761"/>
    <w:rsid w:val="00434776"/>
    <w:rsid w:val="004347CA"/>
    <w:rsid w:val="00434803"/>
    <w:rsid w:val="00434838"/>
    <w:rsid w:val="00434853"/>
    <w:rsid w:val="00434894"/>
    <w:rsid w:val="00434B08"/>
    <w:rsid w:val="00434B59"/>
    <w:rsid w:val="00434B97"/>
    <w:rsid w:val="00434BB1"/>
    <w:rsid w:val="00434C8E"/>
    <w:rsid w:val="00434D05"/>
    <w:rsid w:val="00434D1A"/>
    <w:rsid w:val="00434D44"/>
    <w:rsid w:val="00434D75"/>
    <w:rsid w:val="00434DAB"/>
    <w:rsid w:val="00434E48"/>
    <w:rsid w:val="00434E97"/>
    <w:rsid w:val="00434F21"/>
    <w:rsid w:val="00434F7B"/>
    <w:rsid w:val="004350C8"/>
    <w:rsid w:val="004350CB"/>
    <w:rsid w:val="0043514A"/>
    <w:rsid w:val="00435261"/>
    <w:rsid w:val="00435273"/>
    <w:rsid w:val="004352E9"/>
    <w:rsid w:val="004353DF"/>
    <w:rsid w:val="00435498"/>
    <w:rsid w:val="004354A1"/>
    <w:rsid w:val="004354F1"/>
    <w:rsid w:val="00435509"/>
    <w:rsid w:val="00435613"/>
    <w:rsid w:val="00435616"/>
    <w:rsid w:val="004356C6"/>
    <w:rsid w:val="00435795"/>
    <w:rsid w:val="00435AD7"/>
    <w:rsid w:val="00435B15"/>
    <w:rsid w:val="00435C21"/>
    <w:rsid w:val="00435C55"/>
    <w:rsid w:val="00435CB7"/>
    <w:rsid w:val="00435CB9"/>
    <w:rsid w:val="00435D8E"/>
    <w:rsid w:val="00435DD9"/>
    <w:rsid w:val="00435F23"/>
    <w:rsid w:val="00435F86"/>
    <w:rsid w:val="00435FC2"/>
    <w:rsid w:val="00436007"/>
    <w:rsid w:val="00436048"/>
    <w:rsid w:val="00436071"/>
    <w:rsid w:val="004360E8"/>
    <w:rsid w:val="0043610B"/>
    <w:rsid w:val="004361B8"/>
    <w:rsid w:val="004361CA"/>
    <w:rsid w:val="004361F4"/>
    <w:rsid w:val="00436209"/>
    <w:rsid w:val="00436211"/>
    <w:rsid w:val="00436283"/>
    <w:rsid w:val="00436285"/>
    <w:rsid w:val="004362B8"/>
    <w:rsid w:val="004362C1"/>
    <w:rsid w:val="00436394"/>
    <w:rsid w:val="004363D3"/>
    <w:rsid w:val="004363EE"/>
    <w:rsid w:val="0043649C"/>
    <w:rsid w:val="004364B7"/>
    <w:rsid w:val="00436597"/>
    <w:rsid w:val="0043668A"/>
    <w:rsid w:val="004366A6"/>
    <w:rsid w:val="0043677A"/>
    <w:rsid w:val="004367D7"/>
    <w:rsid w:val="004368F7"/>
    <w:rsid w:val="00436938"/>
    <w:rsid w:val="00436956"/>
    <w:rsid w:val="00436959"/>
    <w:rsid w:val="0043697B"/>
    <w:rsid w:val="00436A19"/>
    <w:rsid w:val="00436A5C"/>
    <w:rsid w:val="00436A71"/>
    <w:rsid w:val="00436A7F"/>
    <w:rsid w:val="00436ABB"/>
    <w:rsid w:val="00436B19"/>
    <w:rsid w:val="00436B61"/>
    <w:rsid w:val="00436B9E"/>
    <w:rsid w:val="00436BCA"/>
    <w:rsid w:val="00436C48"/>
    <w:rsid w:val="00436C7A"/>
    <w:rsid w:val="00436D0C"/>
    <w:rsid w:val="00436D27"/>
    <w:rsid w:val="00436D39"/>
    <w:rsid w:val="00436EFC"/>
    <w:rsid w:val="00436EFF"/>
    <w:rsid w:val="00436F72"/>
    <w:rsid w:val="00436F9C"/>
    <w:rsid w:val="00436FB9"/>
    <w:rsid w:val="00436FFC"/>
    <w:rsid w:val="0043705A"/>
    <w:rsid w:val="00437128"/>
    <w:rsid w:val="004372E6"/>
    <w:rsid w:val="004372F4"/>
    <w:rsid w:val="00437303"/>
    <w:rsid w:val="00437355"/>
    <w:rsid w:val="00437393"/>
    <w:rsid w:val="004373B2"/>
    <w:rsid w:val="004373C3"/>
    <w:rsid w:val="004373CB"/>
    <w:rsid w:val="0043740C"/>
    <w:rsid w:val="00437444"/>
    <w:rsid w:val="00437505"/>
    <w:rsid w:val="00437526"/>
    <w:rsid w:val="0043757F"/>
    <w:rsid w:val="004375A7"/>
    <w:rsid w:val="0043763D"/>
    <w:rsid w:val="00437752"/>
    <w:rsid w:val="004377DC"/>
    <w:rsid w:val="004377F7"/>
    <w:rsid w:val="00437839"/>
    <w:rsid w:val="00437875"/>
    <w:rsid w:val="004378E5"/>
    <w:rsid w:val="004379CF"/>
    <w:rsid w:val="00437A7D"/>
    <w:rsid w:val="00437B7F"/>
    <w:rsid w:val="00437C48"/>
    <w:rsid w:val="00437CB8"/>
    <w:rsid w:val="00437D10"/>
    <w:rsid w:val="00437D34"/>
    <w:rsid w:val="00437D5B"/>
    <w:rsid w:val="00437D6D"/>
    <w:rsid w:val="00437E34"/>
    <w:rsid w:val="00437EA1"/>
    <w:rsid w:val="00437EA6"/>
    <w:rsid w:val="00437ECA"/>
    <w:rsid w:val="00437EE9"/>
    <w:rsid w:val="00437EEF"/>
    <w:rsid w:val="00437F18"/>
    <w:rsid w:val="00437F41"/>
    <w:rsid w:val="00437FA4"/>
    <w:rsid w:val="0044000F"/>
    <w:rsid w:val="00440024"/>
    <w:rsid w:val="00440048"/>
    <w:rsid w:val="00440092"/>
    <w:rsid w:val="00440162"/>
    <w:rsid w:val="0044021B"/>
    <w:rsid w:val="004404D3"/>
    <w:rsid w:val="0044055C"/>
    <w:rsid w:val="0044057F"/>
    <w:rsid w:val="004405E3"/>
    <w:rsid w:val="004406BD"/>
    <w:rsid w:val="00440780"/>
    <w:rsid w:val="004407C3"/>
    <w:rsid w:val="004407EA"/>
    <w:rsid w:val="0044086F"/>
    <w:rsid w:val="004408D2"/>
    <w:rsid w:val="004408E9"/>
    <w:rsid w:val="004409C1"/>
    <w:rsid w:val="004409CB"/>
    <w:rsid w:val="00440A02"/>
    <w:rsid w:val="00440B4E"/>
    <w:rsid w:val="00440C51"/>
    <w:rsid w:val="00440CFC"/>
    <w:rsid w:val="00440DAA"/>
    <w:rsid w:val="00440E45"/>
    <w:rsid w:val="00440E58"/>
    <w:rsid w:val="00440E76"/>
    <w:rsid w:val="00440F25"/>
    <w:rsid w:val="00440F73"/>
    <w:rsid w:val="004410CD"/>
    <w:rsid w:val="004410DA"/>
    <w:rsid w:val="004410E2"/>
    <w:rsid w:val="00441119"/>
    <w:rsid w:val="004411B0"/>
    <w:rsid w:val="0044122D"/>
    <w:rsid w:val="0044128D"/>
    <w:rsid w:val="0044142E"/>
    <w:rsid w:val="0044143F"/>
    <w:rsid w:val="00441480"/>
    <w:rsid w:val="004414A8"/>
    <w:rsid w:val="004414FA"/>
    <w:rsid w:val="004415CD"/>
    <w:rsid w:val="0044170E"/>
    <w:rsid w:val="00441812"/>
    <w:rsid w:val="004418A0"/>
    <w:rsid w:val="00441A45"/>
    <w:rsid w:val="00441A83"/>
    <w:rsid w:val="00441D16"/>
    <w:rsid w:val="00441DF8"/>
    <w:rsid w:val="00441E94"/>
    <w:rsid w:val="00441FEB"/>
    <w:rsid w:val="00442003"/>
    <w:rsid w:val="0044211D"/>
    <w:rsid w:val="00442159"/>
    <w:rsid w:val="00442341"/>
    <w:rsid w:val="0044257C"/>
    <w:rsid w:val="004425AE"/>
    <w:rsid w:val="00442606"/>
    <w:rsid w:val="0044264F"/>
    <w:rsid w:val="00442689"/>
    <w:rsid w:val="0044276A"/>
    <w:rsid w:val="00442772"/>
    <w:rsid w:val="0044278D"/>
    <w:rsid w:val="004428F4"/>
    <w:rsid w:val="004428FA"/>
    <w:rsid w:val="00442925"/>
    <w:rsid w:val="00442978"/>
    <w:rsid w:val="0044298F"/>
    <w:rsid w:val="00442AFC"/>
    <w:rsid w:val="00442BEC"/>
    <w:rsid w:val="00442BF4"/>
    <w:rsid w:val="00442C05"/>
    <w:rsid w:val="00442CDE"/>
    <w:rsid w:val="00442D09"/>
    <w:rsid w:val="00442D70"/>
    <w:rsid w:val="00442D89"/>
    <w:rsid w:val="00442E80"/>
    <w:rsid w:val="00442EE4"/>
    <w:rsid w:val="00442EF2"/>
    <w:rsid w:val="00442F91"/>
    <w:rsid w:val="00442FF5"/>
    <w:rsid w:val="00443004"/>
    <w:rsid w:val="004430CF"/>
    <w:rsid w:val="0044313A"/>
    <w:rsid w:val="0044318E"/>
    <w:rsid w:val="004431FD"/>
    <w:rsid w:val="00443214"/>
    <w:rsid w:val="0044329A"/>
    <w:rsid w:val="0044331F"/>
    <w:rsid w:val="0044340E"/>
    <w:rsid w:val="00443476"/>
    <w:rsid w:val="00443503"/>
    <w:rsid w:val="004435A6"/>
    <w:rsid w:val="00443629"/>
    <w:rsid w:val="00443667"/>
    <w:rsid w:val="004436EC"/>
    <w:rsid w:val="004437A8"/>
    <w:rsid w:val="00443933"/>
    <w:rsid w:val="00443934"/>
    <w:rsid w:val="00443ACE"/>
    <w:rsid w:val="00443BAE"/>
    <w:rsid w:val="00443BB7"/>
    <w:rsid w:val="00443BCA"/>
    <w:rsid w:val="00443C12"/>
    <w:rsid w:val="00443C89"/>
    <w:rsid w:val="00443CB8"/>
    <w:rsid w:val="00443D16"/>
    <w:rsid w:val="00443D7B"/>
    <w:rsid w:val="00443FFF"/>
    <w:rsid w:val="00444029"/>
    <w:rsid w:val="0044406D"/>
    <w:rsid w:val="004440B4"/>
    <w:rsid w:val="004441D5"/>
    <w:rsid w:val="0044420A"/>
    <w:rsid w:val="00444292"/>
    <w:rsid w:val="004442D8"/>
    <w:rsid w:val="004444AD"/>
    <w:rsid w:val="004444C0"/>
    <w:rsid w:val="004444DB"/>
    <w:rsid w:val="004444E7"/>
    <w:rsid w:val="00444501"/>
    <w:rsid w:val="0044457A"/>
    <w:rsid w:val="004445E7"/>
    <w:rsid w:val="004445FB"/>
    <w:rsid w:val="00444689"/>
    <w:rsid w:val="004446A8"/>
    <w:rsid w:val="00444948"/>
    <w:rsid w:val="00444A63"/>
    <w:rsid w:val="00444A91"/>
    <w:rsid w:val="00444AB5"/>
    <w:rsid w:val="00444B3A"/>
    <w:rsid w:val="00444C9B"/>
    <w:rsid w:val="00444D18"/>
    <w:rsid w:val="00444DE2"/>
    <w:rsid w:val="00444E09"/>
    <w:rsid w:val="00444E3A"/>
    <w:rsid w:val="00444E45"/>
    <w:rsid w:val="0044502B"/>
    <w:rsid w:val="0044510D"/>
    <w:rsid w:val="00445157"/>
    <w:rsid w:val="0044520D"/>
    <w:rsid w:val="00445265"/>
    <w:rsid w:val="00445359"/>
    <w:rsid w:val="00445382"/>
    <w:rsid w:val="00445489"/>
    <w:rsid w:val="004455C2"/>
    <w:rsid w:val="00445627"/>
    <w:rsid w:val="0044564F"/>
    <w:rsid w:val="0044569C"/>
    <w:rsid w:val="004456F2"/>
    <w:rsid w:val="004456FD"/>
    <w:rsid w:val="0044571D"/>
    <w:rsid w:val="00445744"/>
    <w:rsid w:val="004458F3"/>
    <w:rsid w:val="0044590F"/>
    <w:rsid w:val="00445962"/>
    <w:rsid w:val="00445985"/>
    <w:rsid w:val="00445A02"/>
    <w:rsid w:val="00445AD4"/>
    <w:rsid w:val="00445B04"/>
    <w:rsid w:val="00445B05"/>
    <w:rsid w:val="00445BE6"/>
    <w:rsid w:val="00445CD4"/>
    <w:rsid w:val="00445EF6"/>
    <w:rsid w:val="00445F82"/>
    <w:rsid w:val="00445FCE"/>
    <w:rsid w:val="00445FEA"/>
    <w:rsid w:val="00446085"/>
    <w:rsid w:val="0044608F"/>
    <w:rsid w:val="004460E8"/>
    <w:rsid w:val="00446120"/>
    <w:rsid w:val="004461B2"/>
    <w:rsid w:val="004461FA"/>
    <w:rsid w:val="00446232"/>
    <w:rsid w:val="0044624E"/>
    <w:rsid w:val="0044633C"/>
    <w:rsid w:val="004463A5"/>
    <w:rsid w:val="00446613"/>
    <w:rsid w:val="004466A7"/>
    <w:rsid w:val="0044675C"/>
    <w:rsid w:val="00446784"/>
    <w:rsid w:val="0044678D"/>
    <w:rsid w:val="004467F8"/>
    <w:rsid w:val="004467FE"/>
    <w:rsid w:val="0044681C"/>
    <w:rsid w:val="004468A6"/>
    <w:rsid w:val="004468F5"/>
    <w:rsid w:val="0044692C"/>
    <w:rsid w:val="00446A6E"/>
    <w:rsid w:val="00446A94"/>
    <w:rsid w:val="00446A9E"/>
    <w:rsid w:val="00446AE0"/>
    <w:rsid w:val="00446B29"/>
    <w:rsid w:val="00446B44"/>
    <w:rsid w:val="00446B47"/>
    <w:rsid w:val="00446B51"/>
    <w:rsid w:val="00446B78"/>
    <w:rsid w:val="00446CC2"/>
    <w:rsid w:val="00446DAA"/>
    <w:rsid w:val="00446EB5"/>
    <w:rsid w:val="00446EF3"/>
    <w:rsid w:val="00446F6B"/>
    <w:rsid w:val="00446F78"/>
    <w:rsid w:val="00446FC9"/>
    <w:rsid w:val="00446FDA"/>
    <w:rsid w:val="00446FE1"/>
    <w:rsid w:val="0044704B"/>
    <w:rsid w:val="00447056"/>
    <w:rsid w:val="00447096"/>
    <w:rsid w:val="00447120"/>
    <w:rsid w:val="004471A9"/>
    <w:rsid w:val="004472C6"/>
    <w:rsid w:val="004472D2"/>
    <w:rsid w:val="00447319"/>
    <w:rsid w:val="00447339"/>
    <w:rsid w:val="0044739E"/>
    <w:rsid w:val="004473E0"/>
    <w:rsid w:val="0044754C"/>
    <w:rsid w:val="00447631"/>
    <w:rsid w:val="00447655"/>
    <w:rsid w:val="00447718"/>
    <w:rsid w:val="0044774F"/>
    <w:rsid w:val="00447794"/>
    <w:rsid w:val="004477B6"/>
    <w:rsid w:val="004477BE"/>
    <w:rsid w:val="004477FE"/>
    <w:rsid w:val="00447814"/>
    <w:rsid w:val="0044783E"/>
    <w:rsid w:val="00447894"/>
    <w:rsid w:val="004479DA"/>
    <w:rsid w:val="00447AB3"/>
    <w:rsid w:val="00447B1B"/>
    <w:rsid w:val="00447B64"/>
    <w:rsid w:val="00447C23"/>
    <w:rsid w:val="00447CD0"/>
    <w:rsid w:val="00447CD7"/>
    <w:rsid w:val="00447D19"/>
    <w:rsid w:val="00447D29"/>
    <w:rsid w:val="00447D67"/>
    <w:rsid w:val="00447D6D"/>
    <w:rsid w:val="00447DE1"/>
    <w:rsid w:val="00447E7D"/>
    <w:rsid w:val="00447E9D"/>
    <w:rsid w:val="00447EB8"/>
    <w:rsid w:val="00447EC5"/>
    <w:rsid w:val="00447F17"/>
    <w:rsid w:val="004500C5"/>
    <w:rsid w:val="004501D8"/>
    <w:rsid w:val="004501E8"/>
    <w:rsid w:val="00450285"/>
    <w:rsid w:val="004502A3"/>
    <w:rsid w:val="0045031F"/>
    <w:rsid w:val="00450326"/>
    <w:rsid w:val="00450388"/>
    <w:rsid w:val="004503D3"/>
    <w:rsid w:val="004503EB"/>
    <w:rsid w:val="00450400"/>
    <w:rsid w:val="0045045F"/>
    <w:rsid w:val="0045049D"/>
    <w:rsid w:val="004505A2"/>
    <w:rsid w:val="004505C0"/>
    <w:rsid w:val="00450642"/>
    <w:rsid w:val="0045066D"/>
    <w:rsid w:val="00450738"/>
    <w:rsid w:val="004509E3"/>
    <w:rsid w:val="004509ED"/>
    <w:rsid w:val="00450A37"/>
    <w:rsid w:val="00450A65"/>
    <w:rsid w:val="00450A8D"/>
    <w:rsid w:val="00450AB7"/>
    <w:rsid w:val="00450B5D"/>
    <w:rsid w:val="00450BE2"/>
    <w:rsid w:val="00450BEB"/>
    <w:rsid w:val="00450BEE"/>
    <w:rsid w:val="00450CB9"/>
    <w:rsid w:val="00450D00"/>
    <w:rsid w:val="00450E10"/>
    <w:rsid w:val="00450E85"/>
    <w:rsid w:val="00450EBF"/>
    <w:rsid w:val="00450F72"/>
    <w:rsid w:val="00450F9C"/>
    <w:rsid w:val="004510B6"/>
    <w:rsid w:val="004510BD"/>
    <w:rsid w:val="004510C2"/>
    <w:rsid w:val="00451182"/>
    <w:rsid w:val="004511CF"/>
    <w:rsid w:val="004511D5"/>
    <w:rsid w:val="004511E4"/>
    <w:rsid w:val="00451202"/>
    <w:rsid w:val="004512DB"/>
    <w:rsid w:val="0045135C"/>
    <w:rsid w:val="004513EF"/>
    <w:rsid w:val="00451469"/>
    <w:rsid w:val="00451560"/>
    <w:rsid w:val="0045158D"/>
    <w:rsid w:val="004515AC"/>
    <w:rsid w:val="004517DE"/>
    <w:rsid w:val="0045189A"/>
    <w:rsid w:val="00451A1A"/>
    <w:rsid w:val="00451AB2"/>
    <w:rsid w:val="00451B1F"/>
    <w:rsid w:val="00451B62"/>
    <w:rsid w:val="00451C72"/>
    <w:rsid w:val="00451D21"/>
    <w:rsid w:val="00451D3A"/>
    <w:rsid w:val="00451E15"/>
    <w:rsid w:val="00451E3B"/>
    <w:rsid w:val="00451F9C"/>
    <w:rsid w:val="00451F9E"/>
    <w:rsid w:val="0045202A"/>
    <w:rsid w:val="0045203B"/>
    <w:rsid w:val="0045204B"/>
    <w:rsid w:val="00452205"/>
    <w:rsid w:val="0045224C"/>
    <w:rsid w:val="0045227A"/>
    <w:rsid w:val="00452294"/>
    <w:rsid w:val="0045257E"/>
    <w:rsid w:val="00452666"/>
    <w:rsid w:val="00452750"/>
    <w:rsid w:val="004527A7"/>
    <w:rsid w:val="004527EC"/>
    <w:rsid w:val="004527FA"/>
    <w:rsid w:val="0045285D"/>
    <w:rsid w:val="004528E5"/>
    <w:rsid w:val="00452909"/>
    <w:rsid w:val="0045294F"/>
    <w:rsid w:val="004529EC"/>
    <w:rsid w:val="00452A53"/>
    <w:rsid w:val="00452A64"/>
    <w:rsid w:val="00452A82"/>
    <w:rsid w:val="00452AE8"/>
    <w:rsid w:val="00452B99"/>
    <w:rsid w:val="00452B9F"/>
    <w:rsid w:val="00452BA2"/>
    <w:rsid w:val="00452C21"/>
    <w:rsid w:val="00452C22"/>
    <w:rsid w:val="00452D45"/>
    <w:rsid w:val="00452D7A"/>
    <w:rsid w:val="00452E59"/>
    <w:rsid w:val="00452F36"/>
    <w:rsid w:val="00452F4D"/>
    <w:rsid w:val="00452F59"/>
    <w:rsid w:val="00452FDA"/>
    <w:rsid w:val="00453090"/>
    <w:rsid w:val="004531AD"/>
    <w:rsid w:val="004531BD"/>
    <w:rsid w:val="004531F5"/>
    <w:rsid w:val="00453200"/>
    <w:rsid w:val="00453260"/>
    <w:rsid w:val="004532C5"/>
    <w:rsid w:val="00453322"/>
    <w:rsid w:val="0045335B"/>
    <w:rsid w:val="0045348A"/>
    <w:rsid w:val="004534A6"/>
    <w:rsid w:val="004535A2"/>
    <w:rsid w:val="004535A9"/>
    <w:rsid w:val="0045360E"/>
    <w:rsid w:val="00453623"/>
    <w:rsid w:val="00453692"/>
    <w:rsid w:val="004537D1"/>
    <w:rsid w:val="0045384B"/>
    <w:rsid w:val="00453944"/>
    <w:rsid w:val="0045396C"/>
    <w:rsid w:val="00453A1D"/>
    <w:rsid w:val="00453A85"/>
    <w:rsid w:val="00453AB1"/>
    <w:rsid w:val="00453B73"/>
    <w:rsid w:val="00453C13"/>
    <w:rsid w:val="00453C75"/>
    <w:rsid w:val="00453C82"/>
    <w:rsid w:val="00453DEB"/>
    <w:rsid w:val="00453E23"/>
    <w:rsid w:val="00453E34"/>
    <w:rsid w:val="00453E37"/>
    <w:rsid w:val="00453E61"/>
    <w:rsid w:val="00453E6D"/>
    <w:rsid w:val="00453F33"/>
    <w:rsid w:val="00453F3F"/>
    <w:rsid w:val="00453FB3"/>
    <w:rsid w:val="00454007"/>
    <w:rsid w:val="0045405D"/>
    <w:rsid w:val="004540C6"/>
    <w:rsid w:val="004540EC"/>
    <w:rsid w:val="0045436A"/>
    <w:rsid w:val="004543AB"/>
    <w:rsid w:val="004543DB"/>
    <w:rsid w:val="00454543"/>
    <w:rsid w:val="004545B4"/>
    <w:rsid w:val="004545E1"/>
    <w:rsid w:val="0045461E"/>
    <w:rsid w:val="00454649"/>
    <w:rsid w:val="0045469B"/>
    <w:rsid w:val="004546BA"/>
    <w:rsid w:val="004546E5"/>
    <w:rsid w:val="0045473E"/>
    <w:rsid w:val="00454805"/>
    <w:rsid w:val="0045481F"/>
    <w:rsid w:val="00454868"/>
    <w:rsid w:val="0045491A"/>
    <w:rsid w:val="0045492E"/>
    <w:rsid w:val="004549F1"/>
    <w:rsid w:val="00454A94"/>
    <w:rsid w:val="00454BB9"/>
    <w:rsid w:val="00454BCD"/>
    <w:rsid w:val="00454BD3"/>
    <w:rsid w:val="00454BEA"/>
    <w:rsid w:val="00454C8E"/>
    <w:rsid w:val="00454CCE"/>
    <w:rsid w:val="00454CE4"/>
    <w:rsid w:val="00454D54"/>
    <w:rsid w:val="00454D85"/>
    <w:rsid w:val="00454DA2"/>
    <w:rsid w:val="00454F55"/>
    <w:rsid w:val="00454F65"/>
    <w:rsid w:val="00454FAD"/>
    <w:rsid w:val="00454FD1"/>
    <w:rsid w:val="00454FE5"/>
    <w:rsid w:val="00455027"/>
    <w:rsid w:val="004550E0"/>
    <w:rsid w:val="0045515D"/>
    <w:rsid w:val="00455199"/>
    <w:rsid w:val="004551F8"/>
    <w:rsid w:val="00455290"/>
    <w:rsid w:val="004552F0"/>
    <w:rsid w:val="0045546B"/>
    <w:rsid w:val="00455490"/>
    <w:rsid w:val="004554B9"/>
    <w:rsid w:val="0045562F"/>
    <w:rsid w:val="004556AC"/>
    <w:rsid w:val="004556D2"/>
    <w:rsid w:val="004556EC"/>
    <w:rsid w:val="0045572C"/>
    <w:rsid w:val="0045574F"/>
    <w:rsid w:val="00455899"/>
    <w:rsid w:val="004559BD"/>
    <w:rsid w:val="004559CE"/>
    <w:rsid w:val="00455A28"/>
    <w:rsid w:val="00455A4A"/>
    <w:rsid w:val="00455A55"/>
    <w:rsid w:val="00455A65"/>
    <w:rsid w:val="00455BB8"/>
    <w:rsid w:val="00455D00"/>
    <w:rsid w:val="00455D35"/>
    <w:rsid w:val="00455E14"/>
    <w:rsid w:val="00455E1A"/>
    <w:rsid w:val="00455E40"/>
    <w:rsid w:val="00455EA3"/>
    <w:rsid w:val="00455F17"/>
    <w:rsid w:val="00455F4F"/>
    <w:rsid w:val="00455FA1"/>
    <w:rsid w:val="00455FEA"/>
    <w:rsid w:val="0045610C"/>
    <w:rsid w:val="0045612A"/>
    <w:rsid w:val="004561B4"/>
    <w:rsid w:val="004561E8"/>
    <w:rsid w:val="0045632D"/>
    <w:rsid w:val="00456354"/>
    <w:rsid w:val="0045636B"/>
    <w:rsid w:val="00456371"/>
    <w:rsid w:val="004563AC"/>
    <w:rsid w:val="004563F5"/>
    <w:rsid w:val="0045642F"/>
    <w:rsid w:val="00456594"/>
    <w:rsid w:val="00456598"/>
    <w:rsid w:val="00456635"/>
    <w:rsid w:val="004566D3"/>
    <w:rsid w:val="004566FD"/>
    <w:rsid w:val="004567F4"/>
    <w:rsid w:val="00456824"/>
    <w:rsid w:val="00456848"/>
    <w:rsid w:val="004568B2"/>
    <w:rsid w:val="0045690D"/>
    <w:rsid w:val="00456990"/>
    <w:rsid w:val="004569C4"/>
    <w:rsid w:val="004569FA"/>
    <w:rsid w:val="00456B02"/>
    <w:rsid w:val="00456B19"/>
    <w:rsid w:val="00456B60"/>
    <w:rsid w:val="00456BEB"/>
    <w:rsid w:val="00456BF5"/>
    <w:rsid w:val="00456C0A"/>
    <w:rsid w:val="00456C93"/>
    <w:rsid w:val="00456CB1"/>
    <w:rsid w:val="00456CD8"/>
    <w:rsid w:val="00456D38"/>
    <w:rsid w:val="00456DE7"/>
    <w:rsid w:val="00456E54"/>
    <w:rsid w:val="00456E75"/>
    <w:rsid w:val="00456EF9"/>
    <w:rsid w:val="00456F8F"/>
    <w:rsid w:val="00456FFD"/>
    <w:rsid w:val="004570BE"/>
    <w:rsid w:val="004571AF"/>
    <w:rsid w:val="00457421"/>
    <w:rsid w:val="00457440"/>
    <w:rsid w:val="0045744F"/>
    <w:rsid w:val="0045749C"/>
    <w:rsid w:val="004574C2"/>
    <w:rsid w:val="004574EE"/>
    <w:rsid w:val="00457543"/>
    <w:rsid w:val="00457567"/>
    <w:rsid w:val="004576F8"/>
    <w:rsid w:val="00457806"/>
    <w:rsid w:val="0045783D"/>
    <w:rsid w:val="0045785C"/>
    <w:rsid w:val="004578B4"/>
    <w:rsid w:val="00457AE0"/>
    <w:rsid w:val="00457B61"/>
    <w:rsid w:val="00457BFA"/>
    <w:rsid w:val="00457C77"/>
    <w:rsid w:val="00457C79"/>
    <w:rsid w:val="00457CD4"/>
    <w:rsid w:val="00457D38"/>
    <w:rsid w:val="00457D84"/>
    <w:rsid w:val="00457D96"/>
    <w:rsid w:val="00457E6B"/>
    <w:rsid w:val="00457EAB"/>
    <w:rsid w:val="00457EE8"/>
    <w:rsid w:val="00457F0A"/>
    <w:rsid w:val="00457F4B"/>
    <w:rsid w:val="00457F5D"/>
    <w:rsid w:val="00460009"/>
    <w:rsid w:val="00460034"/>
    <w:rsid w:val="004601F4"/>
    <w:rsid w:val="00460221"/>
    <w:rsid w:val="0046028E"/>
    <w:rsid w:val="004602B7"/>
    <w:rsid w:val="004602F8"/>
    <w:rsid w:val="004603AA"/>
    <w:rsid w:val="004604AE"/>
    <w:rsid w:val="00460523"/>
    <w:rsid w:val="00460557"/>
    <w:rsid w:val="00460568"/>
    <w:rsid w:val="0046068F"/>
    <w:rsid w:val="004606A8"/>
    <w:rsid w:val="004606D9"/>
    <w:rsid w:val="0046076B"/>
    <w:rsid w:val="004607CD"/>
    <w:rsid w:val="0046097D"/>
    <w:rsid w:val="004609B5"/>
    <w:rsid w:val="004609F4"/>
    <w:rsid w:val="00460A10"/>
    <w:rsid w:val="00460A78"/>
    <w:rsid w:val="00460AB8"/>
    <w:rsid w:val="00460B52"/>
    <w:rsid w:val="00460B53"/>
    <w:rsid w:val="00460B81"/>
    <w:rsid w:val="00460BD4"/>
    <w:rsid w:val="00460D54"/>
    <w:rsid w:val="00460DBD"/>
    <w:rsid w:val="00460DE0"/>
    <w:rsid w:val="00460E1A"/>
    <w:rsid w:val="00460E5B"/>
    <w:rsid w:val="00460E99"/>
    <w:rsid w:val="00460FA8"/>
    <w:rsid w:val="00460FB7"/>
    <w:rsid w:val="0046102D"/>
    <w:rsid w:val="0046107C"/>
    <w:rsid w:val="0046123C"/>
    <w:rsid w:val="0046123E"/>
    <w:rsid w:val="00461247"/>
    <w:rsid w:val="00461259"/>
    <w:rsid w:val="0046129F"/>
    <w:rsid w:val="004612B4"/>
    <w:rsid w:val="004614E5"/>
    <w:rsid w:val="004614F4"/>
    <w:rsid w:val="0046159B"/>
    <w:rsid w:val="00461613"/>
    <w:rsid w:val="0046161E"/>
    <w:rsid w:val="00461637"/>
    <w:rsid w:val="0046166B"/>
    <w:rsid w:val="004617A2"/>
    <w:rsid w:val="00461878"/>
    <w:rsid w:val="00461893"/>
    <w:rsid w:val="004618CE"/>
    <w:rsid w:val="004618E9"/>
    <w:rsid w:val="004619B8"/>
    <w:rsid w:val="00461A32"/>
    <w:rsid w:val="00461AD0"/>
    <w:rsid w:val="00461B91"/>
    <w:rsid w:val="00461BA0"/>
    <w:rsid w:val="00461BD6"/>
    <w:rsid w:val="00461BF1"/>
    <w:rsid w:val="00461C34"/>
    <w:rsid w:val="00461CDE"/>
    <w:rsid w:val="00461D53"/>
    <w:rsid w:val="00461E05"/>
    <w:rsid w:val="00461E69"/>
    <w:rsid w:val="00461F95"/>
    <w:rsid w:val="00462025"/>
    <w:rsid w:val="00462108"/>
    <w:rsid w:val="0046211E"/>
    <w:rsid w:val="00462148"/>
    <w:rsid w:val="0046216A"/>
    <w:rsid w:val="0046217D"/>
    <w:rsid w:val="0046217F"/>
    <w:rsid w:val="00462188"/>
    <w:rsid w:val="0046220F"/>
    <w:rsid w:val="00462336"/>
    <w:rsid w:val="004625A3"/>
    <w:rsid w:val="004625D9"/>
    <w:rsid w:val="00462606"/>
    <w:rsid w:val="00462623"/>
    <w:rsid w:val="004628C1"/>
    <w:rsid w:val="004628F6"/>
    <w:rsid w:val="00462917"/>
    <w:rsid w:val="0046291D"/>
    <w:rsid w:val="004629D7"/>
    <w:rsid w:val="00462A4B"/>
    <w:rsid w:val="00462A7E"/>
    <w:rsid w:val="00462AD3"/>
    <w:rsid w:val="00462B7E"/>
    <w:rsid w:val="00462E69"/>
    <w:rsid w:val="00462EBF"/>
    <w:rsid w:val="004630FF"/>
    <w:rsid w:val="0046317B"/>
    <w:rsid w:val="004631CC"/>
    <w:rsid w:val="004631D9"/>
    <w:rsid w:val="0046325D"/>
    <w:rsid w:val="00463386"/>
    <w:rsid w:val="004633DC"/>
    <w:rsid w:val="0046353C"/>
    <w:rsid w:val="00463666"/>
    <w:rsid w:val="004636EE"/>
    <w:rsid w:val="004638F8"/>
    <w:rsid w:val="0046397A"/>
    <w:rsid w:val="00463B41"/>
    <w:rsid w:val="00463B88"/>
    <w:rsid w:val="00463B95"/>
    <w:rsid w:val="00463C09"/>
    <w:rsid w:val="00463C5E"/>
    <w:rsid w:val="00463C7C"/>
    <w:rsid w:val="00463C9D"/>
    <w:rsid w:val="00463D29"/>
    <w:rsid w:val="00463D4B"/>
    <w:rsid w:val="00463DF8"/>
    <w:rsid w:val="00463DFE"/>
    <w:rsid w:val="00463F50"/>
    <w:rsid w:val="00463F53"/>
    <w:rsid w:val="00463FA5"/>
    <w:rsid w:val="00464090"/>
    <w:rsid w:val="004640EA"/>
    <w:rsid w:val="0046411A"/>
    <w:rsid w:val="00464172"/>
    <w:rsid w:val="0046420B"/>
    <w:rsid w:val="00464250"/>
    <w:rsid w:val="004642E5"/>
    <w:rsid w:val="00464364"/>
    <w:rsid w:val="0046449F"/>
    <w:rsid w:val="004644C9"/>
    <w:rsid w:val="004645EA"/>
    <w:rsid w:val="0046461D"/>
    <w:rsid w:val="00464745"/>
    <w:rsid w:val="0046477D"/>
    <w:rsid w:val="00464817"/>
    <w:rsid w:val="00464899"/>
    <w:rsid w:val="0046489A"/>
    <w:rsid w:val="00464A36"/>
    <w:rsid w:val="00464A50"/>
    <w:rsid w:val="00464A93"/>
    <w:rsid w:val="00464BB5"/>
    <w:rsid w:val="00464C4C"/>
    <w:rsid w:val="00464C69"/>
    <w:rsid w:val="00464C83"/>
    <w:rsid w:val="00464D21"/>
    <w:rsid w:val="00464DAF"/>
    <w:rsid w:val="00464FB5"/>
    <w:rsid w:val="00464FDD"/>
    <w:rsid w:val="0046508C"/>
    <w:rsid w:val="004650B3"/>
    <w:rsid w:val="004651B9"/>
    <w:rsid w:val="004651C3"/>
    <w:rsid w:val="0046521E"/>
    <w:rsid w:val="00465255"/>
    <w:rsid w:val="00465275"/>
    <w:rsid w:val="004652A9"/>
    <w:rsid w:val="004652DD"/>
    <w:rsid w:val="0046532B"/>
    <w:rsid w:val="00465344"/>
    <w:rsid w:val="00465348"/>
    <w:rsid w:val="004653E4"/>
    <w:rsid w:val="0046542C"/>
    <w:rsid w:val="004654E0"/>
    <w:rsid w:val="0046550D"/>
    <w:rsid w:val="004655A8"/>
    <w:rsid w:val="00465752"/>
    <w:rsid w:val="00465777"/>
    <w:rsid w:val="00465906"/>
    <w:rsid w:val="00465937"/>
    <w:rsid w:val="00465A95"/>
    <w:rsid w:val="00465B92"/>
    <w:rsid w:val="00465C16"/>
    <w:rsid w:val="00465CA1"/>
    <w:rsid w:val="00465D1A"/>
    <w:rsid w:val="00465D2A"/>
    <w:rsid w:val="00465D41"/>
    <w:rsid w:val="00465D8D"/>
    <w:rsid w:val="00465DFA"/>
    <w:rsid w:val="00465E6F"/>
    <w:rsid w:val="00465ECC"/>
    <w:rsid w:val="00465F9B"/>
    <w:rsid w:val="00465FA0"/>
    <w:rsid w:val="00466011"/>
    <w:rsid w:val="00466024"/>
    <w:rsid w:val="00466035"/>
    <w:rsid w:val="004660AC"/>
    <w:rsid w:val="00466108"/>
    <w:rsid w:val="004661C3"/>
    <w:rsid w:val="00466213"/>
    <w:rsid w:val="004662FA"/>
    <w:rsid w:val="004663B5"/>
    <w:rsid w:val="004663BA"/>
    <w:rsid w:val="004663CD"/>
    <w:rsid w:val="004663E8"/>
    <w:rsid w:val="004663F6"/>
    <w:rsid w:val="00466457"/>
    <w:rsid w:val="00466470"/>
    <w:rsid w:val="004664EC"/>
    <w:rsid w:val="00466507"/>
    <w:rsid w:val="00466512"/>
    <w:rsid w:val="0046655D"/>
    <w:rsid w:val="004665B7"/>
    <w:rsid w:val="00466607"/>
    <w:rsid w:val="0046661E"/>
    <w:rsid w:val="00466632"/>
    <w:rsid w:val="0046669A"/>
    <w:rsid w:val="004666A6"/>
    <w:rsid w:val="004666B5"/>
    <w:rsid w:val="004666C3"/>
    <w:rsid w:val="0046678E"/>
    <w:rsid w:val="004667AB"/>
    <w:rsid w:val="004667DB"/>
    <w:rsid w:val="004667FB"/>
    <w:rsid w:val="0046687E"/>
    <w:rsid w:val="004668B3"/>
    <w:rsid w:val="004668F3"/>
    <w:rsid w:val="00466929"/>
    <w:rsid w:val="00466978"/>
    <w:rsid w:val="0046699C"/>
    <w:rsid w:val="004669E4"/>
    <w:rsid w:val="00466A4D"/>
    <w:rsid w:val="00466ADF"/>
    <w:rsid w:val="00466B1E"/>
    <w:rsid w:val="00466B46"/>
    <w:rsid w:val="00466B68"/>
    <w:rsid w:val="00466C71"/>
    <w:rsid w:val="00466D68"/>
    <w:rsid w:val="00466D8D"/>
    <w:rsid w:val="00466E99"/>
    <w:rsid w:val="00466E9A"/>
    <w:rsid w:val="00466ED5"/>
    <w:rsid w:val="00466EF7"/>
    <w:rsid w:val="00466EFB"/>
    <w:rsid w:val="00466FCA"/>
    <w:rsid w:val="00466FEB"/>
    <w:rsid w:val="00467088"/>
    <w:rsid w:val="00467189"/>
    <w:rsid w:val="004671CC"/>
    <w:rsid w:val="004671EF"/>
    <w:rsid w:val="00467270"/>
    <w:rsid w:val="00467299"/>
    <w:rsid w:val="0046730A"/>
    <w:rsid w:val="00467362"/>
    <w:rsid w:val="00467387"/>
    <w:rsid w:val="004674C9"/>
    <w:rsid w:val="0046762C"/>
    <w:rsid w:val="00467774"/>
    <w:rsid w:val="004678AE"/>
    <w:rsid w:val="0046792E"/>
    <w:rsid w:val="00467982"/>
    <w:rsid w:val="0046798C"/>
    <w:rsid w:val="00467999"/>
    <w:rsid w:val="004679BC"/>
    <w:rsid w:val="00467BED"/>
    <w:rsid w:val="00467BEF"/>
    <w:rsid w:val="00467D30"/>
    <w:rsid w:val="00467E19"/>
    <w:rsid w:val="00467EC0"/>
    <w:rsid w:val="00467EC6"/>
    <w:rsid w:val="00470041"/>
    <w:rsid w:val="0047006B"/>
    <w:rsid w:val="004700EE"/>
    <w:rsid w:val="0047021E"/>
    <w:rsid w:val="004703BB"/>
    <w:rsid w:val="004704FD"/>
    <w:rsid w:val="0047058B"/>
    <w:rsid w:val="00470645"/>
    <w:rsid w:val="00470672"/>
    <w:rsid w:val="00470769"/>
    <w:rsid w:val="0047080B"/>
    <w:rsid w:val="00470892"/>
    <w:rsid w:val="004708A3"/>
    <w:rsid w:val="0047093B"/>
    <w:rsid w:val="004709E8"/>
    <w:rsid w:val="00470A2D"/>
    <w:rsid w:val="00470AAD"/>
    <w:rsid w:val="00470AB6"/>
    <w:rsid w:val="00470B59"/>
    <w:rsid w:val="00470BC1"/>
    <w:rsid w:val="00470C40"/>
    <w:rsid w:val="00470C8D"/>
    <w:rsid w:val="00470E7A"/>
    <w:rsid w:val="00470ED8"/>
    <w:rsid w:val="00470F94"/>
    <w:rsid w:val="00470FD5"/>
    <w:rsid w:val="00471012"/>
    <w:rsid w:val="0047102C"/>
    <w:rsid w:val="00471170"/>
    <w:rsid w:val="0047126D"/>
    <w:rsid w:val="00471295"/>
    <w:rsid w:val="0047131B"/>
    <w:rsid w:val="00471329"/>
    <w:rsid w:val="0047138D"/>
    <w:rsid w:val="004713FC"/>
    <w:rsid w:val="00471551"/>
    <w:rsid w:val="00471677"/>
    <w:rsid w:val="004716DF"/>
    <w:rsid w:val="00471878"/>
    <w:rsid w:val="004718D7"/>
    <w:rsid w:val="004718F0"/>
    <w:rsid w:val="004719AF"/>
    <w:rsid w:val="00471A67"/>
    <w:rsid w:val="00471AA9"/>
    <w:rsid w:val="00471ABB"/>
    <w:rsid w:val="00471B06"/>
    <w:rsid w:val="00471B51"/>
    <w:rsid w:val="00471B9F"/>
    <w:rsid w:val="00471C77"/>
    <w:rsid w:val="00471CAD"/>
    <w:rsid w:val="00471D0C"/>
    <w:rsid w:val="00471D7C"/>
    <w:rsid w:val="00471DB2"/>
    <w:rsid w:val="00471EF2"/>
    <w:rsid w:val="00471F60"/>
    <w:rsid w:val="00471F8C"/>
    <w:rsid w:val="00472065"/>
    <w:rsid w:val="00472147"/>
    <w:rsid w:val="00472151"/>
    <w:rsid w:val="004721C5"/>
    <w:rsid w:val="004721DB"/>
    <w:rsid w:val="004721E9"/>
    <w:rsid w:val="00472258"/>
    <w:rsid w:val="0047229B"/>
    <w:rsid w:val="004724CB"/>
    <w:rsid w:val="004724D4"/>
    <w:rsid w:val="00472539"/>
    <w:rsid w:val="00472569"/>
    <w:rsid w:val="004725AE"/>
    <w:rsid w:val="004725F7"/>
    <w:rsid w:val="0047264E"/>
    <w:rsid w:val="004727B0"/>
    <w:rsid w:val="004727F4"/>
    <w:rsid w:val="004728A2"/>
    <w:rsid w:val="00472920"/>
    <w:rsid w:val="00472936"/>
    <w:rsid w:val="00472946"/>
    <w:rsid w:val="0047294E"/>
    <w:rsid w:val="004729C6"/>
    <w:rsid w:val="004729C9"/>
    <w:rsid w:val="00472C12"/>
    <w:rsid w:val="00472C74"/>
    <w:rsid w:val="00472C79"/>
    <w:rsid w:val="00472DAB"/>
    <w:rsid w:val="00472DAF"/>
    <w:rsid w:val="00472E31"/>
    <w:rsid w:val="00472F0D"/>
    <w:rsid w:val="00472FA7"/>
    <w:rsid w:val="00472FBE"/>
    <w:rsid w:val="00472FD8"/>
    <w:rsid w:val="00473012"/>
    <w:rsid w:val="00473098"/>
    <w:rsid w:val="0047315B"/>
    <w:rsid w:val="00473184"/>
    <w:rsid w:val="004731AF"/>
    <w:rsid w:val="004731F5"/>
    <w:rsid w:val="0047334C"/>
    <w:rsid w:val="00473357"/>
    <w:rsid w:val="004733A9"/>
    <w:rsid w:val="0047343E"/>
    <w:rsid w:val="00473440"/>
    <w:rsid w:val="00473594"/>
    <w:rsid w:val="004735AF"/>
    <w:rsid w:val="004735F1"/>
    <w:rsid w:val="00473604"/>
    <w:rsid w:val="0047368B"/>
    <w:rsid w:val="0047370E"/>
    <w:rsid w:val="0047374B"/>
    <w:rsid w:val="0047378B"/>
    <w:rsid w:val="0047383C"/>
    <w:rsid w:val="00473855"/>
    <w:rsid w:val="004738B5"/>
    <w:rsid w:val="004739E1"/>
    <w:rsid w:val="00473A18"/>
    <w:rsid w:val="00473B2F"/>
    <w:rsid w:val="00473B81"/>
    <w:rsid w:val="00473C55"/>
    <w:rsid w:val="00473CBB"/>
    <w:rsid w:val="00473CD7"/>
    <w:rsid w:val="00473D1D"/>
    <w:rsid w:val="00473D25"/>
    <w:rsid w:val="00473D32"/>
    <w:rsid w:val="00473D89"/>
    <w:rsid w:val="00473E1B"/>
    <w:rsid w:val="00473E4A"/>
    <w:rsid w:val="00473FD2"/>
    <w:rsid w:val="00473FEE"/>
    <w:rsid w:val="004740CB"/>
    <w:rsid w:val="00474185"/>
    <w:rsid w:val="004743B9"/>
    <w:rsid w:val="0047448F"/>
    <w:rsid w:val="00474498"/>
    <w:rsid w:val="004744C1"/>
    <w:rsid w:val="00474562"/>
    <w:rsid w:val="00474592"/>
    <w:rsid w:val="004745B8"/>
    <w:rsid w:val="0047468D"/>
    <w:rsid w:val="004746A3"/>
    <w:rsid w:val="0047473B"/>
    <w:rsid w:val="0047473C"/>
    <w:rsid w:val="0047481C"/>
    <w:rsid w:val="0047490F"/>
    <w:rsid w:val="00474A80"/>
    <w:rsid w:val="00474B38"/>
    <w:rsid w:val="00474BB8"/>
    <w:rsid w:val="00474BF9"/>
    <w:rsid w:val="00474C3A"/>
    <w:rsid w:val="00474C80"/>
    <w:rsid w:val="00474CA8"/>
    <w:rsid w:val="00474D09"/>
    <w:rsid w:val="00474D90"/>
    <w:rsid w:val="00474E68"/>
    <w:rsid w:val="00474E88"/>
    <w:rsid w:val="00474EC5"/>
    <w:rsid w:val="00474EC7"/>
    <w:rsid w:val="00474F21"/>
    <w:rsid w:val="00475085"/>
    <w:rsid w:val="00475092"/>
    <w:rsid w:val="004750D1"/>
    <w:rsid w:val="00475175"/>
    <w:rsid w:val="0047517A"/>
    <w:rsid w:val="004751E9"/>
    <w:rsid w:val="00475231"/>
    <w:rsid w:val="00475240"/>
    <w:rsid w:val="00475329"/>
    <w:rsid w:val="0047533A"/>
    <w:rsid w:val="004753EE"/>
    <w:rsid w:val="0047544C"/>
    <w:rsid w:val="0047545E"/>
    <w:rsid w:val="00475489"/>
    <w:rsid w:val="004754B6"/>
    <w:rsid w:val="004754DD"/>
    <w:rsid w:val="0047553F"/>
    <w:rsid w:val="00475674"/>
    <w:rsid w:val="004756B8"/>
    <w:rsid w:val="004756BD"/>
    <w:rsid w:val="004756C5"/>
    <w:rsid w:val="004756E7"/>
    <w:rsid w:val="00475786"/>
    <w:rsid w:val="00475883"/>
    <w:rsid w:val="0047588E"/>
    <w:rsid w:val="004758BE"/>
    <w:rsid w:val="004758F4"/>
    <w:rsid w:val="00475981"/>
    <w:rsid w:val="00475A6E"/>
    <w:rsid w:val="00475AE1"/>
    <w:rsid w:val="00475B6C"/>
    <w:rsid w:val="00475C31"/>
    <w:rsid w:val="00475CC1"/>
    <w:rsid w:val="00475D1A"/>
    <w:rsid w:val="00475E13"/>
    <w:rsid w:val="00475F62"/>
    <w:rsid w:val="00475F88"/>
    <w:rsid w:val="004760B0"/>
    <w:rsid w:val="004760B8"/>
    <w:rsid w:val="00476127"/>
    <w:rsid w:val="004761D0"/>
    <w:rsid w:val="00476229"/>
    <w:rsid w:val="004762A5"/>
    <w:rsid w:val="004762A8"/>
    <w:rsid w:val="00476314"/>
    <w:rsid w:val="004763C4"/>
    <w:rsid w:val="0047648C"/>
    <w:rsid w:val="004765B1"/>
    <w:rsid w:val="00476695"/>
    <w:rsid w:val="004766C1"/>
    <w:rsid w:val="004766E7"/>
    <w:rsid w:val="004766EE"/>
    <w:rsid w:val="0047676A"/>
    <w:rsid w:val="00476828"/>
    <w:rsid w:val="0047683C"/>
    <w:rsid w:val="00476935"/>
    <w:rsid w:val="0047695D"/>
    <w:rsid w:val="004769CD"/>
    <w:rsid w:val="004769E9"/>
    <w:rsid w:val="00476A7E"/>
    <w:rsid w:val="00476AE6"/>
    <w:rsid w:val="00476CD1"/>
    <w:rsid w:val="00476CF6"/>
    <w:rsid w:val="00476E86"/>
    <w:rsid w:val="00476E92"/>
    <w:rsid w:val="00476F1E"/>
    <w:rsid w:val="00476FF8"/>
    <w:rsid w:val="0047702D"/>
    <w:rsid w:val="00477116"/>
    <w:rsid w:val="00477136"/>
    <w:rsid w:val="0047744A"/>
    <w:rsid w:val="004775E2"/>
    <w:rsid w:val="0047764A"/>
    <w:rsid w:val="004777D1"/>
    <w:rsid w:val="004777F2"/>
    <w:rsid w:val="00477966"/>
    <w:rsid w:val="00477AA8"/>
    <w:rsid w:val="00477AB1"/>
    <w:rsid w:val="00477B3A"/>
    <w:rsid w:val="00477B7C"/>
    <w:rsid w:val="00477C41"/>
    <w:rsid w:val="00477C65"/>
    <w:rsid w:val="00477CF8"/>
    <w:rsid w:val="00477D43"/>
    <w:rsid w:val="00477DA9"/>
    <w:rsid w:val="00477DBA"/>
    <w:rsid w:val="00477EA8"/>
    <w:rsid w:val="00477EAA"/>
    <w:rsid w:val="00477EC9"/>
    <w:rsid w:val="00477F72"/>
    <w:rsid w:val="00477F84"/>
    <w:rsid w:val="00480063"/>
    <w:rsid w:val="00480131"/>
    <w:rsid w:val="00480146"/>
    <w:rsid w:val="00480167"/>
    <w:rsid w:val="004801C2"/>
    <w:rsid w:val="0048020D"/>
    <w:rsid w:val="00480238"/>
    <w:rsid w:val="00480298"/>
    <w:rsid w:val="004804C7"/>
    <w:rsid w:val="0048051F"/>
    <w:rsid w:val="0048064E"/>
    <w:rsid w:val="004806FA"/>
    <w:rsid w:val="00480737"/>
    <w:rsid w:val="004809B5"/>
    <w:rsid w:val="00480A0F"/>
    <w:rsid w:val="00480A44"/>
    <w:rsid w:val="00480AE1"/>
    <w:rsid w:val="00480B0B"/>
    <w:rsid w:val="00480B1C"/>
    <w:rsid w:val="00480B54"/>
    <w:rsid w:val="00480B5C"/>
    <w:rsid w:val="00480DE7"/>
    <w:rsid w:val="00480E79"/>
    <w:rsid w:val="00480EAA"/>
    <w:rsid w:val="00480F18"/>
    <w:rsid w:val="00480F25"/>
    <w:rsid w:val="00480F50"/>
    <w:rsid w:val="0048101A"/>
    <w:rsid w:val="00481084"/>
    <w:rsid w:val="004810AE"/>
    <w:rsid w:val="004810ED"/>
    <w:rsid w:val="0048111E"/>
    <w:rsid w:val="00481215"/>
    <w:rsid w:val="00481276"/>
    <w:rsid w:val="004812BA"/>
    <w:rsid w:val="004812CD"/>
    <w:rsid w:val="004813EE"/>
    <w:rsid w:val="00481415"/>
    <w:rsid w:val="00481458"/>
    <w:rsid w:val="0048145F"/>
    <w:rsid w:val="00481512"/>
    <w:rsid w:val="0048156A"/>
    <w:rsid w:val="004815AD"/>
    <w:rsid w:val="0048171E"/>
    <w:rsid w:val="004817AE"/>
    <w:rsid w:val="00481835"/>
    <w:rsid w:val="00481839"/>
    <w:rsid w:val="0048185B"/>
    <w:rsid w:val="00481888"/>
    <w:rsid w:val="0048188D"/>
    <w:rsid w:val="004818DA"/>
    <w:rsid w:val="00481988"/>
    <w:rsid w:val="004819A2"/>
    <w:rsid w:val="004819F7"/>
    <w:rsid w:val="00481A09"/>
    <w:rsid w:val="00481A32"/>
    <w:rsid w:val="00481B01"/>
    <w:rsid w:val="00481B11"/>
    <w:rsid w:val="00481B1D"/>
    <w:rsid w:val="00481B5E"/>
    <w:rsid w:val="00481C07"/>
    <w:rsid w:val="00481C71"/>
    <w:rsid w:val="00481C83"/>
    <w:rsid w:val="00481CB7"/>
    <w:rsid w:val="00481DD2"/>
    <w:rsid w:val="00481E11"/>
    <w:rsid w:val="00481E1E"/>
    <w:rsid w:val="00481E23"/>
    <w:rsid w:val="00481F14"/>
    <w:rsid w:val="00481FDE"/>
    <w:rsid w:val="00482008"/>
    <w:rsid w:val="0048201F"/>
    <w:rsid w:val="00482046"/>
    <w:rsid w:val="00482060"/>
    <w:rsid w:val="004820F1"/>
    <w:rsid w:val="00482113"/>
    <w:rsid w:val="0048211B"/>
    <w:rsid w:val="004821D5"/>
    <w:rsid w:val="00482241"/>
    <w:rsid w:val="004824F2"/>
    <w:rsid w:val="0048250B"/>
    <w:rsid w:val="00482606"/>
    <w:rsid w:val="00482607"/>
    <w:rsid w:val="0048260A"/>
    <w:rsid w:val="00482615"/>
    <w:rsid w:val="004826C1"/>
    <w:rsid w:val="00482736"/>
    <w:rsid w:val="00482772"/>
    <w:rsid w:val="0048277D"/>
    <w:rsid w:val="004827F8"/>
    <w:rsid w:val="00482821"/>
    <w:rsid w:val="00482844"/>
    <w:rsid w:val="00482855"/>
    <w:rsid w:val="00482898"/>
    <w:rsid w:val="0048295E"/>
    <w:rsid w:val="00482965"/>
    <w:rsid w:val="0048296E"/>
    <w:rsid w:val="004829C3"/>
    <w:rsid w:val="004829D9"/>
    <w:rsid w:val="00482B9D"/>
    <w:rsid w:val="00482BD4"/>
    <w:rsid w:val="00482CB1"/>
    <w:rsid w:val="00482D02"/>
    <w:rsid w:val="00482D21"/>
    <w:rsid w:val="00482D2D"/>
    <w:rsid w:val="00482E7B"/>
    <w:rsid w:val="00482EB8"/>
    <w:rsid w:val="00482F2D"/>
    <w:rsid w:val="00482F69"/>
    <w:rsid w:val="0048309D"/>
    <w:rsid w:val="0048315D"/>
    <w:rsid w:val="004831A6"/>
    <w:rsid w:val="0048326A"/>
    <w:rsid w:val="0048326F"/>
    <w:rsid w:val="0048330F"/>
    <w:rsid w:val="00483749"/>
    <w:rsid w:val="00483769"/>
    <w:rsid w:val="004837B3"/>
    <w:rsid w:val="00483904"/>
    <w:rsid w:val="00483A17"/>
    <w:rsid w:val="00483B7A"/>
    <w:rsid w:val="00483B7B"/>
    <w:rsid w:val="00483B93"/>
    <w:rsid w:val="00483C2B"/>
    <w:rsid w:val="00483C39"/>
    <w:rsid w:val="00483CBE"/>
    <w:rsid w:val="00483D5C"/>
    <w:rsid w:val="00483D6C"/>
    <w:rsid w:val="00483EDF"/>
    <w:rsid w:val="00483F07"/>
    <w:rsid w:val="00483FC7"/>
    <w:rsid w:val="00484041"/>
    <w:rsid w:val="004840AF"/>
    <w:rsid w:val="004840CD"/>
    <w:rsid w:val="004840E3"/>
    <w:rsid w:val="004841B3"/>
    <w:rsid w:val="004841E7"/>
    <w:rsid w:val="004841F1"/>
    <w:rsid w:val="0048422F"/>
    <w:rsid w:val="00484299"/>
    <w:rsid w:val="0048442E"/>
    <w:rsid w:val="004844B8"/>
    <w:rsid w:val="00484539"/>
    <w:rsid w:val="00484562"/>
    <w:rsid w:val="00484591"/>
    <w:rsid w:val="004845A6"/>
    <w:rsid w:val="004845FC"/>
    <w:rsid w:val="0048462D"/>
    <w:rsid w:val="00484657"/>
    <w:rsid w:val="00484682"/>
    <w:rsid w:val="0048468F"/>
    <w:rsid w:val="004846B8"/>
    <w:rsid w:val="0048476F"/>
    <w:rsid w:val="004847F4"/>
    <w:rsid w:val="00484818"/>
    <w:rsid w:val="00484880"/>
    <w:rsid w:val="004848A8"/>
    <w:rsid w:val="00484A27"/>
    <w:rsid w:val="00484A6A"/>
    <w:rsid w:val="00484AC5"/>
    <w:rsid w:val="00484BA4"/>
    <w:rsid w:val="00484BD1"/>
    <w:rsid w:val="00484C60"/>
    <w:rsid w:val="00484D45"/>
    <w:rsid w:val="00484DC6"/>
    <w:rsid w:val="00484E27"/>
    <w:rsid w:val="00484E45"/>
    <w:rsid w:val="00484E90"/>
    <w:rsid w:val="00484F02"/>
    <w:rsid w:val="00484F0E"/>
    <w:rsid w:val="00484F27"/>
    <w:rsid w:val="00484F38"/>
    <w:rsid w:val="00484F49"/>
    <w:rsid w:val="00484FDC"/>
    <w:rsid w:val="0048506D"/>
    <w:rsid w:val="004850F2"/>
    <w:rsid w:val="004852B4"/>
    <w:rsid w:val="0048534C"/>
    <w:rsid w:val="00485407"/>
    <w:rsid w:val="0048542C"/>
    <w:rsid w:val="00485431"/>
    <w:rsid w:val="00485479"/>
    <w:rsid w:val="00485523"/>
    <w:rsid w:val="004855FF"/>
    <w:rsid w:val="0048577C"/>
    <w:rsid w:val="00485847"/>
    <w:rsid w:val="004858CB"/>
    <w:rsid w:val="004858F5"/>
    <w:rsid w:val="00485990"/>
    <w:rsid w:val="00485B46"/>
    <w:rsid w:val="00485B53"/>
    <w:rsid w:val="00485B89"/>
    <w:rsid w:val="00485B96"/>
    <w:rsid w:val="00485BD8"/>
    <w:rsid w:val="00485C06"/>
    <w:rsid w:val="00485C7F"/>
    <w:rsid w:val="00485CBD"/>
    <w:rsid w:val="00485CEB"/>
    <w:rsid w:val="00485D31"/>
    <w:rsid w:val="00485DAB"/>
    <w:rsid w:val="00485DDE"/>
    <w:rsid w:val="00485ECD"/>
    <w:rsid w:val="00485F30"/>
    <w:rsid w:val="00485F76"/>
    <w:rsid w:val="00485FAC"/>
    <w:rsid w:val="0048605D"/>
    <w:rsid w:val="004860B8"/>
    <w:rsid w:val="004860F4"/>
    <w:rsid w:val="004860F5"/>
    <w:rsid w:val="004860F6"/>
    <w:rsid w:val="00486180"/>
    <w:rsid w:val="0048621F"/>
    <w:rsid w:val="0048622D"/>
    <w:rsid w:val="00486278"/>
    <w:rsid w:val="004862D1"/>
    <w:rsid w:val="00486372"/>
    <w:rsid w:val="0048647B"/>
    <w:rsid w:val="004864F7"/>
    <w:rsid w:val="00486503"/>
    <w:rsid w:val="00486511"/>
    <w:rsid w:val="00486550"/>
    <w:rsid w:val="00486553"/>
    <w:rsid w:val="0048655D"/>
    <w:rsid w:val="004865D4"/>
    <w:rsid w:val="004866C4"/>
    <w:rsid w:val="00486720"/>
    <w:rsid w:val="0048673B"/>
    <w:rsid w:val="0048680F"/>
    <w:rsid w:val="00486850"/>
    <w:rsid w:val="00486960"/>
    <w:rsid w:val="004869E8"/>
    <w:rsid w:val="004869F4"/>
    <w:rsid w:val="00486AA8"/>
    <w:rsid w:val="00486BCF"/>
    <w:rsid w:val="00486BF4"/>
    <w:rsid w:val="00486C3F"/>
    <w:rsid w:val="00486CC2"/>
    <w:rsid w:val="00486D71"/>
    <w:rsid w:val="00486DA4"/>
    <w:rsid w:val="00486DCC"/>
    <w:rsid w:val="00486E99"/>
    <w:rsid w:val="00486EAF"/>
    <w:rsid w:val="00486EEF"/>
    <w:rsid w:val="00486F7D"/>
    <w:rsid w:val="00486F96"/>
    <w:rsid w:val="00487001"/>
    <w:rsid w:val="004870C8"/>
    <w:rsid w:val="00487110"/>
    <w:rsid w:val="004871D5"/>
    <w:rsid w:val="00487204"/>
    <w:rsid w:val="004872E6"/>
    <w:rsid w:val="004873CA"/>
    <w:rsid w:val="004873EA"/>
    <w:rsid w:val="00487444"/>
    <w:rsid w:val="0048751A"/>
    <w:rsid w:val="0048755B"/>
    <w:rsid w:val="0048766A"/>
    <w:rsid w:val="0048782A"/>
    <w:rsid w:val="004878D2"/>
    <w:rsid w:val="00487980"/>
    <w:rsid w:val="004879B3"/>
    <w:rsid w:val="00487A1B"/>
    <w:rsid w:val="00487BAD"/>
    <w:rsid w:val="00487C75"/>
    <w:rsid w:val="00487C80"/>
    <w:rsid w:val="00487D93"/>
    <w:rsid w:val="00487E22"/>
    <w:rsid w:val="00487E5B"/>
    <w:rsid w:val="00487F4C"/>
    <w:rsid w:val="00487F89"/>
    <w:rsid w:val="0049001A"/>
    <w:rsid w:val="00490038"/>
    <w:rsid w:val="00490246"/>
    <w:rsid w:val="00490255"/>
    <w:rsid w:val="004902A5"/>
    <w:rsid w:val="004902C0"/>
    <w:rsid w:val="004902F5"/>
    <w:rsid w:val="0049030C"/>
    <w:rsid w:val="0049040D"/>
    <w:rsid w:val="004905A4"/>
    <w:rsid w:val="00490615"/>
    <w:rsid w:val="0049065F"/>
    <w:rsid w:val="004906DE"/>
    <w:rsid w:val="0049072C"/>
    <w:rsid w:val="004907D0"/>
    <w:rsid w:val="004907EA"/>
    <w:rsid w:val="004908E1"/>
    <w:rsid w:val="004908ED"/>
    <w:rsid w:val="00490956"/>
    <w:rsid w:val="004909FE"/>
    <w:rsid w:val="00490A21"/>
    <w:rsid w:val="00490B66"/>
    <w:rsid w:val="00490BEA"/>
    <w:rsid w:val="00490DA1"/>
    <w:rsid w:val="00490E03"/>
    <w:rsid w:val="00490E61"/>
    <w:rsid w:val="00491085"/>
    <w:rsid w:val="00491088"/>
    <w:rsid w:val="004910BD"/>
    <w:rsid w:val="0049115B"/>
    <w:rsid w:val="00491171"/>
    <w:rsid w:val="004912A7"/>
    <w:rsid w:val="004913AA"/>
    <w:rsid w:val="004914A4"/>
    <w:rsid w:val="004914A6"/>
    <w:rsid w:val="0049153E"/>
    <w:rsid w:val="00491544"/>
    <w:rsid w:val="004915C2"/>
    <w:rsid w:val="0049164C"/>
    <w:rsid w:val="004916D5"/>
    <w:rsid w:val="004917CE"/>
    <w:rsid w:val="0049180C"/>
    <w:rsid w:val="00491855"/>
    <w:rsid w:val="004918C4"/>
    <w:rsid w:val="004918CB"/>
    <w:rsid w:val="0049194F"/>
    <w:rsid w:val="004919FA"/>
    <w:rsid w:val="00491B4B"/>
    <w:rsid w:val="00491BD1"/>
    <w:rsid w:val="00491C34"/>
    <w:rsid w:val="00491CF3"/>
    <w:rsid w:val="00491E75"/>
    <w:rsid w:val="00491F56"/>
    <w:rsid w:val="00491F68"/>
    <w:rsid w:val="00491FAD"/>
    <w:rsid w:val="0049216B"/>
    <w:rsid w:val="00492174"/>
    <w:rsid w:val="00492231"/>
    <w:rsid w:val="0049229D"/>
    <w:rsid w:val="004922D3"/>
    <w:rsid w:val="00492308"/>
    <w:rsid w:val="0049231B"/>
    <w:rsid w:val="004923E8"/>
    <w:rsid w:val="00492409"/>
    <w:rsid w:val="00492411"/>
    <w:rsid w:val="00492476"/>
    <w:rsid w:val="004924B5"/>
    <w:rsid w:val="00492585"/>
    <w:rsid w:val="00492598"/>
    <w:rsid w:val="004925C2"/>
    <w:rsid w:val="00492636"/>
    <w:rsid w:val="004926DA"/>
    <w:rsid w:val="004927F5"/>
    <w:rsid w:val="0049281C"/>
    <w:rsid w:val="00492860"/>
    <w:rsid w:val="0049287E"/>
    <w:rsid w:val="00492912"/>
    <w:rsid w:val="00492925"/>
    <w:rsid w:val="00492992"/>
    <w:rsid w:val="004929B5"/>
    <w:rsid w:val="004929CF"/>
    <w:rsid w:val="00492A5A"/>
    <w:rsid w:val="00492CC8"/>
    <w:rsid w:val="00492CDE"/>
    <w:rsid w:val="00492CE6"/>
    <w:rsid w:val="00492D59"/>
    <w:rsid w:val="00492D77"/>
    <w:rsid w:val="00492DC0"/>
    <w:rsid w:val="00492E62"/>
    <w:rsid w:val="00492E9E"/>
    <w:rsid w:val="00492EB5"/>
    <w:rsid w:val="00492EFF"/>
    <w:rsid w:val="00492F1D"/>
    <w:rsid w:val="00492F39"/>
    <w:rsid w:val="00492F50"/>
    <w:rsid w:val="00492FCB"/>
    <w:rsid w:val="00493010"/>
    <w:rsid w:val="0049307E"/>
    <w:rsid w:val="004930B4"/>
    <w:rsid w:val="004930F0"/>
    <w:rsid w:val="004932EE"/>
    <w:rsid w:val="00493368"/>
    <w:rsid w:val="00493412"/>
    <w:rsid w:val="004934F4"/>
    <w:rsid w:val="004936C6"/>
    <w:rsid w:val="004936D8"/>
    <w:rsid w:val="00493799"/>
    <w:rsid w:val="004937DD"/>
    <w:rsid w:val="0049383D"/>
    <w:rsid w:val="0049388A"/>
    <w:rsid w:val="004938B8"/>
    <w:rsid w:val="004938D0"/>
    <w:rsid w:val="004939F0"/>
    <w:rsid w:val="00493A4C"/>
    <w:rsid w:val="00493A6E"/>
    <w:rsid w:val="00493AA6"/>
    <w:rsid w:val="00493D02"/>
    <w:rsid w:val="00493E0B"/>
    <w:rsid w:val="00493E90"/>
    <w:rsid w:val="00493EA9"/>
    <w:rsid w:val="00493F8E"/>
    <w:rsid w:val="00493FAD"/>
    <w:rsid w:val="00493FCA"/>
    <w:rsid w:val="004940AE"/>
    <w:rsid w:val="004940CE"/>
    <w:rsid w:val="00494252"/>
    <w:rsid w:val="00494294"/>
    <w:rsid w:val="004942D3"/>
    <w:rsid w:val="00494348"/>
    <w:rsid w:val="00494419"/>
    <w:rsid w:val="004944B0"/>
    <w:rsid w:val="004944CF"/>
    <w:rsid w:val="004944F5"/>
    <w:rsid w:val="00494520"/>
    <w:rsid w:val="0049453E"/>
    <w:rsid w:val="004945CB"/>
    <w:rsid w:val="00494622"/>
    <w:rsid w:val="00494675"/>
    <w:rsid w:val="004946B2"/>
    <w:rsid w:val="004946BC"/>
    <w:rsid w:val="004947AC"/>
    <w:rsid w:val="00494837"/>
    <w:rsid w:val="004948C6"/>
    <w:rsid w:val="0049491A"/>
    <w:rsid w:val="004949CB"/>
    <w:rsid w:val="00494A24"/>
    <w:rsid w:val="00494A5B"/>
    <w:rsid w:val="00494A71"/>
    <w:rsid w:val="00494A88"/>
    <w:rsid w:val="00494A93"/>
    <w:rsid w:val="00494B8B"/>
    <w:rsid w:val="00494C46"/>
    <w:rsid w:val="00494C9F"/>
    <w:rsid w:val="00494D46"/>
    <w:rsid w:val="00494D8E"/>
    <w:rsid w:val="00494E49"/>
    <w:rsid w:val="00494F07"/>
    <w:rsid w:val="00494F18"/>
    <w:rsid w:val="00494FEB"/>
    <w:rsid w:val="004951A2"/>
    <w:rsid w:val="004951BC"/>
    <w:rsid w:val="00495268"/>
    <w:rsid w:val="004952E3"/>
    <w:rsid w:val="00495301"/>
    <w:rsid w:val="00495326"/>
    <w:rsid w:val="0049549B"/>
    <w:rsid w:val="004955B6"/>
    <w:rsid w:val="00495670"/>
    <w:rsid w:val="0049582B"/>
    <w:rsid w:val="004958BA"/>
    <w:rsid w:val="004958EE"/>
    <w:rsid w:val="004958FC"/>
    <w:rsid w:val="0049591F"/>
    <w:rsid w:val="004959C5"/>
    <w:rsid w:val="00495C8F"/>
    <w:rsid w:val="00495CD7"/>
    <w:rsid w:val="00495D3C"/>
    <w:rsid w:val="00495D98"/>
    <w:rsid w:val="00495E9F"/>
    <w:rsid w:val="00495EF1"/>
    <w:rsid w:val="00495EFF"/>
    <w:rsid w:val="0049601D"/>
    <w:rsid w:val="00496030"/>
    <w:rsid w:val="00496065"/>
    <w:rsid w:val="0049608C"/>
    <w:rsid w:val="004960FA"/>
    <w:rsid w:val="004961AE"/>
    <w:rsid w:val="004961BC"/>
    <w:rsid w:val="004961FC"/>
    <w:rsid w:val="0049625B"/>
    <w:rsid w:val="0049630C"/>
    <w:rsid w:val="00496372"/>
    <w:rsid w:val="004963FB"/>
    <w:rsid w:val="00496426"/>
    <w:rsid w:val="0049647D"/>
    <w:rsid w:val="004964B3"/>
    <w:rsid w:val="004964B5"/>
    <w:rsid w:val="00496564"/>
    <w:rsid w:val="004965A8"/>
    <w:rsid w:val="0049661D"/>
    <w:rsid w:val="0049663A"/>
    <w:rsid w:val="004966E6"/>
    <w:rsid w:val="004966FA"/>
    <w:rsid w:val="00496858"/>
    <w:rsid w:val="00496922"/>
    <w:rsid w:val="00496932"/>
    <w:rsid w:val="004969EA"/>
    <w:rsid w:val="00496A27"/>
    <w:rsid w:val="00496A44"/>
    <w:rsid w:val="00496A95"/>
    <w:rsid w:val="00496AC5"/>
    <w:rsid w:val="00496AF4"/>
    <w:rsid w:val="00496B5B"/>
    <w:rsid w:val="00496B99"/>
    <w:rsid w:val="00496B9F"/>
    <w:rsid w:val="00496C0E"/>
    <w:rsid w:val="00496E33"/>
    <w:rsid w:val="00496ED7"/>
    <w:rsid w:val="00496EFD"/>
    <w:rsid w:val="00496F18"/>
    <w:rsid w:val="00496FCC"/>
    <w:rsid w:val="004970BA"/>
    <w:rsid w:val="00497149"/>
    <w:rsid w:val="00497255"/>
    <w:rsid w:val="004972CF"/>
    <w:rsid w:val="00497473"/>
    <w:rsid w:val="004974B1"/>
    <w:rsid w:val="004974B8"/>
    <w:rsid w:val="004974C7"/>
    <w:rsid w:val="004974D0"/>
    <w:rsid w:val="004974D2"/>
    <w:rsid w:val="0049751A"/>
    <w:rsid w:val="0049751F"/>
    <w:rsid w:val="0049753B"/>
    <w:rsid w:val="00497543"/>
    <w:rsid w:val="00497651"/>
    <w:rsid w:val="00497663"/>
    <w:rsid w:val="004977D6"/>
    <w:rsid w:val="004977ED"/>
    <w:rsid w:val="00497AA0"/>
    <w:rsid w:val="00497ACC"/>
    <w:rsid w:val="00497AE0"/>
    <w:rsid w:val="00497B21"/>
    <w:rsid w:val="00497C83"/>
    <w:rsid w:val="00497C90"/>
    <w:rsid w:val="00497DF3"/>
    <w:rsid w:val="00497DFA"/>
    <w:rsid w:val="00497E68"/>
    <w:rsid w:val="00497EEC"/>
    <w:rsid w:val="00497F11"/>
    <w:rsid w:val="00497F3F"/>
    <w:rsid w:val="00497F86"/>
    <w:rsid w:val="004A0019"/>
    <w:rsid w:val="004A001C"/>
    <w:rsid w:val="004A0026"/>
    <w:rsid w:val="004A0063"/>
    <w:rsid w:val="004A0100"/>
    <w:rsid w:val="004A0129"/>
    <w:rsid w:val="004A01F5"/>
    <w:rsid w:val="004A02B4"/>
    <w:rsid w:val="004A02C9"/>
    <w:rsid w:val="004A02CF"/>
    <w:rsid w:val="004A02FC"/>
    <w:rsid w:val="004A0368"/>
    <w:rsid w:val="004A03AF"/>
    <w:rsid w:val="004A03B2"/>
    <w:rsid w:val="004A03CC"/>
    <w:rsid w:val="004A0435"/>
    <w:rsid w:val="004A0457"/>
    <w:rsid w:val="004A04A2"/>
    <w:rsid w:val="004A05D2"/>
    <w:rsid w:val="004A05EE"/>
    <w:rsid w:val="004A0617"/>
    <w:rsid w:val="004A064B"/>
    <w:rsid w:val="004A0708"/>
    <w:rsid w:val="004A0775"/>
    <w:rsid w:val="004A084A"/>
    <w:rsid w:val="004A087D"/>
    <w:rsid w:val="004A08D9"/>
    <w:rsid w:val="004A0956"/>
    <w:rsid w:val="004A0A57"/>
    <w:rsid w:val="004A0AFB"/>
    <w:rsid w:val="004A0B35"/>
    <w:rsid w:val="004A0B4E"/>
    <w:rsid w:val="004A0B76"/>
    <w:rsid w:val="004A0B7A"/>
    <w:rsid w:val="004A0BBE"/>
    <w:rsid w:val="004A0BE1"/>
    <w:rsid w:val="004A0BF4"/>
    <w:rsid w:val="004A0C05"/>
    <w:rsid w:val="004A0C15"/>
    <w:rsid w:val="004A0CC2"/>
    <w:rsid w:val="004A0CE2"/>
    <w:rsid w:val="004A0D3A"/>
    <w:rsid w:val="004A0DA0"/>
    <w:rsid w:val="004A0E0C"/>
    <w:rsid w:val="004A0E31"/>
    <w:rsid w:val="004A0E80"/>
    <w:rsid w:val="004A0F11"/>
    <w:rsid w:val="004A0F89"/>
    <w:rsid w:val="004A0F91"/>
    <w:rsid w:val="004A1008"/>
    <w:rsid w:val="004A103F"/>
    <w:rsid w:val="004A108C"/>
    <w:rsid w:val="004A115E"/>
    <w:rsid w:val="004A1162"/>
    <w:rsid w:val="004A117B"/>
    <w:rsid w:val="004A11A2"/>
    <w:rsid w:val="004A1284"/>
    <w:rsid w:val="004A12C2"/>
    <w:rsid w:val="004A13C4"/>
    <w:rsid w:val="004A1438"/>
    <w:rsid w:val="004A1485"/>
    <w:rsid w:val="004A148F"/>
    <w:rsid w:val="004A1496"/>
    <w:rsid w:val="004A1563"/>
    <w:rsid w:val="004A1693"/>
    <w:rsid w:val="004A16D0"/>
    <w:rsid w:val="004A16FA"/>
    <w:rsid w:val="004A17E5"/>
    <w:rsid w:val="004A189B"/>
    <w:rsid w:val="004A18C8"/>
    <w:rsid w:val="004A18CC"/>
    <w:rsid w:val="004A18FC"/>
    <w:rsid w:val="004A19A7"/>
    <w:rsid w:val="004A19CB"/>
    <w:rsid w:val="004A1A49"/>
    <w:rsid w:val="004A1BEA"/>
    <w:rsid w:val="004A1CA2"/>
    <w:rsid w:val="004A1CAC"/>
    <w:rsid w:val="004A1D04"/>
    <w:rsid w:val="004A1D0C"/>
    <w:rsid w:val="004A1D13"/>
    <w:rsid w:val="004A1E97"/>
    <w:rsid w:val="004A1F49"/>
    <w:rsid w:val="004A1FA6"/>
    <w:rsid w:val="004A1FFD"/>
    <w:rsid w:val="004A20CF"/>
    <w:rsid w:val="004A20D0"/>
    <w:rsid w:val="004A2142"/>
    <w:rsid w:val="004A2328"/>
    <w:rsid w:val="004A233D"/>
    <w:rsid w:val="004A2344"/>
    <w:rsid w:val="004A240B"/>
    <w:rsid w:val="004A2483"/>
    <w:rsid w:val="004A252F"/>
    <w:rsid w:val="004A256C"/>
    <w:rsid w:val="004A2598"/>
    <w:rsid w:val="004A26E2"/>
    <w:rsid w:val="004A27E0"/>
    <w:rsid w:val="004A27E3"/>
    <w:rsid w:val="004A28A4"/>
    <w:rsid w:val="004A29EC"/>
    <w:rsid w:val="004A2A13"/>
    <w:rsid w:val="004A2A3D"/>
    <w:rsid w:val="004A2A5C"/>
    <w:rsid w:val="004A2C4D"/>
    <w:rsid w:val="004A2C63"/>
    <w:rsid w:val="004A2C77"/>
    <w:rsid w:val="004A2D1F"/>
    <w:rsid w:val="004A2D48"/>
    <w:rsid w:val="004A2D51"/>
    <w:rsid w:val="004A2D55"/>
    <w:rsid w:val="004A2D62"/>
    <w:rsid w:val="004A2D6B"/>
    <w:rsid w:val="004A2D8E"/>
    <w:rsid w:val="004A2DAC"/>
    <w:rsid w:val="004A2DFB"/>
    <w:rsid w:val="004A2E7A"/>
    <w:rsid w:val="004A2EAE"/>
    <w:rsid w:val="004A2EDE"/>
    <w:rsid w:val="004A2F2E"/>
    <w:rsid w:val="004A2F30"/>
    <w:rsid w:val="004A2F49"/>
    <w:rsid w:val="004A303B"/>
    <w:rsid w:val="004A315C"/>
    <w:rsid w:val="004A3183"/>
    <w:rsid w:val="004A31A3"/>
    <w:rsid w:val="004A32F7"/>
    <w:rsid w:val="004A331F"/>
    <w:rsid w:val="004A33F8"/>
    <w:rsid w:val="004A346B"/>
    <w:rsid w:val="004A347A"/>
    <w:rsid w:val="004A3546"/>
    <w:rsid w:val="004A3619"/>
    <w:rsid w:val="004A363C"/>
    <w:rsid w:val="004A367F"/>
    <w:rsid w:val="004A3691"/>
    <w:rsid w:val="004A379E"/>
    <w:rsid w:val="004A37DF"/>
    <w:rsid w:val="004A37E7"/>
    <w:rsid w:val="004A3801"/>
    <w:rsid w:val="004A382E"/>
    <w:rsid w:val="004A3868"/>
    <w:rsid w:val="004A3878"/>
    <w:rsid w:val="004A3946"/>
    <w:rsid w:val="004A3A98"/>
    <w:rsid w:val="004A3AD4"/>
    <w:rsid w:val="004A3B1E"/>
    <w:rsid w:val="004A3BA9"/>
    <w:rsid w:val="004A3BCB"/>
    <w:rsid w:val="004A3C89"/>
    <w:rsid w:val="004A3CB6"/>
    <w:rsid w:val="004A3D9C"/>
    <w:rsid w:val="004A3EAA"/>
    <w:rsid w:val="004A3F1B"/>
    <w:rsid w:val="004A3F38"/>
    <w:rsid w:val="004A3F82"/>
    <w:rsid w:val="004A4045"/>
    <w:rsid w:val="004A40A2"/>
    <w:rsid w:val="004A40A5"/>
    <w:rsid w:val="004A40B7"/>
    <w:rsid w:val="004A40BE"/>
    <w:rsid w:val="004A4107"/>
    <w:rsid w:val="004A410E"/>
    <w:rsid w:val="004A4149"/>
    <w:rsid w:val="004A418C"/>
    <w:rsid w:val="004A41D3"/>
    <w:rsid w:val="004A4231"/>
    <w:rsid w:val="004A4253"/>
    <w:rsid w:val="004A43B6"/>
    <w:rsid w:val="004A4468"/>
    <w:rsid w:val="004A459C"/>
    <w:rsid w:val="004A460E"/>
    <w:rsid w:val="004A46C4"/>
    <w:rsid w:val="004A46D9"/>
    <w:rsid w:val="004A46DC"/>
    <w:rsid w:val="004A4708"/>
    <w:rsid w:val="004A4812"/>
    <w:rsid w:val="004A4822"/>
    <w:rsid w:val="004A4947"/>
    <w:rsid w:val="004A4A11"/>
    <w:rsid w:val="004A4AE3"/>
    <w:rsid w:val="004A4B50"/>
    <w:rsid w:val="004A4B96"/>
    <w:rsid w:val="004A4BBC"/>
    <w:rsid w:val="004A4BE4"/>
    <w:rsid w:val="004A4D42"/>
    <w:rsid w:val="004A4DF1"/>
    <w:rsid w:val="004A4F8B"/>
    <w:rsid w:val="004A4F90"/>
    <w:rsid w:val="004A506D"/>
    <w:rsid w:val="004A5126"/>
    <w:rsid w:val="004A5198"/>
    <w:rsid w:val="004A51D8"/>
    <w:rsid w:val="004A51E6"/>
    <w:rsid w:val="004A51F5"/>
    <w:rsid w:val="004A51FA"/>
    <w:rsid w:val="004A520C"/>
    <w:rsid w:val="004A5280"/>
    <w:rsid w:val="004A5375"/>
    <w:rsid w:val="004A5590"/>
    <w:rsid w:val="004A5594"/>
    <w:rsid w:val="004A56A0"/>
    <w:rsid w:val="004A56BA"/>
    <w:rsid w:val="004A56F9"/>
    <w:rsid w:val="004A5790"/>
    <w:rsid w:val="004A57B8"/>
    <w:rsid w:val="004A5816"/>
    <w:rsid w:val="004A586C"/>
    <w:rsid w:val="004A59EB"/>
    <w:rsid w:val="004A5AAA"/>
    <w:rsid w:val="004A5AE0"/>
    <w:rsid w:val="004A5B0B"/>
    <w:rsid w:val="004A5B21"/>
    <w:rsid w:val="004A5BEB"/>
    <w:rsid w:val="004A5BF3"/>
    <w:rsid w:val="004A5C41"/>
    <w:rsid w:val="004A5E21"/>
    <w:rsid w:val="004A5E50"/>
    <w:rsid w:val="004A5ECA"/>
    <w:rsid w:val="004A5F97"/>
    <w:rsid w:val="004A6007"/>
    <w:rsid w:val="004A6089"/>
    <w:rsid w:val="004A60AE"/>
    <w:rsid w:val="004A614C"/>
    <w:rsid w:val="004A6180"/>
    <w:rsid w:val="004A61CB"/>
    <w:rsid w:val="004A625D"/>
    <w:rsid w:val="004A64BA"/>
    <w:rsid w:val="004A6519"/>
    <w:rsid w:val="004A66BC"/>
    <w:rsid w:val="004A66F8"/>
    <w:rsid w:val="004A6785"/>
    <w:rsid w:val="004A67B2"/>
    <w:rsid w:val="004A6807"/>
    <w:rsid w:val="004A684A"/>
    <w:rsid w:val="004A6875"/>
    <w:rsid w:val="004A68BB"/>
    <w:rsid w:val="004A696C"/>
    <w:rsid w:val="004A698C"/>
    <w:rsid w:val="004A69FB"/>
    <w:rsid w:val="004A6A65"/>
    <w:rsid w:val="004A6A67"/>
    <w:rsid w:val="004A6B68"/>
    <w:rsid w:val="004A6BE1"/>
    <w:rsid w:val="004A6C34"/>
    <w:rsid w:val="004A6C5A"/>
    <w:rsid w:val="004A6C74"/>
    <w:rsid w:val="004A6CC0"/>
    <w:rsid w:val="004A6DC3"/>
    <w:rsid w:val="004A6E0A"/>
    <w:rsid w:val="004A6F15"/>
    <w:rsid w:val="004A6FE1"/>
    <w:rsid w:val="004A7008"/>
    <w:rsid w:val="004A7177"/>
    <w:rsid w:val="004A71C6"/>
    <w:rsid w:val="004A71EC"/>
    <w:rsid w:val="004A7295"/>
    <w:rsid w:val="004A735F"/>
    <w:rsid w:val="004A7368"/>
    <w:rsid w:val="004A737A"/>
    <w:rsid w:val="004A737D"/>
    <w:rsid w:val="004A73AF"/>
    <w:rsid w:val="004A73B1"/>
    <w:rsid w:val="004A7443"/>
    <w:rsid w:val="004A7479"/>
    <w:rsid w:val="004A747A"/>
    <w:rsid w:val="004A747B"/>
    <w:rsid w:val="004A74A3"/>
    <w:rsid w:val="004A74AF"/>
    <w:rsid w:val="004A7582"/>
    <w:rsid w:val="004A766F"/>
    <w:rsid w:val="004A767F"/>
    <w:rsid w:val="004A76C8"/>
    <w:rsid w:val="004A7783"/>
    <w:rsid w:val="004A787A"/>
    <w:rsid w:val="004A788A"/>
    <w:rsid w:val="004A7998"/>
    <w:rsid w:val="004A79A1"/>
    <w:rsid w:val="004A79CC"/>
    <w:rsid w:val="004A7A48"/>
    <w:rsid w:val="004A7AA8"/>
    <w:rsid w:val="004A7ACE"/>
    <w:rsid w:val="004A7B4D"/>
    <w:rsid w:val="004A7D10"/>
    <w:rsid w:val="004A7D11"/>
    <w:rsid w:val="004A7D46"/>
    <w:rsid w:val="004A7D97"/>
    <w:rsid w:val="004A7DC4"/>
    <w:rsid w:val="004A7EDD"/>
    <w:rsid w:val="004A7F18"/>
    <w:rsid w:val="004B0049"/>
    <w:rsid w:val="004B00F1"/>
    <w:rsid w:val="004B01CE"/>
    <w:rsid w:val="004B0236"/>
    <w:rsid w:val="004B0344"/>
    <w:rsid w:val="004B03A8"/>
    <w:rsid w:val="004B03CA"/>
    <w:rsid w:val="004B0472"/>
    <w:rsid w:val="004B058F"/>
    <w:rsid w:val="004B05C9"/>
    <w:rsid w:val="004B0637"/>
    <w:rsid w:val="004B0642"/>
    <w:rsid w:val="004B0643"/>
    <w:rsid w:val="004B0652"/>
    <w:rsid w:val="004B0687"/>
    <w:rsid w:val="004B06BE"/>
    <w:rsid w:val="004B0705"/>
    <w:rsid w:val="004B0735"/>
    <w:rsid w:val="004B0755"/>
    <w:rsid w:val="004B0798"/>
    <w:rsid w:val="004B07E2"/>
    <w:rsid w:val="004B0846"/>
    <w:rsid w:val="004B0969"/>
    <w:rsid w:val="004B098F"/>
    <w:rsid w:val="004B0A68"/>
    <w:rsid w:val="004B0A75"/>
    <w:rsid w:val="004B0AE5"/>
    <w:rsid w:val="004B0B69"/>
    <w:rsid w:val="004B0BBB"/>
    <w:rsid w:val="004B0FC5"/>
    <w:rsid w:val="004B103B"/>
    <w:rsid w:val="004B1197"/>
    <w:rsid w:val="004B121B"/>
    <w:rsid w:val="004B1273"/>
    <w:rsid w:val="004B12C9"/>
    <w:rsid w:val="004B1401"/>
    <w:rsid w:val="004B1451"/>
    <w:rsid w:val="004B14B1"/>
    <w:rsid w:val="004B1528"/>
    <w:rsid w:val="004B1555"/>
    <w:rsid w:val="004B1664"/>
    <w:rsid w:val="004B1698"/>
    <w:rsid w:val="004B1751"/>
    <w:rsid w:val="004B1774"/>
    <w:rsid w:val="004B17F5"/>
    <w:rsid w:val="004B183F"/>
    <w:rsid w:val="004B19E7"/>
    <w:rsid w:val="004B1A7A"/>
    <w:rsid w:val="004B1A8B"/>
    <w:rsid w:val="004B1B55"/>
    <w:rsid w:val="004B1BB0"/>
    <w:rsid w:val="004B1BED"/>
    <w:rsid w:val="004B1CE5"/>
    <w:rsid w:val="004B1DF1"/>
    <w:rsid w:val="004B1EDB"/>
    <w:rsid w:val="004B1F64"/>
    <w:rsid w:val="004B2078"/>
    <w:rsid w:val="004B20A7"/>
    <w:rsid w:val="004B2135"/>
    <w:rsid w:val="004B2171"/>
    <w:rsid w:val="004B21D0"/>
    <w:rsid w:val="004B220E"/>
    <w:rsid w:val="004B22C5"/>
    <w:rsid w:val="004B22F7"/>
    <w:rsid w:val="004B2305"/>
    <w:rsid w:val="004B231C"/>
    <w:rsid w:val="004B234A"/>
    <w:rsid w:val="004B235E"/>
    <w:rsid w:val="004B23C7"/>
    <w:rsid w:val="004B23F1"/>
    <w:rsid w:val="004B2471"/>
    <w:rsid w:val="004B247F"/>
    <w:rsid w:val="004B253E"/>
    <w:rsid w:val="004B25F1"/>
    <w:rsid w:val="004B2631"/>
    <w:rsid w:val="004B26B9"/>
    <w:rsid w:val="004B26C2"/>
    <w:rsid w:val="004B26CE"/>
    <w:rsid w:val="004B270C"/>
    <w:rsid w:val="004B282B"/>
    <w:rsid w:val="004B2887"/>
    <w:rsid w:val="004B29D9"/>
    <w:rsid w:val="004B2A8C"/>
    <w:rsid w:val="004B2AC2"/>
    <w:rsid w:val="004B2AE6"/>
    <w:rsid w:val="004B2C3E"/>
    <w:rsid w:val="004B2C64"/>
    <w:rsid w:val="004B2E04"/>
    <w:rsid w:val="004B2E33"/>
    <w:rsid w:val="004B30EB"/>
    <w:rsid w:val="004B3134"/>
    <w:rsid w:val="004B31D7"/>
    <w:rsid w:val="004B3244"/>
    <w:rsid w:val="004B32DC"/>
    <w:rsid w:val="004B330B"/>
    <w:rsid w:val="004B33AD"/>
    <w:rsid w:val="004B352C"/>
    <w:rsid w:val="004B35A0"/>
    <w:rsid w:val="004B36E8"/>
    <w:rsid w:val="004B36FB"/>
    <w:rsid w:val="004B377A"/>
    <w:rsid w:val="004B37A0"/>
    <w:rsid w:val="004B37A8"/>
    <w:rsid w:val="004B37C7"/>
    <w:rsid w:val="004B37F1"/>
    <w:rsid w:val="004B37FA"/>
    <w:rsid w:val="004B3916"/>
    <w:rsid w:val="004B393E"/>
    <w:rsid w:val="004B39AF"/>
    <w:rsid w:val="004B3B03"/>
    <w:rsid w:val="004B3B76"/>
    <w:rsid w:val="004B3B79"/>
    <w:rsid w:val="004B3B8C"/>
    <w:rsid w:val="004B3DB4"/>
    <w:rsid w:val="004B3DC7"/>
    <w:rsid w:val="004B3E29"/>
    <w:rsid w:val="004B3E44"/>
    <w:rsid w:val="004B3F18"/>
    <w:rsid w:val="004B3F44"/>
    <w:rsid w:val="004B3FF9"/>
    <w:rsid w:val="004B4028"/>
    <w:rsid w:val="004B40B1"/>
    <w:rsid w:val="004B41A0"/>
    <w:rsid w:val="004B41A1"/>
    <w:rsid w:val="004B4218"/>
    <w:rsid w:val="004B4237"/>
    <w:rsid w:val="004B425E"/>
    <w:rsid w:val="004B4309"/>
    <w:rsid w:val="004B4348"/>
    <w:rsid w:val="004B435C"/>
    <w:rsid w:val="004B43B0"/>
    <w:rsid w:val="004B4406"/>
    <w:rsid w:val="004B4481"/>
    <w:rsid w:val="004B4485"/>
    <w:rsid w:val="004B44F9"/>
    <w:rsid w:val="004B456A"/>
    <w:rsid w:val="004B4588"/>
    <w:rsid w:val="004B45BF"/>
    <w:rsid w:val="004B4627"/>
    <w:rsid w:val="004B468F"/>
    <w:rsid w:val="004B46B2"/>
    <w:rsid w:val="004B470D"/>
    <w:rsid w:val="004B474E"/>
    <w:rsid w:val="004B47D2"/>
    <w:rsid w:val="004B4804"/>
    <w:rsid w:val="004B4897"/>
    <w:rsid w:val="004B48EC"/>
    <w:rsid w:val="004B48FC"/>
    <w:rsid w:val="004B4907"/>
    <w:rsid w:val="004B4917"/>
    <w:rsid w:val="004B4A71"/>
    <w:rsid w:val="004B4B4E"/>
    <w:rsid w:val="004B4D32"/>
    <w:rsid w:val="004B4D47"/>
    <w:rsid w:val="004B4D9D"/>
    <w:rsid w:val="004B4DD4"/>
    <w:rsid w:val="004B4EEA"/>
    <w:rsid w:val="004B4FF4"/>
    <w:rsid w:val="004B50DF"/>
    <w:rsid w:val="004B5133"/>
    <w:rsid w:val="004B523A"/>
    <w:rsid w:val="004B5277"/>
    <w:rsid w:val="004B52A8"/>
    <w:rsid w:val="004B52C8"/>
    <w:rsid w:val="004B539F"/>
    <w:rsid w:val="004B554E"/>
    <w:rsid w:val="004B5555"/>
    <w:rsid w:val="004B5693"/>
    <w:rsid w:val="004B56C1"/>
    <w:rsid w:val="004B56DC"/>
    <w:rsid w:val="004B56F6"/>
    <w:rsid w:val="004B5707"/>
    <w:rsid w:val="004B57A6"/>
    <w:rsid w:val="004B581D"/>
    <w:rsid w:val="004B58DC"/>
    <w:rsid w:val="004B58E4"/>
    <w:rsid w:val="004B5BAB"/>
    <w:rsid w:val="004B5D03"/>
    <w:rsid w:val="004B5DA8"/>
    <w:rsid w:val="004B5E2C"/>
    <w:rsid w:val="004B5E73"/>
    <w:rsid w:val="004B5E77"/>
    <w:rsid w:val="004B5ECA"/>
    <w:rsid w:val="004B5F04"/>
    <w:rsid w:val="004B5F0A"/>
    <w:rsid w:val="004B5F94"/>
    <w:rsid w:val="004B60BB"/>
    <w:rsid w:val="004B61AD"/>
    <w:rsid w:val="004B6242"/>
    <w:rsid w:val="004B62B4"/>
    <w:rsid w:val="004B633F"/>
    <w:rsid w:val="004B634C"/>
    <w:rsid w:val="004B63FF"/>
    <w:rsid w:val="004B6441"/>
    <w:rsid w:val="004B6471"/>
    <w:rsid w:val="004B652F"/>
    <w:rsid w:val="004B6544"/>
    <w:rsid w:val="004B6595"/>
    <w:rsid w:val="004B662C"/>
    <w:rsid w:val="004B665F"/>
    <w:rsid w:val="004B666A"/>
    <w:rsid w:val="004B6738"/>
    <w:rsid w:val="004B688D"/>
    <w:rsid w:val="004B69DF"/>
    <w:rsid w:val="004B6B89"/>
    <w:rsid w:val="004B6BD3"/>
    <w:rsid w:val="004B6BEB"/>
    <w:rsid w:val="004B6CE8"/>
    <w:rsid w:val="004B6D96"/>
    <w:rsid w:val="004B6E4A"/>
    <w:rsid w:val="004B6EC6"/>
    <w:rsid w:val="004B6FFD"/>
    <w:rsid w:val="004B7000"/>
    <w:rsid w:val="004B7062"/>
    <w:rsid w:val="004B7071"/>
    <w:rsid w:val="004B707F"/>
    <w:rsid w:val="004B7101"/>
    <w:rsid w:val="004B710D"/>
    <w:rsid w:val="004B7192"/>
    <w:rsid w:val="004B7300"/>
    <w:rsid w:val="004B7417"/>
    <w:rsid w:val="004B746D"/>
    <w:rsid w:val="004B755C"/>
    <w:rsid w:val="004B759D"/>
    <w:rsid w:val="004B75A4"/>
    <w:rsid w:val="004B7628"/>
    <w:rsid w:val="004B76AF"/>
    <w:rsid w:val="004B76E7"/>
    <w:rsid w:val="004B7732"/>
    <w:rsid w:val="004B78DC"/>
    <w:rsid w:val="004B7980"/>
    <w:rsid w:val="004B7A53"/>
    <w:rsid w:val="004B7AC8"/>
    <w:rsid w:val="004B7BCC"/>
    <w:rsid w:val="004B7C7B"/>
    <w:rsid w:val="004B7CAF"/>
    <w:rsid w:val="004B7D3D"/>
    <w:rsid w:val="004B7DA2"/>
    <w:rsid w:val="004B7DB9"/>
    <w:rsid w:val="004B7DD0"/>
    <w:rsid w:val="004B7E0A"/>
    <w:rsid w:val="004B7E46"/>
    <w:rsid w:val="004B7E54"/>
    <w:rsid w:val="004B7E9F"/>
    <w:rsid w:val="004B7F22"/>
    <w:rsid w:val="004B7F7F"/>
    <w:rsid w:val="004C0070"/>
    <w:rsid w:val="004C0084"/>
    <w:rsid w:val="004C008B"/>
    <w:rsid w:val="004C0104"/>
    <w:rsid w:val="004C0149"/>
    <w:rsid w:val="004C0177"/>
    <w:rsid w:val="004C025C"/>
    <w:rsid w:val="004C0307"/>
    <w:rsid w:val="004C030F"/>
    <w:rsid w:val="004C0390"/>
    <w:rsid w:val="004C0594"/>
    <w:rsid w:val="004C05DA"/>
    <w:rsid w:val="004C05F3"/>
    <w:rsid w:val="004C0681"/>
    <w:rsid w:val="004C068E"/>
    <w:rsid w:val="004C072B"/>
    <w:rsid w:val="004C07DF"/>
    <w:rsid w:val="004C0871"/>
    <w:rsid w:val="004C0999"/>
    <w:rsid w:val="004C09B4"/>
    <w:rsid w:val="004C0C5F"/>
    <w:rsid w:val="004C0C7E"/>
    <w:rsid w:val="004C0D22"/>
    <w:rsid w:val="004C0D79"/>
    <w:rsid w:val="004C0DBD"/>
    <w:rsid w:val="004C0E3E"/>
    <w:rsid w:val="004C0EEB"/>
    <w:rsid w:val="004C0EF8"/>
    <w:rsid w:val="004C0F35"/>
    <w:rsid w:val="004C0F70"/>
    <w:rsid w:val="004C0FF8"/>
    <w:rsid w:val="004C100F"/>
    <w:rsid w:val="004C1085"/>
    <w:rsid w:val="004C10A1"/>
    <w:rsid w:val="004C129F"/>
    <w:rsid w:val="004C12D8"/>
    <w:rsid w:val="004C136A"/>
    <w:rsid w:val="004C13D9"/>
    <w:rsid w:val="004C1501"/>
    <w:rsid w:val="004C1539"/>
    <w:rsid w:val="004C15F4"/>
    <w:rsid w:val="004C1690"/>
    <w:rsid w:val="004C16A3"/>
    <w:rsid w:val="004C16A4"/>
    <w:rsid w:val="004C1711"/>
    <w:rsid w:val="004C171C"/>
    <w:rsid w:val="004C1723"/>
    <w:rsid w:val="004C179D"/>
    <w:rsid w:val="004C17A0"/>
    <w:rsid w:val="004C17F0"/>
    <w:rsid w:val="004C1994"/>
    <w:rsid w:val="004C19D7"/>
    <w:rsid w:val="004C19E3"/>
    <w:rsid w:val="004C1A52"/>
    <w:rsid w:val="004C1B44"/>
    <w:rsid w:val="004C1B7C"/>
    <w:rsid w:val="004C1BFF"/>
    <w:rsid w:val="004C1C84"/>
    <w:rsid w:val="004C1CAE"/>
    <w:rsid w:val="004C1E04"/>
    <w:rsid w:val="004C1ED1"/>
    <w:rsid w:val="004C1F91"/>
    <w:rsid w:val="004C1FB1"/>
    <w:rsid w:val="004C2085"/>
    <w:rsid w:val="004C20BF"/>
    <w:rsid w:val="004C20D5"/>
    <w:rsid w:val="004C216E"/>
    <w:rsid w:val="004C21C4"/>
    <w:rsid w:val="004C21E4"/>
    <w:rsid w:val="004C2258"/>
    <w:rsid w:val="004C22E8"/>
    <w:rsid w:val="004C2392"/>
    <w:rsid w:val="004C23B5"/>
    <w:rsid w:val="004C2433"/>
    <w:rsid w:val="004C244E"/>
    <w:rsid w:val="004C248E"/>
    <w:rsid w:val="004C24F4"/>
    <w:rsid w:val="004C2553"/>
    <w:rsid w:val="004C2571"/>
    <w:rsid w:val="004C25D5"/>
    <w:rsid w:val="004C273C"/>
    <w:rsid w:val="004C2819"/>
    <w:rsid w:val="004C289F"/>
    <w:rsid w:val="004C2902"/>
    <w:rsid w:val="004C2906"/>
    <w:rsid w:val="004C2989"/>
    <w:rsid w:val="004C2ACE"/>
    <w:rsid w:val="004C2AE9"/>
    <w:rsid w:val="004C2C15"/>
    <w:rsid w:val="004C2CDF"/>
    <w:rsid w:val="004C2D24"/>
    <w:rsid w:val="004C2D73"/>
    <w:rsid w:val="004C2E0E"/>
    <w:rsid w:val="004C2EA8"/>
    <w:rsid w:val="004C2F18"/>
    <w:rsid w:val="004C2F65"/>
    <w:rsid w:val="004C2FA4"/>
    <w:rsid w:val="004C30F5"/>
    <w:rsid w:val="004C3109"/>
    <w:rsid w:val="004C32DE"/>
    <w:rsid w:val="004C32F9"/>
    <w:rsid w:val="004C333B"/>
    <w:rsid w:val="004C335D"/>
    <w:rsid w:val="004C33AE"/>
    <w:rsid w:val="004C34A4"/>
    <w:rsid w:val="004C34B8"/>
    <w:rsid w:val="004C34E9"/>
    <w:rsid w:val="004C35F9"/>
    <w:rsid w:val="004C36C8"/>
    <w:rsid w:val="004C386A"/>
    <w:rsid w:val="004C3A0E"/>
    <w:rsid w:val="004C3A16"/>
    <w:rsid w:val="004C3B03"/>
    <w:rsid w:val="004C3B0A"/>
    <w:rsid w:val="004C3B21"/>
    <w:rsid w:val="004C3B7F"/>
    <w:rsid w:val="004C3BA1"/>
    <w:rsid w:val="004C3BF0"/>
    <w:rsid w:val="004C3BFE"/>
    <w:rsid w:val="004C3C04"/>
    <w:rsid w:val="004C3C1A"/>
    <w:rsid w:val="004C3C67"/>
    <w:rsid w:val="004C3D3C"/>
    <w:rsid w:val="004C3D9A"/>
    <w:rsid w:val="004C3DA6"/>
    <w:rsid w:val="004C3E45"/>
    <w:rsid w:val="004C3E9D"/>
    <w:rsid w:val="004C3ED5"/>
    <w:rsid w:val="004C3FB9"/>
    <w:rsid w:val="004C3FBA"/>
    <w:rsid w:val="004C4049"/>
    <w:rsid w:val="004C404C"/>
    <w:rsid w:val="004C405C"/>
    <w:rsid w:val="004C40B8"/>
    <w:rsid w:val="004C40C6"/>
    <w:rsid w:val="004C40E3"/>
    <w:rsid w:val="004C40E6"/>
    <w:rsid w:val="004C4101"/>
    <w:rsid w:val="004C412D"/>
    <w:rsid w:val="004C41B4"/>
    <w:rsid w:val="004C41B6"/>
    <w:rsid w:val="004C4264"/>
    <w:rsid w:val="004C4294"/>
    <w:rsid w:val="004C429A"/>
    <w:rsid w:val="004C4359"/>
    <w:rsid w:val="004C4362"/>
    <w:rsid w:val="004C441A"/>
    <w:rsid w:val="004C44BE"/>
    <w:rsid w:val="004C4528"/>
    <w:rsid w:val="004C46DE"/>
    <w:rsid w:val="004C478E"/>
    <w:rsid w:val="004C47C4"/>
    <w:rsid w:val="004C4820"/>
    <w:rsid w:val="004C485E"/>
    <w:rsid w:val="004C486D"/>
    <w:rsid w:val="004C49A9"/>
    <w:rsid w:val="004C49C9"/>
    <w:rsid w:val="004C4B19"/>
    <w:rsid w:val="004C4B6B"/>
    <w:rsid w:val="004C4B9A"/>
    <w:rsid w:val="004C4C63"/>
    <w:rsid w:val="004C4D4B"/>
    <w:rsid w:val="004C4E21"/>
    <w:rsid w:val="004C4E4F"/>
    <w:rsid w:val="004C4EB8"/>
    <w:rsid w:val="004C4F06"/>
    <w:rsid w:val="004C4F63"/>
    <w:rsid w:val="004C4F91"/>
    <w:rsid w:val="004C504C"/>
    <w:rsid w:val="004C5056"/>
    <w:rsid w:val="004C50FE"/>
    <w:rsid w:val="004C5230"/>
    <w:rsid w:val="004C52B1"/>
    <w:rsid w:val="004C52BB"/>
    <w:rsid w:val="004C533B"/>
    <w:rsid w:val="004C53B9"/>
    <w:rsid w:val="004C53F3"/>
    <w:rsid w:val="004C5430"/>
    <w:rsid w:val="004C54FE"/>
    <w:rsid w:val="004C54FF"/>
    <w:rsid w:val="004C57C4"/>
    <w:rsid w:val="004C5883"/>
    <w:rsid w:val="004C592A"/>
    <w:rsid w:val="004C5A7C"/>
    <w:rsid w:val="004C5AA5"/>
    <w:rsid w:val="004C5C15"/>
    <w:rsid w:val="004C5D8A"/>
    <w:rsid w:val="004C5DCC"/>
    <w:rsid w:val="004C5E30"/>
    <w:rsid w:val="004C5F58"/>
    <w:rsid w:val="004C5F9C"/>
    <w:rsid w:val="004C5FC9"/>
    <w:rsid w:val="004C60BF"/>
    <w:rsid w:val="004C6220"/>
    <w:rsid w:val="004C628F"/>
    <w:rsid w:val="004C629D"/>
    <w:rsid w:val="004C63E0"/>
    <w:rsid w:val="004C63FA"/>
    <w:rsid w:val="004C64A7"/>
    <w:rsid w:val="004C66C3"/>
    <w:rsid w:val="004C6702"/>
    <w:rsid w:val="004C6707"/>
    <w:rsid w:val="004C680F"/>
    <w:rsid w:val="004C6A24"/>
    <w:rsid w:val="004C6A2F"/>
    <w:rsid w:val="004C6A3A"/>
    <w:rsid w:val="004C6A4B"/>
    <w:rsid w:val="004C6C1F"/>
    <w:rsid w:val="004C6CF6"/>
    <w:rsid w:val="004C6E60"/>
    <w:rsid w:val="004C6EBD"/>
    <w:rsid w:val="004C6F02"/>
    <w:rsid w:val="004C6F32"/>
    <w:rsid w:val="004C6F90"/>
    <w:rsid w:val="004C6F93"/>
    <w:rsid w:val="004C6FE8"/>
    <w:rsid w:val="004C704F"/>
    <w:rsid w:val="004C7062"/>
    <w:rsid w:val="004C7104"/>
    <w:rsid w:val="004C71CD"/>
    <w:rsid w:val="004C71FC"/>
    <w:rsid w:val="004C729A"/>
    <w:rsid w:val="004C72CA"/>
    <w:rsid w:val="004C737C"/>
    <w:rsid w:val="004C73F1"/>
    <w:rsid w:val="004C73FD"/>
    <w:rsid w:val="004C7442"/>
    <w:rsid w:val="004C744F"/>
    <w:rsid w:val="004C759B"/>
    <w:rsid w:val="004C75CD"/>
    <w:rsid w:val="004C75F8"/>
    <w:rsid w:val="004C76D6"/>
    <w:rsid w:val="004C76E5"/>
    <w:rsid w:val="004C7713"/>
    <w:rsid w:val="004C774C"/>
    <w:rsid w:val="004C77BC"/>
    <w:rsid w:val="004C78F9"/>
    <w:rsid w:val="004C7904"/>
    <w:rsid w:val="004C7911"/>
    <w:rsid w:val="004C794A"/>
    <w:rsid w:val="004C7975"/>
    <w:rsid w:val="004C79A4"/>
    <w:rsid w:val="004C79F1"/>
    <w:rsid w:val="004C79F7"/>
    <w:rsid w:val="004C79FE"/>
    <w:rsid w:val="004C7A3F"/>
    <w:rsid w:val="004C7ABC"/>
    <w:rsid w:val="004C7AF4"/>
    <w:rsid w:val="004C7BFD"/>
    <w:rsid w:val="004C7C6D"/>
    <w:rsid w:val="004C7CE3"/>
    <w:rsid w:val="004C7E19"/>
    <w:rsid w:val="004C7E57"/>
    <w:rsid w:val="004C7E70"/>
    <w:rsid w:val="004C7E7D"/>
    <w:rsid w:val="004C7E97"/>
    <w:rsid w:val="004C7EA6"/>
    <w:rsid w:val="004C7F3E"/>
    <w:rsid w:val="004C7F47"/>
    <w:rsid w:val="004D0049"/>
    <w:rsid w:val="004D0198"/>
    <w:rsid w:val="004D0240"/>
    <w:rsid w:val="004D0255"/>
    <w:rsid w:val="004D0321"/>
    <w:rsid w:val="004D0468"/>
    <w:rsid w:val="004D0492"/>
    <w:rsid w:val="004D0530"/>
    <w:rsid w:val="004D05AF"/>
    <w:rsid w:val="004D05B4"/>
    <w:rsid w:val="004D05F6"/>
    <w:rsid w:val="004D0691"/>
    <w:rsid w:val="004D06E0"/>
    <w:rsid w:val="004D0757"/>
    <w:rsid w:val="004D0819"/>
    <w:rsid w:val="004D0832"/>
    <w:rsid w:val="004D08B0"/>
    <w:rsid w:val="004D092F"/>
    <w:rsid w:val="004D095B"/>
    <w:rsid w:val="004D0A90"/>
    <w:rsid w:val="004D0AA4"/>
    <w:rsid w:val="004D0BAA"/>
    <w:rsid w:val="004D0BDD"/>
    <w:rsid w:val="004D0BE8"/>
    <w:rsid w:val="004D0C76"/>
    <w:rsid w:val="004D0C91"/>
    <w:rsid w:val="004D0D05"/>
    <w:rsid w:val="004D0D38"/>
    <w:rsid w:val="004D0D95"/>
    <w:rsid w:val="004D0EE1"/>
    <w:rsid w:val="004D0F04"/>
    <w:rsid w:val="004D0FC0"/>
    <w:rsid w:val="004D1036"/>
    <w:rsid w:val="004D1142"/>
    <w:rsid w:val="004D1168"/>
    <w:rsid w:val="004D1186"/>
    <w:rsid w:val="004D1249"/>
    <w:rsid w:val="004D1262"/>
    <w:rsid w:val="004D12D3"/>
    <w:rsid w:val="004D1340"/>
    <w:rsid w:val="004D136A"/>
    <w:rsid w:val="004D13AF"/>
    <w:rsid w:val="004D1441"/>
    <w:rsid w:val="004D14D4"/>
    <w:rsid w:val="004D14E1"/>
    <w:rsid w:val="004D14EF"/>
    <w:rsid w:val="004D1521"/>
    <w:rsid w:val="004D158D"/>
    <w:rsid w:val="004D164D"/>
    <w:rsid w:val="004D1758"/>
    <w:rsid w:val="004D178F"/>
    <w:rsid w:val="004D17BE"/>
    <w:rsid w:val="004D17DD"/>
    <w:rsid w:val="004D181D"/>
    <w:rsid w:val="004D186D"/>
    <w:rsid w:val="004D1945"/>
    <w:rsid w:val="004D1982"/>
    <w:rsid w:val="004D1A0F"/>
    <w:rsid w:val="004D1A39"/>
    <w:rsid w:val="004D1A6F"/>
    <w:rsid w:val="004D1A89"/>
    <w:rsid w:val="004D1B80"/>
    <w:rsid w:val="004D1BB1"/>
    <w:rsid w:val="004D1C1C"/>
    <w:rsid w:val="004D1C4E"/>
    <w:rsid w:val="004D1CAD"/>
    <w:rsid w:val="004D1D65"/>
    <w:rsid w:val="004D1DAE"/>
    <w:rsid w:val="004D1E4B"/>
    <w:rsid w:val="004D1E74"/>
    <w:rsid w:val="004D1EF4"/>
    <w:rsid w:val="004D1F3D"/>
    <w:rsid w:val="004D1F53"/>
    <w:rsid w:val="004D1F9A"/>
    <w:rsid w:val="004D211D"/>
    <w:rsid w:val="004D2149"/>
    <w:rsid w:val="004D2215"/>
    <w:rsid w:val="004D225C"/>
    <w:rsid w:val="004D2261"/>
    <w:rsid w:val="004D22F3"/>
    <w:rsid w:val="004D2330"/>
    <w:rsid w:val="004D2333"/>
    <w:rsid w:val="004D2416"/>
    <w:rsid w:val="004D244D"/>
    <w:rsid w:val="004D24D0"/>
    <w:rsid w:val="004D2527"/>
    <w:rsid w:val="004D27C6"/>
    <w:rsid w:val="004D27E6"/>
    <w:rsid w:val="004D29CC"/>
    <w:rsid w:val="004D2AE0"/>
    <w:rsid w:val="004D2B41"/>
    <w:rsid w:val="004D2B6D"/>
    <w:rsid w:val="004D2B88"/>
    <w:rsid w:val="004D2BAB"/>
    <w:rsid w:val="004D2D0B"/>
    <w:rsid w:val="004D2D7B"/>
    <w:rsid w:val="004D2E1E"/>
    <w:rsid w:val="004D2E38"/>
    <w:rsid w:val="004D2F92"/>
    <w:rsid w:val="004D2FF7"/>
    <w:rsid w:val="004D301A"/>
    <w:rsid w:val="004D3033"/>
    <w:rsid w:val="004D305D"/>
    <w:rsid w:val="004D30DB"/>
    <w:rsid w:val="004D30DD"/>
    <w:rsid w:val="004D3198"/>
    <w:rsid w:val="004D31B6"/>
    <w:rsid w:val="004D3269"/>
    <w:rsid w:val="004D3301"/>
    <w:rsid w:val="004D3407"/>
    <w:rsid w:val="004D34AF"/>
    <w:rsid w:val="004D34F8"/>
    <w:rsid w:val="004D359F"/>
    <w:rsid w:val="004D35C2"/>
    <w:rsid w:val="004D361C"/>
    <w:rsid w:val="004D368E"/>
    <w:rsid w:val="004D36CE"/>
    <w:rsid w:val="004D36F8"/>
    <w:rsid w:val="004D371C"/>
    <w:rsid w:val="004D377E"/>
    <w:rsid w:val="004D3878"/>
    <w:rsid w:val="004D38CA"/>
    <w:rsid w:val="004D38ED"/>
    <w:rsid w:val="004D396C"/>
    <w:rsid w:val="004D39D7"/>
    <w:rsid w:val="004D3AC4"/>
    <w:rsid w:val="004D3AD1"/>
    <w:rsid w:val="004D3B15"/>
    <w:rsid w:val="004D3BE9"/>
    <w:rsid w:val="004D3CA0"/>
    <w:rsid w:val="004D3CC9"/>
    <w:rsid w:val="004D3CDC"/>
    <w:rsid w:val="004D3D81"/>
    <w:rsid w:val="004D3E02"/>
    <w:rsid w:val="004D3E84"/>
    <w:rsid w:val="004D3EC7"/>
    <w:rsid w:val="004D3F3F"/>
    <w:rsid w:val="004D3F67"/>
    <w:rsid w:val="004D4024"/>
    <w:rsid w:val="004D4166"/>
    <w:rsid w:val="004D418F"/>
    <w:rsid w:val="004D41DE"/>
    <w:rsid w:val="004D420B"/>
    <w:rsid w:val="004D42DC"/>
    <w:rsid w:val="004D42E7"/>
    <w:rsid w:val="004D44D4"/>
    <w:rsid w:val="004D44ED"/>
    <w:rsid w:val="004D45C6"/>
    <w:rsid w:val="004D465D"/>
    <w:rsid w:val="004D4664"/>
    <w:rsid w:val="004D46B8"/>
    <w:rsid w:val="004D46CB"/>
    <w:rsid w:val="004D4801"/>
    <w:rsid w:val="004D480B"/>
    <w:rsid w:val="004D4830"/>
    <w:rsid w:val="004D483B"/>
    <w:rsid w:val="004D4852"/>
    <w:rsid w:val="004D48A4"/>
    <w:rsid w:val="004D48D1"/>
    <w:rsid w:val="004D497D"/>
    <w:rsid w:val="004D4A48"/>
    <w:rsid w:val="004D4A50"/>
    <w:rsid w:val="004D4AED"/>
    <w:rsid w:val="004D4B0C"/>
    <w:rsid w:val="004D4C0A"/>
    <w:rsid w:val="004D4C21"/>
    <w:rsid w:val="004D4CDD"/>
    <w:rsid w:val="004D4ED7"/>
    <w:rsid w:val="004D4FB2"/>
    <w:rsid w:val="004D4FB6"/>
    <w:rsid w:val="004D4FE5"/>
    <w:rsid w:val="004D50A3"/>
    <w:rsid w:val="004D50C7"/>
    <w:rsid w:val="004D50CA"/>
    <w:rsid w:val="004D5318"/>
    <w:rsid w:val="004D537C"/>
    <w:rsid w:val="004D53D8"/>
    <w:rsid w:val="004D53DF"/>
    <w:rsid w:val="004D542E"/>
    <w:rsid w:val="004D54DC"/>
    <w:rsid w:val="004D5592"/>
    <w:rsid w:val="004D55B5"/>
    <w:rsid w:val="004D5637"/>
    <w:rsid w:val="004D568B"/>
    <w:rsid w:val="004D5784"/>
    <w:rsid w:val="004D5873"/>
    <w:rsid w:val="004D5954"/>
    <w:rsid w:val="004D5A66"/>
    <w:rsid w:val="004D5A92"/>
    <w:rsid w:val="004D5AC8"/>
    <w:rsid w:val="004D5AD5"/>
    <w:rsid w:val="004D5AEB"/>
    <w:rsid w:val="004D5BFB"/>
    <w:rsid w:val="004D5C38"/>
    <w:rsid w:val="004D5C42"/>
    <w:rsid w:val="004D5D22"/>
    <w:rsid w:val="004D5D6D"/>
    <w:rsid w:val="004D5E32"/>
    <w:rsid w:val="004D5E75"/>
    <w:rsid w:val="004D5F7D"/>
    <w:rsid w:val="004D5FA1"/>
    <w:rsid w:val="004D6069"/>
    <w:rsid w:val="004D6082"/>
    <w:rsid w:val="004D60CF"/>
    <w:rsid w:val="004D6104"/>
    <w:rsid w:val="004D6192"/>
    <w:rsid w:val="004D645C"/>
    <w:rsid w:val="004D6545"/>
    <w:rsid w:val="004D654A"/>
    <w:rsid w:val="004D65D1"/>
    <w:rsid w:val="004D66A5"/>
    <w:rsid w:val="004D676C"/>
    <w:rsid w:val="004D676E"/>
    <w:rsid w:val="004D679A"/>
    <w:rsid w:val="004D68CB"/>
    <w:rsid w:val="004D6969"/>
    <w:rsid w:val="004D698E"/>
    <w:rsid w:val="004D69DD"/>
    <w:rsid w:val="004D6A3C"/>
    <w:rsid w:val="004D6A8A"/>
    <w:rsid w:val="004D6B96"/>
    <w:rsid w:val="004D6BE1"/>
    <w:rsid w:val="004D6BFF"/>
    <w:rsid w:val="004D6C95"/>
    <w:rsid w:val="004D6CA3"/>
    <w:rsid w:val="004D6CAA"/>
    <w:rsid w:val="004D6E37"/>
    <w:rsid w:val="004D6EE5"/>
    <w:rsid w:val="004D70C9"/>
    <w:rsid w:val="004D71AA"/>
    <w:rsid w:val="004D7246"/>
    <w:rsid w:val="004D72ED"/>
    <w:rsid w:val="004D73B1"/>
    <w:rsid w:val="004D73DE"/>
    <w:rsid w:val="004D743B"/>
    <w:rsid w:val="004D74BC"/>
    <w:rsid w:val="004D74E3"/>
    <w:rsid w:val="004D7574"/>
    <w:rsid w:val="004D75CD"/>
    <w:rsid w:val="004D7609"/>
    <w:rsid w:val="004D7632"/>
    <w:rsid w:val="004D7746"/>
    <w:rsid w:val="004D7753"/>
    <w:rsid w:val="004D78A9"/>
    <w:rsid w:val="004D7986"/>
    <w:rsid w:val="004D7A0C"/>
    <w:rsid w:val="004D7A53"/>
    <w:rsid w:val="004D7A67"/>
    <w:rsid w:val="004D7B04"/>
    <w:rsid w:val="004D7BCC"/>
    <w:rsid w:val="004D7C5D"/>
    <w:rsid w:val="004D7C79"/>
    <w:rsid w:val="004D7CCC"/>
    <w:rsid w:val="004D7D1E"/>
    <w:rsid w:val="004D7DDE"/>
    <w:rsid w:val="004D7F3F"/>
    <w:rsid w:val="004E0070"/>
    <w:rsid w:val="004E00EA"/>
    <w:rsid w:val="004E016E"/>
    <w:rsid w:val="004E0237"/>
    <w:rsid w:val="004E02A4"/>
    <w:rsid w:val="004E02FF"/>
    <w:rsid w:val="004E03D9"/>
    <w:rsid w:val="004E03DA"/>
    <w:rsid w:val="004E03E5"/>
    <w:rsid w:val="004E0428"/>
    <w:rsid w:val="004E04B0"/>
    <w:rsid w:val="004E050B"/>
    <w:rsid w:val="004E0575"/>
    <w:rsid w:val="004E061E"/>
    <w:rsid w:val="004E061F"/>
    <w:rsid w:val="004E063B"/>
    <w:rsid w:val="004E0652"/>
    <w:rsid w:val="004E067B"/>
    <w:rsid w:val="004E06AF"/>
    <w:rsid w:val="004E0876"/>
    <w:rsid w:val="004E0894"/>
    <w:rsid w:val="004E0906"/>
    <w:rsid w:val="004E090C"/>
    <w:rsid w:val="004E09EF"/>
    <w:rsid w:val="004E0A2F"/>
    <w:rsid w:val="004E0A6C"/>
    <w:rsid w:val="004E0A94"/>
    <w:rsid w:val="004E0AB2"/>
    <w:rsid w:val="004E0BC8"/>
    <w:rsid w:val="004E0BCF"/>
    <w:rsid w:val="004E0C62"/>
    <w:rsid w:val="004E0C79"/>
    <w:rsid w:val="004E0CA6"/>
    <w:rsid w:val="004E0D1A"/>
    <w:rsid w:val="004E0D53"/>
    <w:rsid w:val="004E0E63"/>
    <w:rsid w:val="004E0E8A"/>
    <w:rsid w:val="004E0E8D"/>
    <w:rsid w:val="004E0EBA"/>
    <w:rsid w:val="004E0F23"/>
    <w:rsid w:val="004E0FA6"/>
    <w:rsid w:val="004E0FCE"/>
    <w:rsid w:val="004E1001"/>
    <w:rsid w:val="004E104F"/>
    <w:rsid w:val="004E1059"/>
    <w:rsid w:val="004E1100"/>
    <w:rsid w:val="004E110A"/>
    <w:rsid w:val="004E11FF"/>
    <w:rsid w:val="004E123E"/>
    <w:rsid w:val="004E1323"/>
    <w:rsid w:val="004E1334"/>
    <w:rsid w:val="004E14FD"/>
    <w:rsid w:val="004E160A"/>
    <w:rsid w:val="004E16D6"/>
    <w:rsid w:val="004E16D7"/>
    <w:rsid w:val="004E16FB"/>
    <w:rsid w:val="004E1773"/>
    <w:rsid w:val="004E17AC"/>
    <w:rsid w:val="004E17E3"/>
    <w:rsid w:val="004E18AA"/>
    <w:rsid w:val="004E18ED"/>
    <w:rsid w:val="004E18FB"/>
    <w:rsid w:val="004E1987"/>
    <w:rsid w:val="004E19EB"/>
    <w:rsid w:val="004E1A24"/>
    <w:rsid w:val="004E1ADF"/>
    <w:rsid w:val="004E1B14"/>
    <w:rsid w:val="004E1B19"/>
    <w:rsid w:val="004E1B7D"/>
    <w:rsid w:val="004E1C4E"/>
    <w:rsid w:val="004E1CD2"/>
    <w:rsid w:val="004E1D34"/>
    <w:rsid w:val="004E1DD3"/>
    <w:rsid w:val="004E1E16"/>
    <w:rsid w:val="004E1F62"/>
    <w:rsid w:val="004E2054"/>
    <w:rsid w:val="004E206F"/>
    <w:rsid w:val="004E2236"/>
    <w:rsid w:val="004E2273"/>
    <w:rsid w:val="004E228A"/>
    <w:rsid w:val="004E22A8"/>
    <w:rsid w:val="004E2420"/>
    <w:rsid w:val="004E24C6"/>
    <w:rsid w:val="004E2508"/>
    <w:rsid w:val="004E2556"/>
    <w:rsid w:val="004E267C"/>
    <w:rsid w:val="004E2680"/>
    <w:rsid w:val="004E26BB"/>
    <w:rsid w:val="004E26C8"/>
    <w:rsid w:val="004E27BE"/>
    <w:rsid w:val="004E27F8"/>
    <w:rsid w:val="004E2834"/>
    <w:rsid w:val="004E28F7"/>
    <w:rsid w:val="004E2944"/>
    <w:rsid w:val="004E2953"/>
    <w:rsid w:val="004E29D1"/>
    <w:rsid w:val="004E29DD"/>
    <w:rsid w:val="004E29DF"/>
    <w:rsid w:val="004E29E6"/>
    <w:rsid w:val="004E2A32"/>
    <w:rsid w:val="004E2A94"/>
    <w:rsid w:val="004E2B62"/>
    <w:rsid w:val="004E2BD0"/>
    <w:rsid w:val="004E2C18"/>
    <w:rsid w:val="004E2C4A"/>
    <w:rsid w:val="004E2C52"/>
    <w:rsid w:val="004E2CC0"/>
    <w:rsid w:val="004E2D18"/>
    <w:rsid w:val="004E2D1D"/>
    <w:rsid w:val="004E2D33"/>
    <w:rsid w:val="004E2DD0"/>
    <w:rsid w:val="004E2E06"/>
    <w:rsid w:val="004E2E4D"/>
    <w:rsid w:val="004E2E8E"/>
    <w:rsid w:val="004E2F0C"/>
    <w:rsid w:val="004E2F1C"/>
    <w:rsid w:val="004E3053"/>
    <w:rsid w:val="004E307D"/>
    <w:rsid w:val="004E3097"/>
    <w:rsid w:val="004E3127"/>
    <w:rsid w:val="004E313A"/>
    <w:rsid w:val="004E3146"/>
    <w:rsid w:val="004E315C"/>
    <w:rsid w:val="004E3197"/>
    <w:rsid w:val="004E31BF"/>
    <w:rsid w:val="004E31D2"/>
    <w:rsid w:val="004E31D7"/>
    <w:rsid w:val="004E3200"/>
    <w:rsid w:val="004E3201"/>
    <w:rsid w:val="004E3376"/>
    <w:rsid w:val="004E33A4"/>
    <w:rsid w:val="004E33B4"/>
    <w:rsid w:val="004E33BF"/>
    <w:rsid w:val="004E3416"/>
    <w:rsid w:val="004E3437"/>
    <w:rsid w:val="004E35B0"/>
    <w:rsid w:val="004E35C6"/>
    <w:rsid w:val="004E363E"/>
    <w:rsid w:val="004E364B"/>
    <w:rsid w:val="004E367E"/>
    <w:rsid w:val="004E3707"/>
    <w:rsid w:val="004E372F"/>
    <w:rsid w:val="004E3744"/>
    <w:rsid w:val="004E38A4"/>
    <w:rsid w:val="004E38E2"/>
    <w:rsid w:val="004E3919"/>
    <w:rsid w:val="004E3979"/>
    <w:rsid w:val="004E399D"/>
    <w:rsid w:val="004E3A2F"/>
    <w:rsid w:val="004E3B0C"/>
    <w:rsid w:val="004E3CCE"/>
    <w:rsid w:val="004E3CFE"/>
    <w:rsid w:val="004E3D11"/>
    <w:rsid w:val="004E3DBC"/>
    <w:rsid w:val="004E3DDD"/>
    <w:rsid w:val="004E3DE4"/>
    <w:rsid w:val="004E3DFD"/>
    <w:rsid w:val="004E3E24"/>
    <w:rsid w:val="004E3E51"/>
    <w:rsid w:val="004E3E94"/>
    <w:rsid w:val="004E3ED2"/>
    <w:rsid w:val="004E3F28"/>
    <w:rsid w:val="004E3FB8"/>
    <w:rsid w:val="004E3FC0"/>
    <w:rsid w:val="004E3FD8"/>
    <w:rsid w:val="004E405A"/>
    <w:rsid w:val="004E40EB"/>
    <w:rsid w:val="004E410E"/>
    <w:rsid w:val="004E4135"/>
    <w:rsid w:val="004E4263"/>
    <w:rsid w:val="004E426D"/>
    <w:rsid w:val="004E42E7"/>
    <w:rsid w:val="004E439F"/>
    <w:rsid w:val="004E43B8"/>
    <w:rsid w:val="004E4416"/>
    <w:rsid w:val="004E441E"/>
    <w:rsid w:val="004E448D"/>
    <w:rsid w:val="004E4513"/>
    <w:rsid w:val="004E461F"/>
    <w:rsid w:val="004E4752"/>
    <w:rsid w:val="004E47A0"/>
    <w:rsid w:val="004E48AA"/>
    <w:rsid w:val="004E490C"/>
    <w:rsid w:val="004E4913"/>
    <w:rsid w:val="004E494C"/>
    <w:rsid w:val="004E499C"/>
    <w:rsid w:val="004E4A30"/>
    <w:rsid w:val="004E4A7D"/>
    <w:rsid w:val="004E4C38"/>
    <w:rsid w:val="004E4DB9"/>
    <w:rsid w:val="004E4E09"/>
    <w:rsid w:val="004E4E2A"/>
    <w:rsid w:val="004E4E7C"/>
    <w:rsid w:val="004E4E8F"/>
    <w:rsid w:val="004E4EB3"/>
    <w:rsid w:val="004E4EEE"/>
    <w:rsid w:val="004E4EF5"/>
    <w:rsid w:val="004E4F97"/>
    <w:rsid w:val="004E4FB1"/>
    <w:rsid w:val="004E4FB5"/>
    <w:rsid w:val="004E4FFB"/>
    <w:rsid w:val="004E4FFD"/>
    <w:rsid w:val="004E5033"/>
    <w:rsid w:val="004E5067"/>
    <w:rsid w:val="004E508B"/>
    <w:rsid w:val="004E5288"/>
    <w:rsid w:val="004E53C9"/>
    <w:rsid w:val="004E54AE"/>
    <w:rsid w:val="004E54BC"/>
    <w:rsid w:val="004E54BF"/>
    <w:rsid w:val="004E5527"/>
    <w:rsid w:val="004E555C"/>
    <w:rsid w:val="004E568E"/>
    <w:rsid w:val="004E5745"/>
    <w:rsid w:val="004E57B2"/>
    <w:rsid w:val="004E595B"/>
    <w:rsid w:val="004E59AE"/>
    <w:rsid w:val="004E59DE"/>
    <w:rsid w:val="004E5A62"/>
    <w:rsid w:val="004E5B4A"/>
    <w:rsid w:val="004E5B8A"/>
    <w:rsid w:val="004E5BD7"/>
    <w:rsid w:val="004E5C34"/>
    <w:rsid w:val="004E5C84"/>
    <w:rsid w:val="004E5CB6"/>
    <w:rsid w:val="004E5CD6"/>
    <w:rsid w:val="004E5D29"/>
    <w:rsid w:val="004E5DED"/>
    <w:rsid w:val="004E5E62"/>
    <w:rsid w:val="004E6023"/>
    <w:rsid w:val="004E608B"/>
    <w:rsid w:val="004E610D"/>
    <w:rsid w:val="004E612C"/>
    <w:rsid w:val="004E614F"/>
    <w:rsid w:val="004E619A"/>
    <w:rsid w:val="004E61C7"/>
    <w:rsid w:val="004E622D"/>
    <w:rsid w:val="004E6246"/>
    <w:rsid w:val="004E6263"/>
    <w:rsid w:val="004E62AB"/>
    <w:rsid w:val="004E62B3"/>
    <w:rsid w:val="004E63F2"/>
    <w:rsid w:val="004E64EE"/>
    <w:rsid w:val="004E657B"/>
    <w:rsid w:val="004E65AF"/>
    <w:rsid w:val="004E6627"/>
    <w:rsid w:val="004E66E4"/>
    <w:rsid w:val="004E6732"/>
    <w:rsid w:val="004E6767"/>
    <w:rsid w:val="004E6810"/>
    <w:rsid w:val="004E687F"/>
    <w:rsid w:val="004E695F"/>
    <w:rsid w:val="004E69A2"/>
    <w:rsid w:val="004E6A1D"/>
    <w:rsid w:val="004E6A86"/>
    <w:rsid w:val="004E6B14"/>
    <w:rsid w:val="004E6B20"/>
    <w:rsid w:val="004E6C18"/>
    <w:rsid w:val="004E6C21"/>
    <w:rsid w:val="004E6C59"/>
    <w:rsid w:val="004E6D95"/>
    <w:rsid w:val="004E6DA3"/>
    <w:rsid w:val="004E6E45"/>
    <w:rsid w:val="004E6E9D"/>
    <w:rsid w:val="004E6EFD"/>
    <w:rsid w:val="004E6F3F"/>
    <w:rsid w:val="004E6F96"/>
    <w:rsid w:val="004E6FB8"/>
    <w:rsid w:val="004E6FCB"/>
    <w:rsid w:val="004E7032"/>
    <w:rsid w:val="004E7069"/>
    <w:rsid w:val="004E70F3"/>
    <w:rsid w:val="004E70FC"/>
    <w:rsid w:val="004E7103"/>
    <w:rsid w:val="004E714D"/>
    <w:rsid w:val="004E7162"/>
    <w:rsid w:val="004E7350"/>
    <w:rsid w:val="004E737F"/>
    <w:rsid w:val="004E7411"/>
    <w:rsid w:val="004E7477"/>
    <w:rsid w:val="004E7498"/>
    <w:rsid w:val="004E74B6"/>
    <w:rsid w:val="004E757B"/>
    <w:rsid w:val="004E75A8"/>
    <w:rsid w:val="004E75BD"/>
    <w:rsid w:val="004E7633"/>
    <w:rsid w:val="004E767F"/>
    <w:rsid w:val="004E76B0"/>
    <w:rsid w:val="004E774E"/>
    <w:rsid w:val="004E77AB"/>
    <w:rsid w:val="004E77AC"/>
    <w:rsid w:val="004E7886"/>
    <w:rsid w:val="004E7897"/>
    <w:rsid w:val="004E790D"/>
    <w:rsid w:val="004E7924"/>
    <w:rsid w:val="004E795A"/>
    <w:rsid w:val="004E79E4"/>
    <w:rsid w:val="004E7A18"/>
    <w:rsid w:val="004E7A30"/>
    <w:rsid w:val="004E7ADD"/>
    <w:rsid w:val="004E7BE1"/>
    <w:rsid w:val="004E7CC7"/>
    <w:rsid w:val="004E7CCB"/>
    <w:rsid w:val="004E7D3A"/>
    <w:rsid w:val="004E7E7B"/>
    <w:rsid w:val="004E7ED4"/>
    <w:rsid w:val="004E7F50"/>
    <w:rsid w:val="004E7FA4"/>
    <w:rsid w:val="004E7FF9"/>
    <w:rsid w:val="004F00A0"/>
    <w:rsid w:val="004F013B"/>
    <w:rsid w:val="004F0159"/>
    <w:rsid w:val="004F020A"/>
    <w:rsid w:val="004F0229"/>
    <w:rsid w:val="004F0271"/>
    <w:rsid w:val="004F02B7"/>
    <w:rsid w:val="004F02ED"/>
    <w:rsid w:val="004F02EE"/>
    <w:rsid w:val="004F02FB"/>
    <w:rsid w:val="004F035B"/>
    <w:rsid w:val="004F03DD"/>
    <w:rsid w:val="004F03E1"/>
    <w:rsid w:val="004F0420"/>
    <w:rsid w:val="004F04A8"/>
    <w:rsid w:val="004F0519"/>
    <w:rsid w:val="004F058E"/>
    <w:rsid w:val="004F05F6"/>
    <w:rsid w:val="004F05FD"/>
    <w:rsid w:val="004F062D"/>
    <w:rsid w:val="004F0646"/>
    <w:rsid w:val="004F06A9"/>
    <w:rsid w:val="004F06E3"/>
    <w:rsid w:val="004F070B"/>
    <w:rsid w:val="004F07D8"/>
    <w:rsid w:val="004F0802"/>
    <w:rsid w:val="004F0834"/>
    <w:rsid w:val="004F094E"/>
    <w:rsid w:val="004F0992"/>
    <w:rsid w:val="004F09DC"/>
    <w:rsid w:val="004F09EB"/>
    <w:rsid w:val="004F0A47"/>
    <w:rsid w:val="004F0C14"/>
    <w:rsid w:val="004F0C1D"/>
    <w:rsid w:val="004F0C52"/>
    <w:rsid w:val="004F0C56"/>
    <w:rsid w:val="004F0CED"/>
    <w:rsid w:val="004F0D6E"/>
    <w:rsid w:val="004F0D71"/>
    <w:rsid w:val="004F0D88"/>
    <w:rsid w:val="004F0DD8"/>
    <w:rsid w:val="004F0E58"/>
    <w:rsid w:val="004F0EAA"/>
    <w:rsid w:val="004F0ED4"/>
    <w:rsid w:val="004F0F38"/>
    <w:rsid w:val="004F0F8B"/>
    <w:rsid w:val="004F0FAA"/>
    <w:rsid w:val="004F0FB5"/>
    <w:rsid w:val="004F1013"/>
    <w:rsid w:val="004F112C"/>
    <w:rsid w:val="004F1218"/>
    <w:rsid w:val="004F1223"/>
    <w:rsid w:val="004F1341"/>
    <w:rsid w:val="004F154F"/>
    <w:rsid w:val="004F161A"/>
    <w:rsid w:val="004F1659"/>
    <w:rsid w:val="004F16F6"/>
    <w:rsid w:val="004F1785"/>
    <w:rsid w:val="004F17F9"/>
    <w:rsid w:val="004F1824"/>
    <w:rsid w:val="004F1886"/>
    <w:rsid w:val="004F18FE"/>
    <w:rsid w:val="004F1911"/>
    <w:rsid w:val="004F1938"/>
    <w:rsid w:val="004F19A6"/>
    <w:rsid w:val="004F1A16"/>
    <w:rsid w:val="004F1A50"/>
    <w:rsid w:val="004F1A58"/>
    <w:rsid w:val="004F1B3C"/>
    <w:rsid w:val="004F1B9D"/>
    <w:rsid w:val="004F1BAE"/>
    <w:rsid w:val="004F1C25"/>
    <w:rsid w:val="004F1C56"/>
    <w:rsid w:val="004F1E8B"/>
    <w:rsid w:val="004F2025"/>
    <w:rsid w:val="004F20F6"/>
    <w:rsid w:val="004F21A0"/>
    <w:rsid w:val="004F2229"/>
    <w:rsid w:val="004F2272"/>
    <w:rsid w:val="004F2279"/>
    <w:rsid w:val="004F2310"/>
    <w:rsid w:val="004F231A"/>
    <w:rsid w:val="004F2365"/>
    <w:rsid w:val="004F2391"/>
    <w:rsid w:val="004F24B0"/>
    <w:rsid w:val="004F264D"/>
    <w:rsid w:val="004F2762"/>
    <w:rsid w:val="004F27AF"/>
    <w:rsid w:val="004F27F6"/>
    <w:rsid w:val="004F285A"/>
    <w:rsid w:val="004F2979"/>
    <w:rsid w:val="004F29FC"/>
    <w:rsid w:val="004F2A15"/>
    <w:rsid w:val="004F2A67"/>
    <w:rsid w:val="004F2A93"/>
    <w:rsid w:val="004F2B34"/>
    <w:rsid w:val="004F2B7B"/>
    <w:rsid w:val="004F2B9B"/>
    <w:rsid w:val="004F2C6A"/>
    <w:rsid w:val="004F2D61"/>
    <w:rsid w:val="004F2D6F"/>
    <w:rsid w:val="004F2DCF"/>
    <w:rsid w:val="004F2DFF"/>
    <w:rsid w:val="004F2E4A"/>
    <w:rsid w:val="004F2E83"/>
    <w:rsid w:val="004F2F8A"/>
    <w:rsid w:val="004F2FE8"/>
    <w:rsid w:val="004F30AE"/>
    <w:rsid w:val="004F30E4"/>
    <w:rsid w:val="004F3117"/>
    <w:rsid w:val="004F3196"/>
    <w:rsid w:val="004F31C7"/>
    <w:rsid w:val="004F3387"/>
    <w:rsid w:val="004F340F"/>
    <w:rsid w:val="004F3495"/>
    <w:rsid w:val="004F3554"/>
    <w:rsid w:val="004F35DB"/>
    <w:rsid w:val="004F377D"/>
    <w:rsid w:val="004F37C1"/>
    <w:rsid w:val="004F38F5"/>
    <w:rsid w:val="004F392E"/>
    <w:rsid w:val="004F39BC"/>
    <w:rsid w:val="004F39CB"/>
    <w:rsid w:val="004F3BF4"/>
    <w:rsid w:val="004F3C4E"/>
    <w:rsid w:val="004F3C8C"/>
    <w:rsid w:val="004F3D2E"/>
    <w:rsid w:val="004F3D52"/>
    <w:rsid w:val="004F3D87"/>
    <w:rsid w:val="004F3DE4"/>
    <w:rsid w:val="004F3DEC"/>
    <w:rsid w:val="004F3E85"/>
    <w:rsid w:val="004F3EB2"/>
    <w:rsid w:val="004F3F18"/>
    <w:rsid w:val="004F3F5B"/>
    <w:rsid w:val="004F404C"/>
    <w:rsid w:val="004F421E"/>
    <w:rsid w:val="004F4275"/>
    <w:rsid w:val="004F429A"/>
    <w:rsid w:val="004F42E9"/>
    <w:rsid w:val="004F42F2"/>
    <w:rsid w:val="004F434E"/>
    <w:rsid w:val="004F44FD"/>
    <w:rsid w:val="004F4555"/>
    <w:rsid w:val="004F45D8"/>
    <w:rsid w:val="004F46A5"/>
    <w:rsid w:val="004F4883"/>
    <w:rsid w:val="004F48D2"/>
    <w:rsid w:val="004F4968"/>
    <w:rsid w:val="004F49E0"/>
    <w:rsid w:val="004F4A1F"/>
    <w:rsid w:val="004F4A2C"/>
    <w:rsid w:val="004F4A76"/>
    <w:rsid w:val="004F4A8B"/>
    <w:rsid w:val="004F4B92"/>
    <w:rsid w:val="004F4BA9"/>
    <w:rsid w:val="004F4C41"/>
    <w:rsid w:val="004F4C68"/>
    <w:rsid w:val="004F4C79"/>
    <w:rsid w:val="004F4DF3"/>
    <w:rsid w:val="004F4F06"/>
    <w:rsid w:val="004F4F8F"/>
    <w:rsid w:val="004F4FD9"/>
    <w:rsid w:val="004F5043"/>
    <w:rsid w:val="004F50E4"/>
    <w:rsid w:val="004F51B0"/>
    <w:rsid w:val="004F525F"/>
    <w:rsid w:val="004F539E"/>
    <w:rsid w:val="004F53BF"/>
    <w:rsid w:val="004F53D7"/>
    <w:rsid w:val="004F53F7"/>
    <w:rsid w:val="004F5400"/>
    <w:rsid w:val="004F5415"/>
    <w:rsid w:val="004F54B5"/>
    <w:rsid w:val="004F54CE"/>
    <w:rsid w:val="004F551B"/>
    <w:rsid w:val="004F55AC"/>
    <w:rsid w:val="004F55E3"/>
    <w:rsid w:val="004F55EA"/>
    <w:rsid w:val="004F55F2"/>
    <w:rsid w:val="004F560D"/>
    <w:rsid w:val="004F561C"/>
    <w:rsid w:val="004F563A"/>
    <w:rsid w:val="004F579B"/>
    <w:rsid w:val="004F583B"/>
    <w:rsid w:val="004F5957"/>
    <w:rsid w:val="004F5B5B"/>
    <w:rsid w:val="004F5BC9"/>
    <w:rsid w:val="004F5C77"/>
    <w:rsid w:val="004F5DDA"/>
    <w:rsid w:val="004F5EA6"/>
    <w:rsid w:val="004F5EB7"/>
    <w:rsid w:val="004F5EC4"/>
    <w:rsid w:val="004F5F38"/>
    <w:rsid w:val="004F5F76"/>
    <w:rsid w:val="004F6018"/>
    <w:rsid w:val="004F601F"/>
    <w:rsid w:val="004F6083"/>
    <w:rsid w:val="004F60A5"/>
    <w:rsid w:val="004F6224"/>
    <w:rsid w:val="004F6274"/>
    <w:rsid w:val="004F62A8"/>
    <w:rsid w:val="004F637C"/>
    <w:rsid w:val="004F6393"/>
    <w:rsid w:val="004F63AF"/>
    <w:rsid w:val="004F63B7"/>
    <w:rsid w:val="004F63EE"/>
    <w:rsid w:val="004F640E"/>
    <w:rsid w:val="004F663A"/>
    <w:rsid w:val="004F664D"/>
    <w:rsid w:val="004F6665"/>
    <w:rsid w:val="004F66CD"/>
    <w:rsid w:val="004F675F"/>
    <w:rsid w:val="004F683B"/>
    <w:rsid w:val="004F68C3"/>
    <w:rsid w:val="004F6942"/>
    <w:rsid w:val="004F6A2F"/>
    <w:rsid w:val="004F6A61"/>
    <w:rsid w:val="004F6ABA"/>
    <w:rsid w:val="004F6B0D"/>
    <w:rsid w:val="004F6BC4"/>
    <w:rsid w:val="004F6C14"/>
    <w:rsid w:val="004F6C22"/>
    <w:rsid w:val="004F6C6F"/>
    <w:rsid w:val="004F6D5B"/>
    <w:rsid w:val="004F6D87"/>
    <w:rsid w:val="004F6EAA"/>
    <w:rsid w:val="004F6EE6"/>
    <w:rsid w:val="004F6F0E"/>
    <w:rsid w:val="004F6F36"/>
    <w:rsid w:val="004F6F5F"/>
    <w:rsid w:val="004F6F69"/>
    <w:rsid w:val="004F6F93"/>
    <w:rsid w:val="004F6FF3"/>
    <w:rsid w:val="004F7032"/>
    <w:rsid w:val="004F707F"/>
    <w:rsid w:val="004F708D"/>
    <w:rsid w:val="004F71CF"/>
    <w:rsid w:val="004F71E7"/>
    <w:rsid w:val="004F721F"/>
    <w:rsid w:val="004F72E4"/>
    <w:rsid w:val="004F731C"/>
    <w:rsid w:val="004F7356"/>
    <w:rsid w:val="004F735D"/>
    <w:rsid w:val="004F739A"/>
    <w:rsid w:val="004F7407"/>
    <w:rsid w:val="004F742A"/>
    <w:rsid w:val="004F74A9"/>
    <w:rsid w:val="004F74E1"/>
    <w:rsid w:val="004F751E"/>
    <w:rsid w:val="004F7521"/>
    <w:rsid w:val="004F7526"/>
    <w:rsid w:val="004F759F"/>
    <w:rsid w:val="004F7618"/>
    <w:rsid w:val="004F762B"/>
    <w:rsid w:val="004F763C"/>
    <w:rsid w:val="004F7651"/>
    <w:rsid w:val="004F7712"/>
    <w:rsid w:val="004F7759"/>
    <w:rsid w:val="004F78A2"/>
    <w:rsid w:val="004F78C8"/>
    <w:rsid w:val="004F7915"/>
    <w:rsid w:val="004F7933"/>
    <w:rsid w:val="004F7995"/>
    <w:rsid w:val="004F7A6E"/>
    <w:rsid w:val="004F7A99"/>
    <w:rsid w:val="004F7ACF"/>
    <w:rsid w:val="004F7B36"/>
    <w:rsid w:val="004F7BAB"/>
    <w:rsid w:val="004F7BC0"/>
    <w:rsid w:val="004F7C12"/>
    <w:rsid w:val="004F7C16"/>
    <w:rsid w:val="004F7CD9"/>
    <w:rsid w:val="004F7D3A"/>
    <w:rsid w:val="004F7D3C"/>
    <w:rsid w:val="004F7DAA"/>
    <w:rsid w:val="004F7DF2"/>
    <w:rsid w:val="004F7E1F"/>
    <w:rsid w:val="004F7F03"/>
    <w:rsid w:val="004F7F19"/>
    <w:rsid w:val="004F7F24"/>
    <w:rsid w:val="004F7F53"/>
    <w:rsid w:val="004F7F9E"/>
    <w:rsid w:val="0050008A"/>
    <w:rsid w:val="005000C8"/>
    <w:rsid w:val="005000D1"/>
    <w:rsid w:val="00500129"/>
    <w:rsid w:val="0050016E"/>
    <w:rsid w:val="00500174"/>
    <w:rsid w:val="005001E0"/>
    <w:rsid w:val="00500290"/>
    <w:rsid w:val="00500379"/>
    <w:rsid w:val="005003D6"/>
    <w:rsid w:val="00500454"/>
    <w:rsid w:val="00500497"/>
    <w:rsid w:val="005004B6"/>
    <w:rsid w:val="00500521"/>
    <w:rsid w:val="00500556"/>
    <w:rsid w:val="005005A8"/>
    <w:rsid w:val="005005F5"/>
    <w:rsid w:val="00500698"/>
    <w:rsid w:val="005007EF"/>
    <w:rsid w:val="00500895"/>
    <w:rsid w:val="005008D2"/>
    <w:rsid w:val="00500924"/>
    <w:rsid w:val="0050097F"/>
    <w:rsid w:val="00500B34"/>
    <w:rsid w:val="00500BA5"/>
    <w:rsid w:val="00500BB3"/>
    <w:rsid w:val="00500C09"/>
    <w:rsid w:val="00500C16"/>
    <w:rsid w:val="00500C62"/>
    <w:rsid w:val="00500C74"/>
    <w:rsid w:val="00500CD7"/>
    <w:rsid w:val="00500D81"/>
    <w:rsid w:val="00500DAC"/>
    <w:rsid w:val="00500EEA"/>
    <w:rsid w:val="00500F67"/>
    <w:rsid w:val="00500F93"/>
    <w:rsid w:val="00501031"/>
    <w:rsid w:val="00501073"/>
    <w:rsid w:val="00501092"/>
    <w:rsid w:val="005010C8"/>
    <w:rsid w:val="0050119D"/>
    <w:rsid w:val="005011D6"/>
    <w:rsid w:val="005011E1"/>
    <w:rsid w:val="00501314"/>
    <w:rsid w:val="00501360"/>
    <w:rsid w:val="005013D0"/>
    <w:rsid w:val="005013F7"/>
    <w:rsid w:val="0050142E"/>
    <w:rsid w:val="00501442"/>
    <w:rsid w:val="00501450"/>
    <w:rsid w:val="00501496"/>
    <w:rsid w:val="00501499"/>
    <w:rsid w:val="00501560"/>
    <w:rsid w:val="00501571"/>
    <w:rsid w:val="0050162F"/>
    <w:rsid w:val="00501658"/>
    <w:rsid w:val="00501672"/>
    <w:rsid w:val="0050168D"/>
    <w:rsid w:val="0050169F"/>
    <w:rsid w:val="00501743"/>
    <w:rsid w:val="00501759"/>
    <w:rsid w:val="005017D2"/>
    <w:rsid w:val="00501850"/>
    <w:rsid w:val="0050185F"/>
    <w:rsid w:val="00501875"/>
    <w:rsid w:val="005018AC"/>
    <w:rsid w:val="005018E3"/>
    <w:rsid w:val="0050195B"/>
    <w:rsid w:val="00501ABF"/>
    <w:rsid w:val="00501B60"/>
    <w:rsid w:val="00501B6C"/>
    <w:rsid w:val="00501CD6"/>
    <w:rsid w:val="00501DB2"/>
    <w:rsid w:val="00501DDA"/>
    <w:rsid w:val="00501DEA"/>
    <w:rsid w:val="00501E21"/>
    <w:rsid w:val="00501EFA"/>
    <w:rsid w:val="00501F5E"/>
    <w:rsid w:val="00501FA6"/>
    <w:rsid w:val="00501FAD"/>
    <w:rsid w:val="00502017"/>
    <w:rsid w:val="00502073"/>
    <w:rsid w:val="005020E0"/>
    <w:rsid w:val="005021AB"/>
    <w:rsid w:val="00502205"/>
    <w:rsid w:val="00502250"/>
    <w:rsid w:val="00502266"/>
    <w:rsid w:val="005022BA"/>
    <w:rsid w:val="005022E3"/>
    <w:rsid w:val="0050231B"/>
    <w:rsid w:val="00502367"/>
    <w:rsid w:val="00502411"/>
    <w:rsid w:val="00502462"/>
    <w:rsid w:val="0050250D"/>
    <w:rsid w:val="0050250F"/>
    <w:rsid w:val="00502575"/>
    <w:rsid w:val="00502597"/>
    <w:rsid w:val="005025D1"/>
    <w:rsid w:val="005026BB"/>
    <w:rsid w:val="00502828"/>
    <w:rsid w:val="005028FE"/>
    <w:rsid w:val="005029B7"/>
    <w:rsid w:val="005029DA"/>
    <w:rsid w:val="00502A9D"/>
    <w:rsid w:val="00502AA1"/>
    <w:rsid w:val="00502AA6"/>
    <w:rsid w:val="00502AB7"/>
    <w:rsid w:val="00502AD0"/>
    <w:rsid w:val="00502B21"/>
    <w:rsid w:val="00502B2F"/>
    <w:rsid w:val="00502B68"/>
    <w:rsid w:val="00502C0D"/>
    <w:rsid w:val="00502CCA"/>
    <w:rsid w:val="00502D5D"/>
    <w:rsid w:val="00502DD9"/>
    <w:rsid w:val="00502DF9"/>
    <w:rsid w:val="00502E78"/>
    <w:rsid w:val="00502EC4"/>
    <w:rsid w:val="00502F28"/>
    <w:rsid w:val="00502F82"/>
    <w:rsid w:val="00502FD5"/>
    <w:rsid w:val="0050305F"/>
    <w:rsid w:val="00503093"/>
    <w:rsid w:val="005030BE"/>
    <w:rsid w:val="005030F2"/>
    <w:rsid w:val="0050313E"/>
    <w:rsid w:val="00503160"/>
    <w:rsid w:val="005031C4"/>
    <w:rsid w:val="005032B7"/>
    <w:rsid w:val="005033D1"/>
    <w:rsid w:val="00503520"/>
    <w:rsid w:val="00503526"/>
    <w:rsid w:val="00503557"/>
    <w:rsid w:val="00503688"/>
    <w:rsid w:val="005036A2"/>
    <w:rsid w:val="005036EA"/>
    <w:rsid w:val="0050387C"/>
    <w:rsid w:val="005039A3"/>
    <w:rsid w:val="005039A8"/>
    <w:rsid w:val="00503B15"/>
    <w:rsid w:val="00503B88"/>
    <w:rsid w:val="00503B91"/>
    <w:rsid w:val="00503C45"/>
    <w:rsid w:val="00503C53"/>
    <w:rsid w:val="00503CB0"/>
    <w:rsid w:val="00503D76"/>
    <w:rsid w:val="00503D83"/>
    <w:rsid w:val="00503D85"/>
    <w:rsid w:val="00503EA3"/>
    <w:rsid w:val="00503ECC"/>
    <w:rsid w:val="00503EF9"/>
    <w:rsid w:val="00503EFC"/>
    <w:rsid w:val="00503F07"/>
    <w:rsid w:val="00504010"/>
    <w:rsid w:val="00504057"/>
    <w:rsid w:val="0050407B"/>
    <w:rsid w:val="005041A2"/>
    <w:rsid w:val="00504245"/>
    <w:rsid w:val="00504260"/>
    <w:rsid w:val="00504301"/>
    <w:rsid w:val="0050433C"/>
    <w:rsid w:val="005043D2"/>
    <w:rsid w:val="00504460"/>
    <w:rsid w:val="0050446C"/>
    <w:rsid w:val="005044A1"/>
    <w:rsid w:val="005044B7"/>
    <w:rsid w:val="005044C5"/>
    <w:rsid w:val="005044DB"/>
    <w:rsid w:val="00504551"/>
    <w:rsid w:val="005045D6"/>
    <w:rsid w:val="00504630"/>
    <w:rsid w:val="005047D8"/>
    <w:rsid w:val="0050488E"/>
    <w:rsid w:val="005048B3"/>
    <w:rsid w:val="00504A82"/>
    <w:rsid w:val="00504A9E"/>
    <w:rsid w:val="00504B20"/>
    <w:rsid w:val="00504BBB"/>
    <w:rsid w:val="00504C7F"/>
    <w:rsid w:val="00504C9A"/>
    <w:rsid w:val="00504C9C"/>
    <w:rsid w:val="00504CDD"/>
    <w:rsid w:val="00504D1E"/>
    <w:rsid w:val="00504D61"/>
    <w:rsid w:val="00504F25"/>
    <w:rsid w:val="00504FA2"/>
    <w:rsid w:val="00504FA4"/>
    <w:rsid w:val="00505053"/>
    <w:rsid w:val="0050510D"/>
    <w:rsid w:val="0050530C"/>
    <w:rsid w:val="00505333"/>
    <w:rsid w:val="00505348"/>
    <w:rsid w:val="00505386"/>
    <w:rsid w:val="005053C8"/>
    <w:rsid w:val="0050547E"/>
    <w:rsid w:val="005055BD"/>
    <w:rsid w:val="00505735"/>
    <w:rsid w:val="00505742"/>
    <w:rsid w:val="005057A7"/>
    <w:rsid w:val="0050583A"/>
    <w:rsid w:val="0050586E"/>
    <w:rsid w:val="005058D1"/>
    <w:rsid w:val="005058E5"/>
    <w:rsid w:val="00505911"/>
    <w:rsid w:val="0050591B"/>
    <w:rsid w:val="0050594F"/>
    <w:rsid w:val="00505B50"/>
    <w:rsid w:val="00505B56"/>
    <w:rsid w:val="00505E16"/>
    <w:rsid w:val="00505E50"/>
    <w:rsid w:val="00505E57"/>
    <w:rsid w:val="00505F21"/>
    <w:rsid w:val="00505F58"/>
    <w:rsid w:val="00505F60"/>
    <w:rsid w:val="00505FCA"/>
    <w:rsid w:val="00505FFC"/>
    <w:rsid w:val="00506040"/>
    <w:rsid w:val="005060F7"/>
    <w:rsid w:val="005060FA"/>
    <w:rsid w:val="005061C8"/>
    <w:rsid w:val="00506323"/>
    <w:rsid w:val="00506326"/>
    <w:rsid w:val="00506475"/>
    <w:rsid w:val="005064A9"/>
    <w:rsid w:val="00506549"/>
    <w:rsid w:val="00506586"/>
    <w:rsid w:val="00506628"/>
    <w:rsid w:val="00506685"/>
    <w:rsid w:val="00506695"/>
    <w:rsid w:val="005066C0"/>
    <w:rsid w:val="005066DE"/>
    <w:rsid w:val="00506770"/>
    <w:rsid w:val="00506808"/>
    <w:rsid w:val="0050683D"/>
    <w:rsid w:val="00506852"/>
    <w:rsid w:val="005068F9"/>
    <w:rsid w:val="00506918"/>
    <w:rsid w:val="0050695D"/>
    <w:rsid w:val="0050698A"/>
    <w:rsid w:val="00506A0C"/>
    <w:rsid w:val="00506ABD"/>
    <w:rsid w:val="00506AF5"/>
    <w:rsid w:val="00506B3F"/>
    <w:rsid w:val="00506BFD"/>
    <w:rsid w:val="00506DC9"/>
    <w:rsid w:val="00506E30"/>
    <w:rsid w:val="00506E66"/>
    <w:rsid w:val="00506EC6"/>
    <w:rsid w:val="00506ECA"/>
    <w:rsid w:val="00506ED2"/>
    <w:rsid w:val="00506ED5"/>
    <w:rsid w:val="00506EEA"/>
    <w:rsid w:val="00506F61"/>
    <w:rsid w:val="0050704F"/>
    <w:rsid w:val="00507098"/>
    <w:rsid w:val="00507190"/>
    <w:rsid w:val="0050719F"/>
    <w:rsid w:val="005072BC"/>
    <w:rsid w:val="005073D8"/>
    <w:rsid w:val="005073DB"/>
    <w:rsid w:val="005073EB"/>
    <w:rsid w:val="005074EB"/>
    <w:rsid w:val="00507523"/>
    <w:rsid w:val="00507556"/>
    <w:rsid w:val="0050759D"/>
    <w:rsid w:val="005075F1"/>
    <w:rsid w:val="00507610"/>
    <w:rsid w:val="0050761D"/>
    <w:rsid w:val="0050764C"/>
    <w:rsid w:val="0050769E"/>
    <w:rsid w:val="005077C4"/>
    <w:rsid w:val="005077E0"/>
    <w:rsid w:val="00507857"/>
    <w:rsid w:val="0050789F"/>
    <w:rsid w:val="005078DE"/>
    <w:rsid w:val="0050793B"/>
    <w:rsid w:val="00507958"/>
    <w:rsid w:val="0050798C"/>
    <w:rsid w:val="00507B29"/>
    <w:rsid w:val="00507B6B"/>
    <w:rsid w:val="00507B87"/>
    <w:rsid w:val="00507B95"/>
    <w:rsid w:val="00507B9D"/>
    <w:rsid w:val="00507BA7"/>
    <w:rsid w:val="00507E4D"/>
    <w:rsid w:val="00507E5F"/>
    <w:rsid w:val="00507E86"/>
    <w:rsid w:val="00507F2E"/>
    <w:rsid w:val="00507F3A"/>
    <w:rsid w:val="00507F50"/>
    <w:rsid w:val="00510079"/>
    <w:rsid w:val="0051008A"/>
    <w:rsid w:val="0051009E"/>
    <w:rsid w:val="005100B5"/>
    <w:rsid w:val="005100D1"/>
    <w:rsid w:val="00510115"/>
    <w:rsid w:val="00510157"/>
    <w:rsid w:val="005101C5"/>
    <w:rsid w:val="005102D5"/>
    <w:rsid w:val="005102F4"/>
    <w:rsid w:val="00510334"/>
    <w:rsid w:val="00510368"/>
    <w:rsid w:val="0051043C"/>
    <w:rsid w:val="005104D6"/>
    <w:rsid w:val="005105AB"/>
    <w:rsid w:val="00510607"/>
    <w:rsid w:val="00510737"/>
    <w:rsid w:val="00510831"/>
    <w:rsid w:val="00510839"/>
    <w:rsid w:val="00510846"/>
    <w:rsid w:val="00510873"/>
    <w:rsid w:val="0051095C"/>
    <w:rsid w:val="00510A0C"/>
    <w:rsid w:val="00510A31"/>
    <w:rsid w:val="00510A6F"/>
    <w:rsid w:val="00510AF4"/>
    <w:rsid w:val="00510BA0"/>
    <w:rsid w:val="00510C61"/>
    <w:rsid w:val="00510CB4"/>
    <w:rsid w:val="00510E0A"/>
    <w:rsid w:val="00510E3A"/>
    <w:rsid w:val="00510EF9"/>
    <w:rsid w:val="00510F26"/>
    <w:rsid w:val="00510F97"/>
    <w:rsid w:val="005110E2"/>
    <w:rsid w:val="0051116F"/>
    <w:rsid w:val="0051117D"/>
    <w:rsid w:val="005111C7"/>
    <w:rsid w:val="00511239"/>
    <w:rsid w:val="005112FA"/>
    <w:rsid w:val="0051133E"/>
    <w:rsid w:val="0051140B"/>
    <w:rsid w:val="005114D4"/>
    <w:rsid w:val="0051152B"/>
    <w:rsid w:val="00511634"/>
    <w:rsid w:val="0051167A"/>
    <w:rsid w:val="00511694"/>
    <w:rsid w:val="005116C7"/>
    <w:rsid w:val="005116F9"/>
    <w:rsid w:val="0051178A"/>
    <w:rsid w:val="005117DA"/>
    <w:rsid w:val="00511889"/>
    <w:rsid w:val="005118B3"/>
    <w:rsid w:val="005119D8"/>
    <w:rsid w:val="00511A13"/>
    <w:rsid w:val="00511B0D"/>
    <w:rsid w:val="00511B9C"/>
    <w:rsid w:val="00511BC5"/>
    <w:rsid w:val="00511C02"/>
    <w:rsid w:val="00511CE2"/>
    <w:rsid w:val="00511CE4"/>
    <w:rsid w:val="00511D83"/>
    <w:rsid w:val="00511DE0"/>
    <w:rsid w:val="00511E90"/>
    <w:rsid w:val="00511E94"/>
    <w:rsid w:val="00511F7A"/>
    <w:rsid w:val="00511FC4"/>
    <w:rsid w:val="00512000"/>
    <w:rsid w:val="0051202F"/>
    <w:rsid w:val="005120C1"/>
    <w:rsid w:val="005121D2"/>
    <w:rsid w:val="005121E7"/>
    <w:rsid w:val="00512250"/>
    <w:rsid w:val="00512262"/>
    <w:rsid w:val="0051226C"/>
    <w:rsid w:val="00512270"/>
    <w:rsid w:val="0051232F"/>
    <w:rsid w:val="0051236B"/>
    <w:rsid w:val="00512429"/>
    <w:rsid w:val="00512439"/>
    <w:rsid w:val="0051250E"/>
    <w:rsid w:val="005125E2"/>
    <w:rsid w:val="005125E6"/>
    <w:rsid w:val="00512607"/>
    <w:rsid w:val="00512623"/>
    <w:rsid w:val="005126D8"/>
    <w:rsid w:val="00512754"/>
    <w:rsid w:val="0051295B"/>
    <w:rsid w:val="0051296C"/>
    <w:rsid w:val="00512A8E"/>
    <w:rsid w:val="00512AB3"/>
    <w:rsid w:val="00512B89"/>
    <w:rsid w:val="00512BE1"/>
    <w:rsid w:val="00512D40"/>
    <w:rsid w:val="00512D4E"/>
    <w:rsid w:val="00512EA0"/>
    <w:rsid w:val="00512EAC"/>
    <w:rsid w:val="00512F1F"/>
    <w:rsid w:val="0051304D"/>
    <w:rsid w:val="00513091"/>
    <w:rsid w:val="005130B8"/>
    <w:rsid w:val="005130EF"/>
    <w:rsid w:val="00513236"/>
    <w:rsid w:val="00513279"/>
    <w:rsid w:val="005132FF"/>
    <w:rsid w:val="0051331A"/>
    <w:rsid w:val="0051338B"/>
    <w:rsid w:val="0051339E"/>
    <w:rsid w:val="005133E0"/>
    <w:rsid w:val="00513478"/>
    <w:rsid w:val="0051351B"/>
    <w:rsid w:val="00513543"/>
    <w:rsid w:val="005135CC"/>
    <w:rsid w:val="005135D4"/>
    <w:rsid w:val="005135DA"/>
    <w:rsid w:val="0051368F"/>
    <w:rsid w:val="005136D3"/>
    <w:rsid w:val="00513705"/>
    <w:rsid w:val="005137BB"/>
    <w:rsid w:val="00513878"/>
    <w:rsid w:val="0051387F"/>
    <w:rsid w:val="00513889"/>
    <w:rsid w:val="0051388D"/>
    <w:rsid w:val="005138AB"/>
    <w:rsid w:val="005139D6"/>
    <w:rsid w:val="00513A52"/>
    <w:rsid w:val="00513A61"/>
    <w:rsid w:val="00513B1E"/>
    <w:rsid w:val="00513B21"/>
    <w:rsid w:val="00513C97"/>
    <w:rsid w:val="00513CF5"/>
    <w:rsid w:val="00513D07"/>
    <w:rsid w:val="00513D1A"/>
    <w:rsid w:val="00513E10"/>
    <w:rsid w:val="00513FFB"/>
    <w:rsid w:val="0051411A"/>
    <w:rsid w:val="00514235"/>
    <w:rsid w:val="00514299"/>
    <w:rsid w:val="005142BF"/>
    <w:rsid w:val="005142FF"/>
    <w:rsid w:val="00514322"/>
    <w:rsid w:val="00514371"/>
    <w:rsid w:val="005143F7"/>
    <w:rsid w:val="0051442A"/>
    <w:rsid w:val="00514529"/>
    <w:rsid w:val="0051452A"/>
    <w:rsid w:val="00514537"/>
    <w:rsid w:val="00514547"/>
    <w:rsid w:val="0051463D"/>
    <w:rsid w:val="0051463E"/>
    <w:rsid w:val="0051466D"/>
    <w:rsid w:val="0051466F"/>
    <w:rsid w:val="005146C8"/>
    <w:rsid w:val="00514757"/>
    <w:rsid w:val="00514824"/>
    <w:rsid w:val="00514938"/>
    <w:rsid w:val="00514A2D"/>
    <w:rsid w:val="00514A71"/>
    <w:rsid w:val="00514CC6"/>
    <w:rsid w:val="00514CF2"/>
    <w:rsid w:val="00514D9F"/>
    <w:rsid w:val="00514DCA"/>
    <w:rsid w:val="00514E20"/>
    <w:rsid w:val="00514E9C"/>
    <w:rsid w:val="00514EB0"/>
    <w:rsid w:val="00514ECE"/>
    <w:rsid w:val="00514FB2"/>
    <w:rsid w:val="0051500E"/>
    <w:rsid w:val="0051503C"/>
    <w:rsid w:val="00515042"/>
    <w:rsid w:val="005150EF"/>
    <w:rsid w:val="00515129"/>
    <w:rsid w:val="00515167"/>
    <w:rsid w:val="00515168"/>
    <w:rsid w:val="005151A4"/>
    <w:rsid w:val="0051529A"/>
    <w:rsid w:val="005152BA"/>
    <w:rsid w:val="0051532E"/>
    <w:rsid w:val="0051539E"/>
    <w:rsid w:val="00515435"/>
    <w:rsid w:val="005154F5"/>
    <w:rsid w:val="0051552E"/>
    <w:rsid w:val="00515559"/>
    <w:rsid w:val="005155C3"/>
    <w:rsid w:val="0051568A"/>
    <w:rsid w:val="005157F8"/>
    <w:rsid w:val="005158A8"/>
    <w:rsid w:val="00515911"/>
    <w:rsid w:val="00515912"/>
    <w:rsid w:val="00515B71"/>
    <w:rsid w:val="00515B94"/>
    <w:rsid w:val="00515BC9"/>
    <w:rsid w:val="00515BF6"/>
    <w:rsid w:val="00515C55"/>
    <w:rsid w:val="00515D9F"/>
    <w:rsid w:val="00515E80"/>
    <w:rsid w:val="00515EFA"/>
    <w:rsid w:val="00515F50"/>
    <w:rsid w:val="00516009"/>
    <w:rsid w:val="0051605E"/>
    <w:rsid w:val="00516087"/>
    <w:rsid w:val="0051623A"/>
    <w:rsid w:val="0051625B"/>
    <w:rsid w:val="00516317"/>
    <w:rsid w:val="00516395"/>
    <w:rsid w:val="005164E4"/>
    <w:rsid w:val="00516622"/>
    <w:rsid w:val="00516678"/>
    <w:rsid w:val="0051670F"/>
    <w:rsid w:val="00516725"/>
    <w:rsid w:val="0051673C"/>
    <w:rsid w:val="00516785"/>
    <w:rsid w:val="0051680A"/>
    <w:rsid w:val="0051696E"/>
    <w:rsid w:val="00516AE7"/>
    <w:rsid w:val="00516AF1"/>
    <w:rsid w:val="00516B8C"/>
    <w:rsid w:val="00516B9C"/>
    <w:rsid w:val="00516BC4"/>
    <w:rsid w:val="00516CB4"/>
    <w:rsid w:val="00516CDD"/>
    <w:rsid w:val="00516D3A"/>
    <w:rsid w:val="00516D71"/>
    <w:rsid w:val="00516ED7"/>
    <w:rsid w:val="00516EE1"/>
    <w:rsid w:val="00516F4E"/>
    <w:rsid w:val="00516FFD"/>
    <w:rsid w:val="00517127"/>
    <w:rsid w:val="00517195"/>
    <w:rsid w:val="00517224"/>
    <w:rsid w:val="005172BF"/>
    <w:rsid w:val="00517378"/>
    <w:rsid w:val="005173CD"/>
    <w:rsid w:val="005174E3"/>
    <w:rsid w:val="00517540"/>
    <w:rsid w:val="005175ED"/>
    <w:rsid w:val="0051773E"/>
    <w:rsid w:val="005177B0"/>
    <w:rsid w:val="00517838"/>
    <w:rsid w:val="00517964"/>
    <w:rsid w:val="00517A79"/>
    <w:rsid w:val="00517AEE"/>
    <w:rsid w:val="00517B53"/>
    <w:rsid w:val="00517B7E"/>
    <w:rsid w:val="00517BF5"/>
    <w:rsid w:val="00517CB1"/>
    <w:rsid w:val="00517CBA"/>
    <w:rsid w:val="00517D0E"/>
    <w:rsid w:val="00517F42"/>
    <w:rsid w:val="00517F6E"/>
    <w:rsid w:val="00517FAD"/>
    <w:rsid w:val="00517FFA"/>
    <w:rsid w:val="0052017F"/>
    <w:rsid w:val="00520252"/>
    <w:rsid w:val="005202E2"/>
    <w:rsid w:val="00520404"/>
    <w:rsid w:val="00520488"/>
    <w:rsid w:val="005204C7"/>
    <w:rsid w:val="005204DE"/>
    <w:rsid w:val="0052051E"/>
    <w:rsid w:val="00520541"/>
    <w:rsid w:val="00520638"/>
    <w:rsid w:val="0052074A"/>
    <w:rsid w:val="00520846"/>
    <w:rsid w:val="00520858"/>
    <w:rsid w:val="0052086E"/>
    <w:rsid w:val="005208ED"/>
    <w:rsid w:val="00520A3B"/>
    <w:rsid w:val="00520A87"/>
    <w:rsid w:val="00520B13"/>
    <w:rsid w:val="00520B5E"/>
    <w:rsid w:val="00520BB8"/>
    <w:rsid w:val="00520CF3"/>
    <w:rsid w:val="00520D21"/>
    <w:rsid w:val="00520E3E"/>
    <w:rsid w:val="00520E7B"/>
    <w:rsid w:val="005210F2"/>
    <w:rsid w:val="0052118D"/>
    <w:rsid w:val="005211F6"/>
    <w:rsid w:val="00521262"/>
    <w:rsid w:val="0052128F"/>
    <w:rsid w:val="0052142D"/>
    <w:rsid w:val="00521459"/>
    <w:rsid w:val="00521478"/>
    <w:rsid w:val="00521494"/>
    <w:rsid w:val="005214BD"/>
    <w:rsid w:val="005214C6"/>
    <w:rsid w:val="00521545"/>
    <w:rsid w:val="00521634"/>
    <w:rsid w:val="005216D0"/>
    <w:rsid w:val="00521707"/>
    <w:rsid w:val="0052179B"/>
    <w:rsid w:val="00521816"/>
    <w:rsid w:val="00521834"/>
    <w:rsid w:val="005219D4"/>
    <w:rsid w:val="00521B00"/>
    <w:rsid w:val="00521BDC"/>
    <w:rsid w:val="00521BF7"/>
    <w:rsid w:val="00521CF1"/>
    <w:rsid w:val="00521DE1"/>
    <w:rsid w:val="00521F14"/>
    <w:rsid w:val="00521F3A"/>
    <w:rsid w:val="00521F45"/>
    <w:rsid w:val="0052203F"/>
    <w:rsid w:val="0052206E"/>
    <w:rsid w:val="005220BF"/>
    <w:rsid w:val="00522127"/>
    <w:rsid w:val="005221B4"/>
    <w:rsid w:val="005221BA"/>
    <w:rsid w:val="00522220"/>
    <w:rsid w:val="005222F7"/>
    <w:rsid w:val="00522361"/>
    <w:rsid w:val="00522490"/>
    <w:rsid w:val="005224E9"/>
    <w:rsid w:val="00522500"/>
    <w:rsid w:val="005226C5"/>
    <w:rsid w:val="005227E9"/>
    <w:rsid w:val="005228D3"/>
    <w:rsid w:val="00522928"/>
    <w:rsid w:val="005229A3"/>
    <w:rsid w:val="00522AB3"/>
    <w:rsid w:val="00522AB7"/>
    <w:rsid w:val="00522B19"/>
    <w:rsid w:val="00522B30"/>
    <w:rsid w:val="00522BDC"/>
    <w:rsid w:val="00522BDD"/>
    <w:rsid w:val="00522C27"/>
    <w:rsid w:val="00522C38"/>
    <w:rsid w:val="00522C45"/>
    <w:rsid w:val="00522CD1"/>
    <w:rsid w:val="00522D77"/>
    <w:rsid w:val="00522DE6"/>
    <w:rsid w:val="00522E2B"/>
    <w:rsid w:val="00522E3C"/>
    <w:rsid w:val="0052308C"/>
    <w:rsid w:val="005230D7"/>
    <w:rsid w:val="005231FE"/>
    <w:rsid w:val="0052339D"/>
    <w:rsid w:val="005233F4"/>
    <w:rsid w:val="0052352C"/>
    <w:rsid w:val="005235A8"/>
    <w:rsid w:val="00523663"/>
    <w:rsid w:val="005237A1"/>
    <w:rsid w:val="005237AD"/>
    <w:rsid w:val="005238E9"/>
    <w:rsid w:val="00523A29"/>
    <w:rsid w:val="00523A9F"/>
    <w:rsid w:val="00523AEF"/>
    <w:rsid w:val="00523C83"/>
    <w:rsid w:val="00523D0E"/>
    <w:rsid w:val="00523D10"/>
    <w:rsid w:val="00523D62"/>
    <w:rsid w:val="00523D8B"/>
    <w:rsid w:val="00523D9D"/>
    <w:rsid w:val="00523E32"/>
    <w:rsid w:val="00523ED3"/>
    <w:rsid w:val="00523F5F"/>
    <w:rsid w:val="00524009"/>
    <w:rsid w:val="0052419D"/>
    <w:rsid w:val="005241CF"/>
    <w:rsid w:val="005241F8"/>
    <w:rsid w:val="00524269"/>
    <w:rsid w:val="00524319"/>
    <w:rsid w:val="0052432A"/>
    <w:rsid w:val="00524366"/>
    <w:rsid w:val="0052437C"/>
    <w:rsid w:val="005243EE"/>
    <w:rsid w:val="005243FC"/>
    <w:rsid w:val="005244C5"/>
    <w:rsid w:val="00524542"/>
    <w:rsid w:val="00524625"/>
    <w:rsid w:val="005247CA"/>
    <w:rsid w:val="005248F5"/>
    <w:rsid w:val="0052498A"/>
    <w:rsid w:val="00524ABB"/>
    <w:rsid w:val="00524B58"/>
    <w:rsid w:val="00524C8F"/>
    <w:rsid w:val="00524DEB"/>
    <w:rsid w:val="00524E32"/>
    <w:rsid w:val="00524E8B"/>
    <w:rsid w:val="00524E97"/>
    <w:rsid w:val="00524EF4"/>
    <w:rsid w:val="00524EFD"/>
    <w:rsid w:val="00524F05"/>
    <w:rsid w:val="00524F76"/>
    <w:rsid w:val="00524F8B"/>
    <w:rsid w:val="00525120"/>
    <w:rsid w:val="005251C8"/>
    <w:rsid w:val="00525234"/>
    <w:rsid w:val="005252CD"/>
    <w:rsid w:val="005253A1"/>
    <w:rsid w:val="005253CD"/>
    <w:rsid w:val="005253EE"/>
    <w:rsid w:val="005254F3"/>
    <w:rsid w:val="005255BF"/>
    <w:rsid w:val="00525687"/>
    <w:rsid w:val="0052568F"/>
    <w:rsid w:val="00525733"/>
    <w:rsid w:val="005257C8"/>
    <w:rsid w:val="00525828"/>
    <w:rsid w:val="00525838"/>
    <w:rsid w:val="005258BA"/>
    <w:rsid w:val="005258E1"/>
    <w:rsid w:val="005259F8"/>
    <w:rsid w:val="00525B57"/>
    <w:rsid w:val="00525BD8"/>
    <w:rsid w:val="00525CB9"/>
    <w:rsid w:val="00525CD4"/>
    <w:rsid w:val="00525CF8"/>
    <w:rsid w:val="00525D7A"/>
    <w:rsid w:val="00525E4F"/>
    <w:rsid w:val="00525E52"/>
    <w:rsid w:val="00525F24"/>
    <w:rsid w:val="00526061"/>
    <w:rsid w:val="0052610E"/>
    <w:rsid w:val="00526228"/>
    <w:rsid w:val="0052630B"/>
    <w:rsid w:val="0052634E"/>
    <w:rsid w:val="00526381"/>
    <w:rsid w:val="005263AF"/>
    <w:rsid w:val="00526434"/>
    <w:rsid w:val="0052645A"/>
    <w:rsid w:val="005264AA"/>
    <w:rsid w:val="005264DA"/>
    <w:rsid w:val="005264E9"/>
    <w:rsid w:val="0052654E"/>
    <w:rsid w:val="00526669"/>
    <w:rsid w:val="005266BC"/>
    <w:rsid w:val="005266D7"/>
    <w:rsid w:val="005267E8"/>
    <w:rsid w:val="00526807"/>
    <w:rsid w:val="00526849"/>
    <w:rsid w:val="0052684B"/>
    <w:rsid w:val="00526864"/>
    <w:rsid w:val="005268C0"/>
    <w:rsid w:val="005268CE"/>
    <w:rsid w:val="005268FE"/>
    <w:rsid w:val="005269DF"/>
    <w:rsid w:val="005269F2"/>
    <w:rsid w:val="005269FF"/>
    <w:rsid w:val="00526A9F"/>
    <w:rsid w:val="00526AD5"/>
    <w:rsid w:val="00526BBC"/>
    <w:rsid w:val="00526D02"/>
    <w:rsid w:val="00526D48"/>
    <w:rsid w:val="00526D62"/>
    <w:rsid w:val="00526D86"/>
    <w:rsid w:val="00526E3B"/>
    <w:rsid w:val="00526E4C"/>
    <w:rsid w:val="00526E68"/>
    <w:rsid w:val="00526ECA"/>
    <w:rsid w:val="00526ED8"/>
    <w:rsid w:val="00526F4E"/>
    <w:rsid w:val="00526FBF"/>
    <w:rsid w:val="0052703C"/>
    <w:rsid w:val="00527068"/>
    <w:rsid w:val="00527078"/>
    <w:rsid w:val="005270B7"/>
    <w:rsid w:val="00527103"/>
    <w:rsid w:val="00527167"/>
    <w:rsid w:val="00527215"/>
    <w:rsid w:val="00527265"/>
    <w:rsid w:val="00527328"/>
    <w:rsid w:val="0052747A"/>
    <w:rsid w:val="005274AB"/>
    <w:rsid w:val="00527527"/>
    <w:rsid w:val="00527531"/>
    <w:rsid w:val="00527579"/>
    <w:rsid w:val="00527588"/>
    <w:rsid w:val="005276EB"/>
    <w:rsid w:val="0052782F"/>
    <w:rsid w:val="00527860"/>
    <w:rsid w:val="00527939"/>
    <w:rsid w:val="00527952"/>
    <w:rsid w:val="005279E9"/>
    <w:rsid w:val="00527A3C"/>
    <w:rsid w:val="00527A47"/>
    <w:rsid w:val="00527AA0"/>
    <w:rsid w:val="00527B1C"/>
    <w:rsid w:val="00527B7E"/>
    <w:rsid w:val="00527C24"/>
    <w:rsid w:val="00527C7E"/>
    <w:rsid w:val="00527CCA"/>
    <w:rsid w:val="00527CE0"/>
    <w:rsid w:val="00527D3C"/>
    <w:rsid w:val="00527DF3"/>
    <w:rsid w:val="00527E06"/>
    <w:rsid w:val="00527E0F"/>
    <w:rsid w:val="00527EC1"/>
    <w:rsid w:val="00527F1C"/>
    <w:rsid w:val="00527FB8"/>
    <w:rsid w:val="00527FFE"/>
    <w:rsid w:val="005300F7"/>
    <w:rsid w:val="0053016A"/>
    <w:rsid w:val="005301F8"/>
    <w:rsid w:val="00530221"/>
    <w:rsid w:val="0053023D"/>
    <w:rsid w:val="0053042A"/>
    <w:rsid w:val="0053054A"/>
    <w:rsid w:val="0053054E"/>
    <w:rsid w:val="00530670"/>
    <w:rsid w:val="0053071D"/>
    <w:rsid w:val="0053096F"/>
    <w:rsid w:val="00530A17"/>
    <w:rsid w:val="00530A4F"/>
    <w:rsid w:val="00530ABB"/>
    <w:rsid w:val="00530B28"/>
    <w:rsid w:val="00530B4A"/>
    <w:rsid w:val="00530B5F"/>
    <w:rsid w:val="00530B6A"/>
    <w:rsid w:val="00530B9A"/>
    <w:rsid w:val="00530BBA"/>
    <w:rsid w:val="00530BE5"/>
    <w:rsid w:val="00530C2D"/>
    <w:rsid w:val="00530CC4"/>
    <w:rsid w:val="00530EB2"/>
    <w:rsid w:val="00530EE2"/>
    <w:rsid w:val="00531020"/>
    <w:rsid w:val="0053105C"/>
    <w:rsid w:val="00531096"/>
    <w:rsid w:val="005310DB"/>
    <w:rsid w:val="00531132"/>
    <w:rsid w:val="005311AA"/>
    <w:rsid w:val="005312FC"/>
    <w:rsid w:val="0053138F"/>
    <w:rsid w:val="005313DA"/>
    <w:rsid w:val="00531458"/>
    <w:rsid w:val="00531463"/>
    <w:rsid w:val="005314BF"/>
    <w:rsid w:val="00531539"/>
    <w:rsid w:val="005315F9"/>
    <w:rsid w:val="00531603"/>
    <w:rsid w:val="00531611"/>
    <w:rsid w:val="0053176D"/>
    <w:rsid w:val="005317BB"/>
    <w:rsid w:val="00531889"/>
    <w:rsid w:val="00531A72"/>
    <w:rsid w:val="00531AA0"/>
    <w:rsid w:val="00531B80"/>
    <w:rsid w:val="00531CAB"/>
    <w:rsid w:val="00531D7F"/>
    <w:rsid w:val="00531DA6"/>
    <w:rsid w:val="00531FDF"/>
    <w:rsid w:val="00531FF2"/>
    <w:rsid w:val="005321DD"/>
    <w:rsid w:val="00532233"/>
    <w:rsid w:val="00532239"/>
    <w:rsid w:val="005322AF"/>
    <w:rsid w:val="00532354"/>
    <w:rsid w:val="00532478"/>
    <w:rsid w:val="00532546"/>
    <w:rsid w:val="00532574"/>
    <w:rsid w:val="005325AE"/>
    <w:rsid w:val="005325D7"/>
    <w:rsid w:val="00532647"/>
    <w:rsid w:val="0053264E"/>
    <w:rsid w:val="00532729"/>
    <w:rsid w:val="00532783"/>
    <w:rsid w:val="005327C5"/>
    <w:rsid w:val="00532820"/>
    <w:rsid w:val="0053284F"/>
    <w:rsid w:val="005329BC"/>
    <w:rsid w:val="00532B30"/>
    <w:rsid w:val="00532B44"/>
    <w:rsid w:val="00532BEA"/>
    <w:rsid w:val="00532C6D"/>
    <w:rsid w:val="00532CBD"/>
    <w:rsid w:val="00532D1F"/>
    <w:rsid w:val="00532E14"/>
    <w:rsid w:val="00532ED6"/>
    <w:rsid w:val="00532F2A"/>
    <w:rsid w:val="00532FDC"/>
    <w:rsid w:val="0053303D"/>
    <w:rsid w:val="0053303F"/>
    <w:rsid w:val="005330B3"/>
    <w:rsid w:val="00533165"/>
    <w:rsid w:val="0053317E"/>
    <w:rsid w:val="005332A1"/>
    <w:rsid w:val="005332FE"/>
    <w:rsid w:val="0053337E"/>
    <w:rsid w:val="005333CA"/>
    <w:rsid w:val="0053344E"/>
    <w:rsid w:val="0053348A"/>
    <w:rsid w:val="005334BA"/>
    <w:rsid w:val="00533616"/>
    <w:rsid w:val="00533684"/>
    <w:rsid w:val="0053382C"/>
    <w:rsid w:val="00533900"/>
    <w:rsid w:val="00533937"/>
    <w:rsid w:val="00533958"/>
    <w:rsid w:val="00533983"/>
    <w:rsid w:val="005339CD"/>
    <w:rsid w:val="00533A14"/>
    <w:rsid w:val="00533ADC"/>
    <w:rsid w:val="00533B24"/>
    <w:rsid w:val="00533C4B"/>
    <w:rsid w:val="00533CB0"/>
    <w:rsid w:val="00533CF1"/>
    <w:rsid w:val="00533D07"/>
    <w:rsid w:val="00533E17"/>
    <w:rsid w:val="00533E56"/>
    <w:rsid w:val="00533EC2"/>
    <w:rsid w:val="00533ED5"/>
    <w:rsid w:val="00533F7D"/>
    <w:rsid w:val="00534088"/>
    <w:rsid w:val="00534099"/>
    <w:rsid w:val="00534117"/>
    <w:rsid w:val="0053411F"/>
    <w:rsid w:val="00534161"/>
    <w:rsid w:val="0053418F"/>
    <w:rsid w:val="0053419E"/>
    <w:rsid w:val="00534352"/>
    <w:rsid w:val="00534373"/>
    <w:rsid w:val="005343E9"/>
    <w:rsid w:val="005344F6"/>
    <w:rsid w:val="0053457B"/>
    <w:rsid w:val="0053458E"/>
    <w:rsid w:val="0053462F"/>
    <w:rsid w:val="005347BF"/>
    <w:rsid w:val="005347D8"/>
    <w:rsid w:val="005347F4"/>
    <w:rsid w:val="0053482C"/>
    <w:rsid w:val="0053482D"/>
    <w:rsid w:val="00534891"/>
    <w:rsid w:val="005348E1"/>
    <w:rsid w:val="00534970"/>
    <w:rsid w:val="0053498C"/>
    <w:rsid w:val="005349D7"/>
    <w:rsid w:val="005349F5"/>
    <w:rsid w:val="00534A6C"/>
    <w:rsid w:val="00534AEC"/>
    <w:rsid w:val="00534B3B"/>
    <w:rsid w:val="00534BBA"/>
    <w:rsid w:val="00534CF9"/>
    <w:rsid w:val="00534D89"/>
    <w:rsid w:val="00534DBC"/>
    <w:rsid w:val="00534DC1"/>
    <w:rsid w:val="00534E04"/>
    <w:rsid w:val="00534EC6"/>
    <w:rsid w:val="00534EF4"/>
    <w:rsid w:val="00534F30"/>
    <w:rsid w:val="00534F49"/>
    <w:rsid w:val="00535064"/>
    <w:rsid w:val="005350B1"/>
    <w:rsid w:val="00535109"/>
    <w:rsid w:val="00535114"/>
    <w:rsid w:val="005351B5"/>
    <w:rsid w:val="005351FA"/>
    <w:rsid w:val="0053521E"/>
    <w:rsid w:val="00535257"/>
    <w:rsid w:val="0053526E"/>
    <w:rsid w:val="005352D2"/>
    <w:rsid w:val="005352E2"/>
    <w:rsid w:val="0053539A"/>
    <w:rsid w:val="0053540A"/>
    <w:rsid w:val="0053544D"/>
    <w:rsid w:val="00535489"/>
    <w:rsid w:val="00535546"/>
    <w:rsid w:val="005355AD"/>
    <w:rsid w:val="005355C9"/>
    <w:rsid w:val="005355F2"/>
    <w:rsid w:val="0053564A"/>
    <w:rsid w:val="0053569E"/>
    <w:rsid w:val="005356ED"/>
    <w:rsid w:val="005357AB"/>
    <w:rsid w:val="00535802"/>
    <w:rsid w:val="005359B5"/>
    <w:rsid w:val="005359DC"/>
    <w:rsid w:val="00535A22"/>
    <w:rsid w:val="00535A60"/>
    <w:rsid w:val="00535A7B"/>
    <w:rsid w:val="00535AA7"/>
    <w:rsid w:val="00535AED"/>
    <w:rsid w:val="00535B05"/>
    <w:rsid w:val="00535B5B"/>
    <w:rsid w:val="00535C0E"/>
    <w:rsid w:val="00535C8C"/>
    <w:rsid w:val="00535C9C"/>
    <w:rsid w:val="00535D14"/>
    <w:rsid w:val="00535D42"/>
    <w:rsid w:val="00535DB9"/>
    <w:rsid w:val="00535E27"/>
    <w:rsid w:val="00535E65"/>
    <w:rsid w:val="00535EE2"/>
    <w:rsid w:val="00535F3C"/>
    <w:rsid w:val="0053603D"/>
    <w:rsid w:val="00536041"/>
    <w:rsid w:val="0053605D"/>
    <w:rsid w:val="0053607A"/>
    <w:rsid w:val="005360B7"/>
    <w:rsid w:val="0053617C"/>
    <w:rsid w:val="00536270"/>
    <w:rsid w:val="00536277"/>
    <w:rsid w:val="005362BE"/>
    <w:rsid w:val="00536312"/>
    <w:rsid w:val="00536313"/>
    <w:rsid w:val="0053633F"/>
    <w:rsid w:val="005363AE"/>
    <w:rsid w:val="0053646F"/>
    <w:rsid w:val="005364D0"/>
    <w:rsid w:val="00536504"/>
    <w:rsid w:val="005365AB"/>
    <w:rsid w:val="005365CC"/>
    <w:rsid w:val="00536610"/>
    <w:rsid w:val="00536616"/>
    <w:rsid w:val="00536627"/>
    <w:rsid w:val="00536649"/>
    <w:rsid w:val="00536749"/>
    <w:rsid w:val="00536778"/>
    <w:rsid w:val="00536786"/>
    <w:rsid w:val="0053685D"/>
    <w:rsid w:val="0053694C"/>
    <w:rsid w:val="005369A4"/>
    <w:rsid w:val="005369D3"/>
    <w:rsid w:val="005369DE"/>
    <w:rsid w:val="00536A13"/>
    <w:rsid w:val="00536BC0"/>
    <w:rsid w:val="00536BE3"/>
    <w:rsid w:val="00536D89"/>
    <w:rsid w:val="00536DD3"/>
    <w:rsid w:val="00536ECC"/>
    <w:rsid w:val="005370D8"/>
    <w:rsid w:val="005370F9"/>
    <w:rsid w:val="0053722C"/>
    <w:rsid w:val="00537300"/>
    <w:rsid w:val="005373B5"/>
    <w:rsid w:val="005373B6"/>
    <w:rsid w:val="005373BF"/>
    <w:rsid w:val="005373C5"/>
    <w:rsid w:val="005373F1"/>
    <w:rsid w:val="0053742A"/>
    <w:rsid w:val="00537494"/>
    <w:rsid w:val="005374CE"/>
    <w:rsid w:val="00537558"/>
    <w:rsid w:val="00537683"/>
    <w:rsid w:val="00537739"/>
    <w:rsid w:val="0053775A"/>
    <w:rsid w:val="005377AB"/>
    <w:rsid w:val="00537861"/>
    <w:rsid w:val="0053790F"/>
    <w:rsid w:val="00537964"/>
    <w:rsid w:val="00537973"/>
    <w:rsid w:val="00537A6D"/>
    <w:rsid w:val="00537B12"/>
    <w:rsid w:val="00537BBB"/>
    <w:rsid w:val="00537BC5"/>
    <w:rsid w:val="00537C85"/>
    <w:rsid w:val="00537CFB"/>
    <w:rsid w:val="00537D0B"/>
    <w:rsid w:val="00537ED8"/>
    <w:rsid w:val="00537F01"/>
    <w:rsid w:val="00537FB7"/>
    <w:rsid w:val="00540049"/>
    <w:rsid w:val="00540088"/>
    <w:rsid w:val="00540248"/>
    <w:rsid w:val="0054026A"/>
    <w:rsid w:val="0054036A"/>
    <w:rsid w:val="005404B9"/>
    <w:rsid w:val="00540521"/>
    <w:rsid w:val="005405D5"/>
    <w:rsid w:val="0054071D"/>
    <w:rsid w:val="00540831"/>
    <w:rsid w:val="005408BA"/>
    <w:rsid w:val="005408E2"/>
    <w:rsid w:val="0054093B"/>
    <w:rsid w:val="005409B8"/>
    <w:rsid w:val="00540A8F"/>
    <w:rsid w:val="00540A96"/>
    <w:rsid w:val="00540B8B"/>
    <w:rsid w:val="00540C4B"/>
    <w:rsid w:val="00540CB4"/>
    <w:rsid w:val="00540CE9"/>
    <w:rsid w:val="00540D49"/>
    <w:rsid w:val="00540DAF"/>
    <w:rsid w:val="00540E7A"/>
    <w:rsid w:val="00540E9B"/>
    <w:rsid w:val="00540ED0"/>
    <w:rsid w:val="00541000"/>
    <w:rsid w:val="0054103F"/>
    <w:rsid w:val="005410E8"/>
    <w:rsid w:val="0054112B"/>
    <w:rsid w:val="00541172"/>
    <w:rsid w:val="00541187"/>
    <w:rsid w:val="0054118A"/>
    <w:rsid w:val="005411B8"/>
    <w:rsid w:val="005411E5"/>
    <w:rsid w:val="00541332"/>
    <w:rsid w:val="00541356"/>
    <w:rsid w:val="00541447"/>
    <w:rsid w:val="0054147A"/>
    <w:rsid w:val="0054150F"/>
    <w:rsid w:val="005415CC"/>
    <w:rsid w:val="005415FD"/>
    <w:rsid w:val="00541810"/>
    <w:rsid w:val="005418E3"/>
    <w:rsid w:val="00541909"/>
    <w:rsid w:val="00541949"/>
    <w:rsid w:val="005419D4"/>
    <w:rsid w:val="00541A15"/>
    <w:rsid w:val="00541A3A"/>
    <w:rsid w:val="00541ABB"/>
    <w:rsid w:val="00541C1F"/>
    <w:rsid w:val="00541C48"/>
    <w:rsid w:val="00541C77"/>
    <w:rsid w:val="00541D17"/>
    <w:rsid w:val="00541D29"/>
    <w:rsid w:val="00541D81"/>
    <w:rsid w:val="00541DDC"/>
    <w:rsid w:val="00541F4B"/>
    <w:rsid w:val="00541F9E"/>
    <w:rsid w:val="0054208A"/>
    <w:rsid w:val="005420A6"/>
    <w:rsid w:val="005420B6"/>
    <w:rsid w:val="00542124"/>
    <w:rsid w:val="00542286"/>
    <w:rsid w:val="005422D8"/>
    <w:rsid w:val="00542357"/>
    <w:rsid w:val="00542367"/>
    <w:rsid w:val="00542606"/>
    <w:rsid w:val="0054265C"/>
    <w:rsid w:val="005426A5"/>
    <w:rsid w:val="005426DD"/>
    <w:rsid w:val="005427CA"/>
    <w:rsid w:val="00542804"/>
    <w:rsid w:val="005428AA"/>
    <w:rsid w:val="005429B7"/>
    <w:rsid w:val="00542A41"/>
    <w:rsid w:val="00542A6F"/>
    <w:rsid w:val="00542A8B"/>
    <w:rsid w:val="00542B59"/>
    <w:rsid w:val="00542C0E"/>
    <w:rsid w:val="00542C1D"/>
    <w:rsid w:val="00542C4E"/>
    <w:rsid w:val="00542CBA"/>
    <w:rsid w:val="00542D92"/>
    <w:rsid w:val="00542DD8"/>
    <w:rsid w:val="00542EE3"/>
    <w:rsid w:val="00542F0B"/>
    <w:rsid w:val="00542F5D"/>
    <w:rsid w:val="00542F64"/>
    <w:rsid w:val="0054300F"/>
    <w:rsid w:val="0054302B"/>
    <w:rsid w:val="0054303D"/>
    <w:rsid w:val="005430C3"/>
    <w:rsid w:val="00543111"/>
    <w:rsid w:val="00543175"/>
    <w:rsid w:val="005431C4"/>
    <w:rsid w:val="0054323D"/>
    <w:rsid w:val="005432A1"/>
    <w:rsid w:val="005432CF"/>
    <w:rsid w:val="005433E5"/>
    <w:rsid w:val="005434AF"/>
    <w:rsid w:val="00543564"/>
    <w:rsid w:val="00543747"/>
    <w:rsid w:val="005438A7"/>
    <w:rsid w:val="005438EC"/>
    <w:rsid w:val="0054391D"/>
    <w:rsid w:val="005439C7"/>
    <w:rsid w:val="005439EE"/>
    <w:rsid w:val="00543B11"/>
    <w:rsid w:val="00543BF8"/>
    <w:rsid w:val="00543C93"/>
    <w:rsid w:val="00543D51"/>
    <w:rsid w:val="00543DD9"/>
    <w:rsid w:val="00543E3B"/>
    <w:rsid w:val="00543ECC"/>
    <w:rsid w:val="00543F23"/>
    <w:rsid w:val="00543FD0"/>
    <w:rsid w:val="0054403D"/>
    <w:rsid w:val="005440BB"/>
    <w:rsid w:val="00544135"/>
    <w:rsid w:val="005441AF"/>
    <w:rsid w:val="00544259"/>
    <w:rsid w:val="00544263"/>
    <w:rsid w:val="00544272"/>
    <w:rsid w:val="0054428F"/>
    <w:rsid w:val="0054438C"/>
    <w:rsid w:val="005443C8"/>
    <w:rsid w:val="005443DF"/>
    <w:rsid w:val="005443F7"/>
    <w:rsid w:val="005444BA"/>
    <w:rsid w:val="00544506"/>
    <w:rsid w:val="0054450E"/>
    <w:rsid w:val="0054462D"/>
    <w:rsid w:val="005446ED"/>
    <w:rsid w:val="0054470E"/>
    <w:rsid w:val="00544729"/>
    <w:rsid w:val="0054475D"/>
    <w:rsid w:val="0054493D"/>
    <w:rsid w:val="00544964"/>
    <w:rsid w:val="0054496B"/>
    <w:rsid w:val="00544BE6"/>
    <w:rsid w:val="00544CC4"/>
    <w:rsid w:val="00544CE3"/>
    <w:rsid w:val="00544D06"/>
    <w:rsid w:val="00544D9B"/>
    <w:rsid w:val="00544DD3"/>
    <w:rsid w:val="00544E0F"/>
    <w:rsid w:val="00544E73"/>
    <w:rsid w:val="00544E7D"/>
    <w:rsid w:val="00544F39"/>
    <w:rsid w:val="00544F43"/>
    <w:rsid w:val="00544FC9"/>
    <w:rsid w:val="00544FDC"/>
    <w:rsid w:val="00545019"/>
    <w:rsid w:val="0054502C"/>
    <w:rsid w:val="00545086"/>
    <w:rsid w:val="00545098"/>
    <w:rsid w:val="00545130"/>
    <w:rsid w:val="00545185"/>
    <w:rsid w:val="00545193"/>
    <w:rsid w:val="00545233"/>
    <w:rsid w:val="00545286"/>
    <w:rsid w:val="00545294"/>
    <w:rsid w:val="005452BE"/>
    <w:rsid w:val="005452FE"/>
    <w:rsid w:val="00545379"/>
    <w:rsid w:val="005453A5"/>
    <w:rsid w:val="00545545"/>
    <w:rsid w:val="00545570"/>
    <w:rsid w:val="005455B0"/>
    <w:rsid w:val="005455B1"/>
    <w:rsid w:val="00545653"/>
    <w:rsid w:val="0054566F"/>
    <w:rsid w:val="005456BB"/>
    <w:rsid w:val="00545778"/>
    <w:rsid w:val="005457CA"/>
    <w:rsid w:val="00545839"/>
    <w:rsid w:val="005458D2"/>
    <w:rsid w:val="00545940"/>
    <w:rsid w:val="005459C4"/>
    <w:rsid w:val="00545A71"/>
    <w:rsid w:val="00545ABE"/>
    <w:rsid w:val="00545AD1"/>
    <w:rsid w:val="00545AF6"/>
    <w:rsid w:val="00545BDD"/>
    <w:rsid w:val="00545C50"/>
    <w:rsid w:val="00545C70"/>
    <w:rsid w:val="00545DA8"/>
    <w:rsid w:val="00545DFE"/>
    <w:rsid w:val="00545E35"/>
    <w:rsid w:val="00545F55"/>
    <w:rsid w:val="005460E7"/>
    <w:rsid w:val="00546190"/>
    <w:rsid w:val="00546201"/>
    <w:rsid w:val="00546352"/>
    <w:rsid w:val="005463EC"/>
    <w:rsid w:val="0054641B"/>
    <w:rsid w:val="00546491"/>
    <w:rsid w:val="005465D5"/>
    <w:rsid w:val="005465FD"/>
    <w:rsid w:val="00546671"/>
    <w:rsid w:val="0054669F"/>
    <w:rsid w:val="00546711"/>
    <w:rsid w:val="00546723"/>
    <w:rsid w:val="005469D4"/>
    <w:rsid w:val="00546AAE"/>
    <w:rsid w:val="00546B2C"/>
    <w:rsid w:val="00546BA7"/>
    <w:rsid w:val="00546C42"/>
    <w:rsid w:val="00546C67"/>
    <w:rsid w:val="00546CA8"/>
    <w:rsid w:val="00546CEA"/>
    <w:rsid w:val="00546D28"/>
    <w:rsid w:val="00546DE4"/>
    <w:rsid w:val="00546E6E"/>
    <w:rsid w:val="00546ECD"/>
    <w:rsid w:val="00546F08"/>
    <w:rsid w:val="00546F57"/>
    <w:rsid w:val="00546F71"/>
    <w:rsid w:val="00546FAE"/>
    <w:rsid w:val="00546FE4"/>
    <w:rsid w:val="0054703A"/>
    <w:rsid w:val="0054707A"/>
    <w:rsid w:val="00547145"/>
    <w:rsid w:val="00547172"/>
    <w:rsid w:val="00547217"/>
    <w:rsid w:val="0054728A"/>
    <w:rsid w:val="0054728D"/>
    <w:rsid w:val="005472BA"/>
    <w:rsid w:val="005472F9"/>
    <w:rsid w:val="0054731E"/>
    <w:rsid w:val="00547352"/>
    <w:rsid w:val="005473A5"/>
    <w:rsid w:val="005473B3"/>
    <w:rsid w:val="00547403"/>
    <w:rsid w:val="005474F8"/>
    <w:rsid w:val="0054751D"/>
    <w:rsid w:val="0054759E"/>
    <w:rsid w:val="005475E0"/>
    <w:rsid w:val="00547625"/>
    <w:rsid w:val="00547671"/>
    <w:rsid w:val="005476A1"/>
    <w:rsid w:val="00547741"/>
    <w:rsid w:val="00547768"/>
    <w:rsid w:val="005479D3"/>
    <w:rsid w:val="00547E1B"/>
    <w:rsid w:val="00547ED5"/>
    <w:rsid w:val="00547EFE"/>
    <w:rsid w:val="00547F22"/>
    <w:rsid w:val="00547F56"/>
    <w:rsid w:val="00547FC5"/>
    <w:rsid w:val="00550027"/>
    <w:rsid w:val="0055006B"/>
    <w:rsid w:val="005500AA"/>
    <w:rsid w:val="005500D0"/>
    <w:rsid w:val="00550172"/>
    <w:rsid w:val="00550235"/>
    <w:rsid w:val="005505D8"/>
    <w:rsid w:val="00550607"/>
    <w:rsid w:val="005507F9"/>
    <w:rsid w:val="005508C1"/>
    <w:rsid w:val="00550943"/>
    <w:rsid w:val="005509A5"/>
    <w:rsid w:val="005509E1"/>
    <w:rsid w:val="00550DEC"/>
    <w:rsid w:val="00550E2F"/>
    <w:rsid w:val="00550E5A"/>
    <w:rsid w:val="00550EB9"/>
    <w:rsid w:val="00550F15"/>
    <w:rsid w:val="00550F56"/>
    <w:rsid w:val="00550F88"/>
    <w:rsid w:val="00550FC5"/>
    <w:rsid w:val="00550FDC"/>
    <w:rsid w:val="00551150"/>
    <w:rsid w:val="00551194"/>
    <w:rsid w:val="005512E7"/>
    <w:rsid w:val="005512EB"/>
    <w:rsid w:val="00551348"/>
    <w:rsid w:val="00551406"/>
    <w:rsid w:val="00551485"/>
    <w:rsid w:val="00551685"/>
    <w:rsid w:val="005516B3"/>
    <w:rsid w:val="0055177A"/>
    <w:rsid w:val="005517D3"/>
    <w:rsid w:val="0055182E"/>
    <w:rsid w:val="00551866"/>
    <w:rsid w:val="00551900"/>
    <w:rsid w:val="00551948"/>
    <w:rsid w:val="005519A5"/>
    <w:rsid w:val="00551A5B"/>
    <w:rsid w:val="00551AB8"/>
    <w:rsid w:val="00551AE8"/>
    <w:rsid w:val="00551B8E"/>
    <w:rsid w:val="00551BC2"/>
    <w:rsid w:val="00551C30"/>
    <w:rsid w:val="00551CEE"/>
    <w:rsid w:val="00551E99"/>
    <w:rsid w:val="00551ED9"/>
    <w:rsid w:val="00551F72"/>
    <w:rsid w:val="00552123"/>
    <w:rsid w:val="00552156"/>
    <w:rsid w:val="005521C0"/>
    <w:rsid w:val="0055220B"/>
    <w:rsid w:val="005522F4"/>
    <w:rsid w:val="00552300"/>
    <w:rsid w:val="0055230C"/>
    <w:rsid w:val="0055241E"/>
    <w:rsid w:val="005524D5"/>
    <w:rsid w:val="00552509"/>
    <w:rsid w:val="005525EE"/>
    <w:rsid w:val="00552604"/>
    <w:rsid w:val="0055261E"/>
    <w:rsid w:val="00552690"/>
    <w:rsid w:val="00552747"/>
    <w:rsid w:val="005528B2"/>
    <w:rsid w:val="005528CC"/>
    <w:rsid w:val="005529A9"/>
    <w:rsid w:val="005529ED"/>
    <w:rsid w:val="00552ABD"/>
    <w:rsid w:val="00552ADE"/>
    <w:rsid w:val="00552AE9"/>
    <w:rsid w:val="00552B38"/>
    <w:rsid w:val="00552B50"/>
    <w:rsid w:val="00552B8A"/>
    <w:rsid w:val="00552B8F"/>
    <w:rsid w:val="00552BF7"/>
    <w:rsid w:val="00552C61"/>
    <w:rsid w:val="00552CE5"/>
    <w:rsid w:val="00552CFC"/>
    <w:rsid w:val="00552D08"/>
    <w:rsid w:val="00552D8F"/>
    <w:rsid w:val="00552DBC"/>
    <w:rsid w:val="00552DC1"/>
    <w:rsid w:val="00552E55"/>
    <w:rsid w:val="00552E9D"/>
    <w:rsid w:val="0055301C"/>
    <w:rsid w:val="0055312C"/>
    <w:rsid w:val="00553163"/>
    <w:rsid w:val="00553185"/>
    <w:rsid w:val="00553193"/>
    <w:rsid w:val="005531A4"/>
    <w:rsid w:val="005531B7"/>
    <w:rsid w:val="005531DF"/>
    <w:rsid w:val="005531EE"/>
    <w:rsid w:val="005531F4"/>
    <w:rsid w:val="0055325E"/>
    <w:rsid w:val="0055329A"/>
    <w:rsid w:val="005534B4"/>
    <w:rsid w:val="005535E1"/>
    <w:rsid w:val="0055366F"/>
    <w:rsid w:val="005536E4"/>
    <w:rsid w:val="0055375E"/>
    <w:rsid w:val="00553781"/>
    <w:rsid w:val="005537A4"/>
    <w:rsid w:val="00553804"/>
    <w:rsid w:val="005538D2"/>
    <w:rsid w:val="005538E7"/>
    <w:rsid w:val="00553916"/>
    <w:rsid w:val="0055393C"/>
    <w:rsid w:val="0055399A"/>
    <w:rsid w:val="00553A27"/>
    <w:rsid w:val="00553A3F"/>
    <w:rsid w:val="00553A9C"/>
    <w:rsid w:val="00553ABE"/>
    <w:rsid w:val="00553AF7"/>
    <w:rsid w:val="00553AFC"/>
    <w:rsid w:val="00553C89"/>
    <w:rsid w:val="00553CA7"/>
    <w:rsid w:val="00553D15"/>
    <w:rsid w:val="00553D1B"/>
    <w:rsid w:val="00553DB7"/>
    <w:rsid w:val="00553E15"/>
    <w:rsid w:val="00553E8D"/>
    <w:rsid w:val="00553F15"/>
    <w:rsid w:val="00553F26"/>
    <w:rsid w:val="00553F71"/>
    <w:rsid w:val="00553FE4"/>
    <w:rsid w:val="00554143"/>
    <w:rsid w:val="00554145"/>
    <w:rsid w:val="00554164"/>
    <w:rsid w:val="005541CC"/>
    <w:rsid w:val="005543C8"/>
    <w:rsid w:val="005543C9"/>
    <w:rsid w:val="0055446F"/>
    <w:rsid w:val="005544B1"/>
    <w:rsid w:val="0055457B"/>
    <w:rsid w:val="00554587"/>
    <w:rsid w:val="005545CF"/>
    <w:rsid w:val="0055467A"/>
    <w:rsid w:val="005546CE"/>
    <w:rsid w:val="0055483D"/>
    <w:rsid w:val="00554893"/>
    <w:rsid w:val="00554991"/>
    <w:rsid w:val="005549A1"/>
    <w:rsid w:val="00554AA4"/>
    <w:rsid w:val="00554AD3"/>
    <w:rsid w:val="00554B2A"/>
    <w:rsid w:val="00554B7A"/>
    <w:rsid w:val="00554B85"/>
    <w:rsid w:val="00554CE8"/>
    <w:rsid w:val="00554E36"/>
    <w:rsid w:val="00554E48"/>
    <w:rsid w:val="00554F6A"/>
    <w:rsid w:val="00554F6C"/>
    <w:rsid w:val="00554F70"/>
    <w:rsid w:val="0055502E"/>
    <w:rsid w:val="00555035"/>
    <w:rsid w:val="00555060"/>
    <w:rsid w:val="005551D8"/>
    <w:rsid w:val="005551F4"/>
    <w:rsid w:val="00555253"/>
    <w:rsid w:val="00555404"/>
    <w:rsid w:val="0055541D"/>
    <w:rsid w:val="00555437"/>
    <w:rsid w:val="00555447"/>
    <w:rsid w:val="00555558"/>
    <w:rsid w:val="00555575"/>
    <w:rsid w:val="00555630"/>
    <w:rsid w:val="005557AC"/>
    <w:rsid w:val="00555879"/>
    <w:rsid w:val="0055591A"/>
    <w:rsid w:val="0055591C"/>
    <w:rsid w:val="0055594C"/>
    <w:rsid w:val="0055596D"/>
    <w:rsid w:val="00555A25"/>
    <w:rsid w:val="00555A52"/>
    <w:rsid w:val="00555A88"/>
    <w:rsid w:val="00555A90"/>
    <w:rsid w:val="00555ACC"/>
    <w:rsid w:val="00555BAF"/>
    <w:rsid w:val="00555CF1"/>
    <w:rsid w:val="00555D32"/>
    <w:rsid w:val="00555DC9"/>
    <w:rsid w:val="00555DD5"/>
    <w:rsid w:val="00555DFD"/>
    <w:rsid w:val="00555ECB"/>
    <w:rsid w:val="00555FFC"/>
    <w:rsid w:val="005560CF"/>
    <w:rsid w:val="00556144"/>
    <w:rsid w:val="0055626D"/>
    <w:rsid w:val="0055634C"/>
    <w:rsid w:val="0055639C"/>
    <w:rsid w:val="005563DC"/>
    <w:rsid w:val="00556417"/>
    <w:rsid w:val="00556617"/>
    <w:rsid w:val="005566FD"/>
    <w:rsid w:val="0055671D"/>
    <w:rsid w:val="00556740"/>
    <w:rsid w:val="0055684D"/>
    <w:rsid w:val="0055685D"/>
    <w:rsid w:val="005568F4"/>
    <w:rsid w:val="005568FC"/>
    <w:rsid w:val="00556911"/>
    <w:rsid w:val="005569C6"/>
    <w:rsid w:val="00556A97"/>
    <w:rsid w:val="00556ABC"/>
    <w:rsid w:val="00556B15"/>
    <w:rsid w:val="00556B98"/>
    <w:rsid w:val="00556BE6"/>
    <w:rsid w:val="00556BFC"/>
    <w:rsid w:val="00556BFD"/>
    <w:rsid w:val="00556C0C"/>
    <w:rsid w:val="00556C27"/>
    <w:rsid w:val="00556CF4"/>
    <w:rsid w:val="00556F1C"/>
    <w:rsid w:val="00556F30"/>
    <w:rsid w:val="0055705A"/>
    <w:rsid w:val="005570F4"/>
    <w:rsid w:val="00557100"/>
    <w:rsid w:val="0055717A"/>
    <w:rsid w:val="00557404"/>
    <w:rsid w:val="0055754E"/>
    <w:rsid w:val="005575C8"/>
    <w:rsid w:val="00557622"/>
    <w:rsid w:val="00557704"/>
    <w:rsid w:val="005577D1"/>
    <w:rsid w:val="005577F9"/>
    <w:rsid w:val="00557884"/>
    <w:rsid w:val="005578C8"/>
    <w:rsid w:val="0055797F"/>
    <w:rsid w:val="0055798D"/>
    <w:rsid w:val="005579E2"/>
    <w:rsid w:val="00557A3F"/>
    <w:rsid w:val="00557BD3"/>
    <w:rsid w:val="00557C22"/>
    <w:rsid w:val="00557CBD"/>
    <w:rsid w:val="00557D2D"/>
    <w:rsid w:val="00557DF3"/>
    <w:rsid w:val="00557EFA"/>
    <w:rsid w:val="00557FF2"/>
    <w:rsid w:val="00560075"/>
    <w:rsid w:val="0056012C"/>
    <w:rsid w:val="00560137"/>
    <w:rsid w:val="005601E2"/>
    <w:rsid w:val="00560202"/>
    <w:rsid w:val="00560211"/>
    <w:rsid w:val="005602FD"/>
    <w:rsid w:val="00560302"/>
    <w:rsid w:val="00560335"/>
    <w:rsid w:val="00560380"/>
    <w:rsid w:val="005603A7"/>
    <w:rsid w:val="00560448"/>
    <w:rsid w:val="00560542"/>
    <w:rsid w:val="00560563"/>
    <w:rsid w:val="005605D3"/>
    <w:rsid w:val="005606AA"/>
    <w:rsid w:val="005606BF"/>
    <w:rsid w:val="005606FC"/>
    <w:rsid w:val="00560754"/>
    <w:rsid w:val="005607BA"/>
    <w:rsid w:val="005607FD"/>
    <w:rsid w:val="00560865"/>
    <w:rsid w:val="00560879"/>
    <w:rsid w:val="00560885"/>
    <w:rsid w:val="005608AA"/>
    <w:rsid w:val="005608F0"/>
    <w:rsid w:val="0056098D"/>
    <w:rsid w:val="00560A95"/>
    <w:rsid w:val="00560AEA"/>
    <w:rsid w:val="00560B5D"/>
    <w:rsid w:val="00560B68"/>
    <w:rsid w:val="00560B96"/>
    <w:rsid w:val="00560E1C"/>
    <w:rsid w:val="00560E29"/>
    <w:rsid w:val="00560EDF"/>
    <w:rsid w:val="00561077"/>
    <w:rsid w:val="005610E7"/>
    <w:rsid w:val="0056117A"/>
    <w:rsid w:val="005611AC"/>
    <w:rsid w:val="005611C4"/>
    <w:rsid w:val="005612CF"/>
    <w:rsid w:val="005612FE"/>
    <w:rsid w:val="0056130F"/>
    <w:rsid w:val="0056131F"/>
    <w:rsid w:val="00561426"/>
    <w:rsid w:val="00561495"/>
    <w:rsid w:val="005614F6"/>
    <w:rsid w:val="00561509"/>
    <w:rsid w:val="0056161A"/>
    <w:rsid w:val="00561646"/>
    <w:rsid w:val="00561675"/>
    <w:rsid w:val="0056171F"/>
    <w:rsid w:val="00561732"/>
    <w:rsid w:val="00561965"/>
    <w:rsid w:val="005619B0"/>
    <w:rsid w:val="005619ED"/>
    <w:rsid w:val="00561A19"/>
    <w:rsid w:val="00561A27"/>
    <w:rsid w:val="00561A4E"/>
    <w:rsid w:val="00561AC4"/>
    <w:rsid w:val="00561AEC"/>
    <w:rsid w:val="00561AFA"/>
    <w:rsid w:val="00561C12"/>
    <w:rsid w:val="00561C60"/>
    <w:rsid w:val="00561CA4"/>
    <w:rsid w:val="00561CC6"/>
    <w:rsid w:val="00561D1F"/>
    <w:rsid w:val="00561D4A"/>
    <w:rsid w:val="00561DD0"/>
    <w:rsid w:val="00561E4F"/>
    <w:rsid w:val="00561F3D"/>
    <w:rsid w:val="00561FFE"/>
    <w:rsid w:val="00562145"/>
    <w:rsid w:val="005621A1"/>
    <w:rsid w:val="005621F1"/>
    <w:rsid w:val="00562213"/>
    <w:rsid w:val="0056223F"/>
    <w:rsid w:val="00562347"/>
    <w:rsid w:val="005623B6"/>
    <w:rsid w:val="0056244F"/>
    <w:rsid w:val="00562538"/>
    <w:rsid w:val="005625C7"/>
    <w:rsid w:val="005625C9"/>
    <w:rsid w:val="005626B8"/>
    <w:rsid w:val="00562755"/>
    <w:rsid w:val="00562786"/>
    <w:rsid w:val="005627C6"/>
    <w:rsid w:val="0056284B"/>
    <w:rsid w:val="005628B7"/>
    <w:rsid w:val="005628E4"/>
    <w:rsid w:val="005628F1"/>
    <w:rsid w:val="00562972"/>
    <w:rsid w:val="005629C0"/>
    <w:rsid w:val="00562A02"/>
    <w:rsid w:val="00562A21"/>
    <w:rsid w:val="00562A3E"/>
    <w:rsid w:val="00562B0C"/>
    <w:rsid w:val="00562B3C"/>
    <w:rsid w:val="00562B56"/>
    <w:rsid w:val="00562BAD"/>
    <w:rsid w:val="00562C9F"/>
    <w:rsid w:val="00562D41"/>
    <w:rsid w:val="00562E7E"/>
    <w:rsid w:val="00562F17"/>
    <w:rsid w:val="00562F58"/>
    <w:rsid w:val="00562F87"/>
    <w:rsid w:val="00562FB5"/>
    <w:rsid w:val="00562FC1"/>
    <w:rsid w:val="0056300A"/>
    <w:rsid w:val="00563019"/>
    <w:rsid w:val="005630DD"/>
    <w:rsid w:val="005630E5"/>
    <w:rsid w:val="00563247"/>
    <w:rsid w:val="005632DE"/>
    <w:rsid w:val="0056331A"/>
    <w:rsid w:val="0056334A"/>
    <w:rsid w:val="0056334F"/>
    <w:rsid w:val="005633A4"/>
    <w:rsid w:val="005634E5"/>
    <w:rsid w:val="00563576"/>
    <w:rsid w:val="00563628"/>
    <w:rsid w:val="00563697"/>
    <w:rsid w:val="005637A7"/>
    <w:rsid w:val="00563848"/>
    <w:rsid w:val="00563883"/>
    <w:rsid w:val="005638C8"/>
    <w:rsid w:val="005638EA"/>
    <w:rsid w:val="00563920"/>
    <w:rsid w:val="00563931"/>
    <w:rsid w:val="0056395B"/>
    <w:rsid w:val="00563A48"/>
    <w:rsid w:val="00563AD0"/>
    <w:rsid w:val="00563AF1"/>
    <w:rsid w:val="00563B0E"/>
    <w:rsid w:val="00563B31"/>
    <w:rsid w:val="00563BDB"/>
    <w:rsid w:val="00563CAF"/>
    <w:rsid w:val="00563CD0"/>
    <w:rsid w:val="00563CDA"/>
    <w:rsid w:val="00563D57"/>
    <w:rsid w:val="00563DAE"/>
    <w:rsid w:val="00563DD1"/>
    <w:rsid w:val="00563DF5"/>
    <w:rsid w:val="00563EF4"/>
    <w:rsid w:val="00563F98"/>
    <w:rsid w:val="00564017"/>
    <w:rsid w:val="00564020"/>
    <w:rsid w:val="005640F2"/>
    <w:rsid w:val="00564111"/>
    <w:rsid w:val="00564236"/>
    <w:rsid w:val="005642BB"/>
    <w:rsid w:val="00564361"/>
    <w:rsid w:val="005643CA"/>
    <w:rsid w:val="005643E5"/>
    <w:rsid w:val="0056448A"/>
    <w:rsid w:val="0056455C"/>
    <w:rsid w:val="00564650"/>
    <w:rsid w:val="00564758"/>
    <w:rsid w:val="005648CC"/>
    <w:rsid w:val="005648F6"/>
    <w:rsid w:val="005648F7"/>
    <w:rsid w:val="00564943"/>
    <w:rsid w:val="00564948"/>
    <w:rsid w:val="00564A09"/>
    <w:rsid w:val="00564A54"/>
    <w:rsid w:val="00564AC1"/>
    <w:rsid w:val="00564AC5"/>
    <w:rsid w:val="00564AE2"/>
    <w:rsid w:val="00564BE6"/>
    <w:rsid w:val="00564C1C"/>
    <w:rsid w:val="00564C73"/>
    <w:rsid w:val="00564CA0"/>
    <w:rsid w:val="00564CD1"/>
    <w:rsid w:val="00564CE7"/>
    <w:rsid w:val="00564EA2"/>
    <w:rsid w:val="00564EE1"/>
    <w:rsid w:val="00564EF9"/>
    <w:rsid w:val="00564F8A"/>
    <w:rsid w:val="00565043"/>
    <w:rsid w:val="005650E6"/>
    <w:rsid w:val="005651E6"/>
    <w:rsid w:val="00565232"/>
    <w:rsid w:val="005652FE"/>
    <w:rsid w:val="00565424"/>
    <w:rsid w:val="0056546C"/>
    <w:rsid w:val="00565500"/>
    <w:rsid w:val="0056561B"/>
    <w:rsid w:val="0056563E"/>
    <w:rsid w:val="00565710"/>
    <w:rsid w:val="00565799"/>
    <w:rsid w:val="0056582C"/>
    <w:rsid w:val="00565840"/>
    <w:rsid w:val="0056591F"/>
    <w:rsid w:val="00565936"/>
    <w:rsid w:val="00565A8F"/>
    <w:rsid w:val="00565AA4"/>
    <w:rsid w:val="00565AB6"/>
    <w:rsid w:val="00565C2E"/>
    <w:rsid w:val="00565CC2"/>
    <w:rsid w:val="00565D1C"/>
    <w:rsid w:val="00565D41"/>
    <w:rsid w:val="00565E0A"/>
    <w:rsid w:val="00565F4B"/>
    <w:rsid w:val="00565FEC"/>
    <w:rsid w:val="00566153"/>
    <w:rsid w:val="0056621D"/>
    <w:rsid w:val="00566232"/>
    <w:rsid w:val="0056627B"/>
    <w:rsid w:val="005662EB"/>
    <w:rsid w:val="00566395"/>
    <w:rsid w:val="00566451"/>
    <w:rsid w:val="00566483"/>
    <w:rsid w:val="005664E0"/>
    <w:rsid w:val="005665E3"/>
    <w:rsid w:val="00566658"/>
    <w:rsid w:val="0056665B"/>
    <w:rsid w:val="0056668A"/>
    <w:rsid w:val="005666B1"/>
    <w:rsid w:val="005667BB"/>
    <w:rsid w:val="00566837"/>
    <w:rsid w:val="00566856"/>
    <w:rsid w:val="00566863"/>
    <w:rsid w:val="005668FE"/>
    <w:rsid w:val="00566913"/>
    <w:rsid w:val="00566923"/>
    <w:rsid w:val="0056694A"/>
    <w:rsid w:val="00566990"/>
    <w:rsid w:val="005669B2"/>
    <w:rsid w:val="005669CC"/>
    <w:rsid w:val="005669D5"/>
    <w:rsid w:val="00566A82"/>
    <w:rsid w:val="00566AF4"/>
    <w:rsid w:val="00566AFB"/>
    <w:rsid w:val="00566B07"/>
    <w:rsid w:val="00566B82"/>
    <w:rsid w:val="00566B86"/>
    <w:rsid w:val="00566B8C"/>
    <w:rsid w:val="00566BA1"/>
    <w:rsid w:val="00566C00"/>
    <w:rsid w:val="00566C18"/>
    <w:rsid w:val="00566C1E"/>
    <w:rsid w:val="00566C5F"/>
    <w:rsid w:val="00566CE6"/>
    <w:rsid w:val="00566D15"/>
    <w:rsid w:val="00566DA0"/>
    <w:rsid w:val="00566DCF"/>
    <w:rsid w:val="00566EAC"/>
    <w:rsid w:val="00567092"/>
    <w:rsid w:val="005670B6"/>
    <w:rsid w:val="00567138"/>
    <w:rsid w:val="00567189"/>
    <w:rsid w:val="00567232"/>
    <w:rsid w:val="0056725A"/>
    <w:rsid w:val="00567328"/>
    <w:rsid w:val="00567398"/>
    <w:rsid w:val="0056743C"/>
    <w:rsid w:val="005674E2"/>
    <w:rsid w:val="00567569"/>
    <w:rsid w:val="005675A7"/>
    <w:rsid w:val="0056765B"/>
    <w:rsid w:val="00567704"/>
    <w:rsid w:val="005677E6"/>
    <w:rsid w:val="00567915"/>
    <w:rsid w:val="005679CF"/>
    <w:rsid w:val="00567A26"/>
    <w:rsid w:val="00567CF4"/>
    <w:rsid w:val="00567D10"/>
    <w:rsid w:val="00567D9F"/>
    <w:rsid w:val="00567EBA"/>
    <w:rsid w:val="00567EBB"/>
    <w:rsid w:val="00567F35"/>
    <w:rsid w:val="00570049"/>
    <w:rsid w:val="0057012D"/>
    <w:rsid w:val="00570189"/>
    <w:rsid w:val="005701BF"/>
    <w:rsid w:val="0057020A"/>
    <w:rsid w:val="00570219"/>
    <w:rsid w:val="0057026A"/>
    <w:rsid w:val="005703FC"/>
    <w:rsid w:val="00570404"/>
    <w:rsid w:val="00570431"/>
    <w:rsid w:val="005704BB"/>
    <w:rsid w:val="00570504"/>
    <w:rsid w:val="00570583"/>
    <w:rsid w:val="005705BB"/>
    <w:rsid w:val="00570625"/>
    <w:rsid w:val="005706D3"/>
    <w:rsid w:val="00570703"/>
    <w:rsid w:val="00570870"/>
    <w:rsid w:val="0057088C"/>
    <w:rsid w:val="00570A30"/>
    <w:rsid w:val="00570A4E"/>
    <w:rsid w:val="00570AB7"/>
    <w:rsid w:val="00570B4E"/>
    <w:rsid w:val="00570B54"/>
    <w:rsid w:val="00570BC4"/>
    <w:rsid w:val="00570C79"/>
    <w:rsid w:val="00570E78"/>
    <w:rsid w:val="00570EA9"/>
    <w:rsid w:val="00570EAA"/>
    <w:rsid w:val="00570F5C"/>
    <w:rsid w:val="00570F82"/>
    <w:rsid w:val="00570F8A"/>
    <w:rsid w:val="00570F8D"/>
    <w:rsid w:val="00571087"/>
    <w:rsid w:val="005710BA"/>
    <w:rsid w:val="0057118D"/>
    <w:rsid w:val="00571192"/>
    <w:rsid w:val="0057126F"/>
    <w:rsid w:val="005712CD"/>
    <w:rsid w:val="0057149A"/>
    <w:rsid w:val="005714B7"/>
    <w:rsid w:val="005714E9"/>
    <w:rsid w:val="00571659"/>
    <w:rsid w:val="00571662"/>
    <w:rsid w:val="005716CA"/>
    <w:rsid w:val="005716E2"/>
    <w:rsid w:val="00571758"/>
    <w:rsid w:val="005717B8"/>
    <w:rsid w:val="005717EA"/>
    <w:rsid w:val="005717F7"/>
    <w:rsid w:val="00571815"/>
    <w:rsid w:val="0057190F"/>
    <w:rsid w:val="00571965"/>
    <w:rsid w:val="005719A0"/>
    <w:rsid w:val="005719F5"/>
    <w:rsid w:val="00571A7A"/>
    <w:rsid w:val="00571A86"/>
    <w:rsid w:val="00571A98"/>
    <w:rsid w:val="00571AC3"/>
    <w:rsid w:val="00571B88"/>
    <w:rsid w:val="00571BB0"/>
    <w:rsid w:val="00571BDF"/>
    <w:rsid w:val="00571C14"/>
    <w:rsid w:val="00571CBB"/>
    <w:rsid w:val="00571CC2"/>
    <w:rsid w:val="00571CD7"/>
    <w:rsid w:val="00571CD9"/>
    <w:rsid w:val="00571E72"/>
    <w:rsid w:val="00571EA7"/>
    <w:rsid w:val="00571ED4"/>
    <w:rsid w:val="00571F52"/>
    <w:rsid w:val="00571F79"/>
    <w:rsid w:val="00571FB1"/>
    <w:rsid w:val="00571FDA"/>
    <w:rsid w:val="0057201F"/>
    <w:rsid w:val="00572023"/>
    <w:rsid w:val="00572049"/>
    <w:rsid w:val="005720AD"/>
    <w:rsid w:val="00572157"/>
    <w:rsid w:val="00572165"/>
    <w:rsid w:val="00572222"/>
    <w:rsid w:val="005722D7"/>
    <w:rsid w:val="00572556"/>
    <w:rsid w:val="0057258C"/>
    <w:rsid w:val="005725B4"/>
    <w:rsid w:val="00572622"/>
    <w:rsid w:val="00572626"/>
    <w:rsid w:val="005726DA"/>
    <w:rsid w:val="0057290C"/>
    <w:rsid w:val="005729CB"/>
    <w:rsid w:val="005729D9"/>
    <w:rsid w:val="00572A8D"/>
    <w:rsid w:val="00572A9D"/>
    <w:rsid w:val="00572AA2"/>
    <w:rsid w:val="00572ABA"/>
    <w:rsid w:val="00572AE4"/>
    <w:rsid w:val="00572AE7"/>
    <w:rsid w:val="00572C21"/>
    <w:rsid w:val="00572D41"/>
    <w:rsid w:val="00572DBA"/>
    <w:rsid w:val="00572DC4"/>
    <w:rsid w:val="00572E0F"/>
    <w:rsid w:val="00572EF3"/>
    <w:rsid w:val="00572F64"/>
    <w:rsid w:val="0057300B"/>
    <w:rsid w:val="0057313D"/>
    <w:rsid w:val="0057315B"/>
    <w:rsid w:val="005731E0"/>
    <w:rsid w:val="005732F5"/>
    <w:rsid w:val="00573661"/>
    <w:rsid w:val="005736C3"/>
    <w:rsid w:val="005736FA"/>
    <w:rsid w:val="00573790"/>
    <w:rsid w:val="005737A0"/>
    <w:rsid w:val="005737AF"/>
    <w:rsid w:val="0057385E"/>
    <w:rsid w:val="005739A8"/>
    <w:rsid w:val="00573AC8"/>
    <w:rsid w:val="00573AFD"/>
    <w:rsid w:val="00573B95"/>
    <w:rsid w:val="00573BDF"/>
    <w:rsid w:val="00573C02"/>
    <w:rsid w:val="00573D78"/>
    <w:rsid w:val="00573DFD"/>
    <w:rsid w:val="00573E1A"/>
    <w:rsid w:val="00573F10"/>
    <w:rsid w:val="00573F27"/>
    <w:rsid w:val="00573F31"/>
    <w:rsid w:val="00573F4B"/>
    <w:rsid w:val="00573F4F"/>
    <w:rsid w:val="00574033"/>
    <w:rsid w:val="00574037"/>
    <w:rsid w:val="005740F1"/>
    <w:rsid w:val="00574128"/>
    <w:rsid w:val="005741F9"/>
    <w:rsid w:val="0057427A"/>
    <w:rsid w:val="005742E1"/>
    <w:rsid w:val="0057436D"/>
    <w:rsid w:val="00574398"/>
    <w:rsid w:val="005743AE"/>
    <w:rsid w:val="005743C2"/>
    <w:rsid w:val="0057440D"/>
    <w:rsid w:val="005744B6"/>
    <w:rsid w:val="005744DC"/>
    <w:rsid w:val="005744F4"/>
    <w:rsid w:val="005745C6"/>
    <w:rsid w:val="0057467C"/>
    <w:rsid w:val="0057468F"/>
    <w:rsid w:val="005746AA"/>
    <w:rsid w:val="005746B9"/>
    <w:rsid w:val="005747EE"/>
    <w:rsid w:val="0057482C"/>
    <w:rsid w:val="00574894"/>
    <w:rsid w:val="00574999"/>
    <w:rsid w:val="00574A1E"/>
    <w:rsid w:val="00574A2E"/>
    <w:rsid w:val="00574A87"/>
    <w:rsid w:val="00574AC0"/>
    <w:rsid w:val="00574BFD"/>
    <w:rsid w:val="00574C4C"/>
    <w:rsid w:val="00574CC3"/>
    <w:rsid w:val="00574D15"/>
    <w:rsid w:val="00574E6B"/>
    <w:rsid w:val="00574F96"/>
    <w:rsid w:val="00575055"/>
    <w:rsid w:val="005750DA"/>
    <w:rsid w:val="00575164"/>
    <w:rsid w:val="0057523F"/>
    <w:rsid w:val="00575332"/>
    <w:rsid w:val="005753BB"/>
    <w:rsid w:val="005753E6"/>
    <w:rsid w:val="00575471"/>
    <w:rsid w:val="005754B4"/>
    <w:rsid w:val="005754D2"/>
    <w:rsid w:val="00575500"/>
    <w:rsid w:val="00575535"/>
    <w:rsid w:val="005755C4"/>
    <w:rsid w:val="00575660"/>
    <w:rsid w:val="00575668"/>
    <w:rsid w:val="0057566D"/>
    <w:rsid w:val="00575684"/>
    <w:rsid w:val="005756DB"/>
    <w:rsid w:val="005756F6"/>
    <w:rsid w:val="005757A7"/>
    <w:rsid w:val="0057586A"/>
    <w:rsid w:val="0057588D"/>
    <w:rsid w:val="00575939"/>
    <w:rsid w:val="00575989"/>
    <w:rsid w:val="00575B01"/>
    <w:rsid w:val="00575D54"/>
    <w:rsid w:val="00575D5F"/>
    <w:rsid w:val="00575D8B"/>
    <w:rsid w:val="00575E2E"/>
    <w:rsid w:val="0057600B"/>
    <w:rsid w:val="00576039"/>
    <w:rsid w:val="00576131"/>
    <w:rsid w:val="0057618E"/>
    <w:rsid w:val="005761C5"/>
    <w:rsid w:val="005761D9"/>
    <w:rsid w:val="00576231"/>
    <w:rsid w:val="00576289"/>
    <w:rsid w:val="005762FD"/>
    <w:rsid w:val="00576300"/>
    <w:rsid w:val="0057633E"/>
    <w:rsid w:val="005763B9"/>
    <w:rsid w:val="00576413"/>
    <w:rsid w:val="00576478"/>
    <w:rsid w:val="00576492"/>
    <w:rsid w:val="00576499"/>
    <w:rsid w:val="00576529"/>
    <w:rsid w:val="00576567"/>
    <w:rsid w:val="0057658E"/>
    <w:rsid w:val="00576592"/>
    <w:rsid w:val="0057661F"/>
    <w:rsid w:val="0057668F"/>
    <w:rsid w:val="005766E7"/>
    <w:rsid w:val="00576869"/>
    <w:rsid w:val="005768B5"/>
    <w:rsid w:val="00576926"/>
    <w:rsid w:val="00576950"/>
    <w:rsid w:val="005769FC"/>
    <w:rsid w:val="00576A22"/>
    <w:rsid w:val="00576A24"/>
    <w:rsid w:val="00576A3B"/>
    <w:rsid w:val="00576A89"/>
    <w:rsid w:val="00576BC8"/>
    <w:rsid w:val="00576C6A"/>
    <w:rsid w:val="00576CB1"/>
    <w:rsid w:val="00576CF2"/>
    <w:rsid w:val="00576D46"/>
    <w:rsid w:val="00576DCB"/>
    <w:rsid w:val="00576E85"/>
    <w:rsid w:val="00576F37"/>
    <w:rsid w:val="00576F42"/>
    <w:rsid w:val="0057701A"/>
    <w:rsid w:val="0057702F"/>
    <w:rsid w:val="005770D0"/>
    <w:rsid w:val="00577145"/>
    <w:rsid w:val="0057726F"/>
    <w:rsid w:val="00577281"/>
    <w:rsid w:val="005772DD"/>
    <w:rsid w:val="00577418"/>
    <w:rsid w:val="00577536"/>
    <w:rsid w:val="005775A7"/>
    <w:rsid w:val="005775BA"/>
    <w:rsid w:val="005776B2"/>
    <w:rsid w:val="005776B4"/>
    <w:rsid w:val="005776E3"/>
    <w:rsid w:val="00577771"/>
    <w:rsid w:val="005777B5"/>
    <w:rsid w:val="00577841"/>
    <w:rsid w:val="005778FF"/>
    <w:rsid w:val="00577904"/>
    <w:rsid w:val="00577A9E"/>
    <w:rsid w:val="00577AB1"/>
    <w:rsid w:val="00577AC8"/>
    <w:rsid w:val="00577AE8"/>
    <w:rsid w:val="00577C8F"/>
    <w:rsid w:val="00577D1C"/>
    <w:rsid w:val="00577E22"/>
    <w:rsid w:val="00577E33"/>
    <w:rsid w:val="00577E39"/>
    <w:rsid w:val="00577E77"/>
    <w:rsid w:val="00577F43"/>
    <w:rsid w:val="00577FE5"/>
    <w:rsid w:val="0058008B"/>
    <w:rsid w:val="00580112"/>
    <w:rsid w:val="00580191"/>
    <w:rsid w:val="00580209"/>
    <w:rsid w:val="00580218"/>
    <w:rsid w:val="0058021D"/>
    <w:rsid w:val="00580283"/>
    <w:rsid w:val="00580339"/>
    <w:rsid w:val="00580383"/>
    <w:rsid w:val="005803B2"/>
    <w:rsid w:val="0058041A"/>
    <w:rsid w:val="0058042E"/>
    <w:rsid w:val="005804B9"/>
    <w:rsid w:val="005805C9"/>
    <w:rsid w:val="00580641"/>
    <w:rsid w:val="00580701"/>
    <w:rsid w:val="00580719"/>
    <w:rsid w:val="00580739"/>
    <w:rsid w:val="0058076F"/>
    <w:rsid w:val="0058078C"/>
    <w:rsid w:val="005807BD"/>
    <w:rsid w:val="005807D6"/>
    <w:rsid w:val="005807D8"/>
    <w:rsid w:val="0058083E"/>
    <w:rsid w:val="00580863"/>
    <w:rsid w:val="005809BF"/>
    <w:rsid w:val="00580AF2"/>
    <w:rsid w:val="00580BE8"/>
    <w:rsid w:val="00580C92"/>
    <w:rsid w:val="00580D15"/>
    <w:rsid w:val="00580D61"/>
    <w:rsid w:val="00580E55"/>
    <w:rsid w:val="00580E5F"/>
    <w:rsid w:val="00580E97"/>
    <w:rsid w:val="00580F93"/>
    <w:rsid w:val="00581081"/>
    <w:rsid w:val="00581339"/>
    <w:rsid w:val="0058137C"/>
    <w:rsid w:val="005813DC"/>
    <w:rsid w:val="00581418"/>
    <w:rsid w:val="0058141F"/>
    <w:rsid w:val="00581442"/>
    <w:rsid w:val="00581532"/>
    <w:rsid w:val="00581734"/>
    <w:rsid w:val="005817DA"/>
    <w:rsid w:val="005817F7"/>
    <w:rsid w:val="005818B0"/>
    <w:rsid w:val="0058191D"/>
    <w:rsid w:val="00581927"/>
    <w:rsid w:val="0058195C"/>
    <w:rsid w:val="00581AAB"/>
    <w:rsid w:val="00581B6D"/>
    <w:rsid w:val="00581BE8"/>
    <w:rsid w:val="00581CD9"/>
    <w:rsid w:val="00581D03"/>
    <w:rsid w:val="00581D5A"/>
    <w:rsid w:val="00581D82"/>
    <w:rsid w:val="00581E81"/>
    <w:rsid w:val="00581E90"/>
    <w:rsid w:val="00581F5D"/>
    <w:rsid w:val="00581F9A"/>
    <w:rsid w:val="0058204D"/>
    <w:rsid w:val="005820A0"/>
    <w:rsid w:val="0058219E"/>
    <w:rsid w:val="005822B8"/>
    <w:rsid w:val="005822FE"/>
    <w:rsid w:val="00582386"/>
    <w:rsid w:val="0058245B"/>
    <w:rsid w:val="00582465"/>
    <w:rsid w:val="00582525"/>
    <w:rsid w:val="0058258F"/>
    <w:rsid w:val="005825BF"/>
    <w:rsid w:val="0058262E"/>
    <w:rsid w:val="005826C8"/>
    <w:rsid w:val="00582801"/>
    <w:rsid w:val="0058282E"/>
    <w:rsid w:val="00582943"/>
    <w:rsid w:val="00582952"/>
    <w:rsid w:val="00582A0C"/>
    <w:rsid w:val="00582B73"/>
    <w:rsid w:val="00582D19"/>
    <w:rsid w:val="00582DD0"/>
    <w:rsid w:val="00582E57"/>
    <w:rsid w:val="00582E69"/>
    <w:rsid w:val="00582E88"/>
    <w:rsid w:val="00582F9E"/>
    <w:rsid w:val="00582FC4"/>
    <w:rsid w:val="005830B6"/>
    <w:rsid w:val="005830D8"/>
    <w:rsid w:val="00583186"/>
    <w:rsid w:val="00583221"/>
    <w:rsid w:val="00583333"/>
    <w:rsid w:val="0058337E"/>
    <w:rsid w:val="005833B5"/>
    <w:rsid w:val="0058345A"/>
    <w:rsid w:val="005834C4"/>
    <w:rsid w:val="00583529"/>
    <w:rsid w:val="00583558"/>
    <w:rsid w:val="005835EA"/>
    <w:rsid w:val="00583615"/>
    <w:rsid w:val="00583634"/>
    <w:rsid w:val="00583681"/>
    <w:rsid w:val="005836AA"/>
    <w:rsid w:val="005836C0"/>
    <w:rsid w:val="005836C9"/>
    <w:rsid w:val="005836F2"/>
    <w:rsid w:val="0058376E"/>
    <w:rsid w:val="00583858"/>
    <w:rsid w:val="00583906"/>
    <w:rsid w:val="005839F1"/>
    <w:rsid w:val="00583AD6"/>
    <w:rsid w:val="00583AD8"/>
    <w:rsid w:val="00583B1E"/>
    <w:rsid w:val="00583B46"/>
    <w:rsid w:val="00583BEF"/>
    <w:rsid w:val="00583C80"/>
    <w:rsid w:val="00583CB5"/>
    <w:rsid w:val="00583DA7"/>
    <w:rsid w:val="00583EF7"/>
    <w:rsid w:val="00583F3F"/>
    <w:rsid w:val="00583F7C"/>
    <w:rsid w:val="00583FBD"/>
    <w:rsid w:val="0058406C"/>
    <w:rsid w:val="005840F9"/>
    <w:rsid w:val="00584192"/>
    <w:rsid w:val="005841DB"/>
    <w:rsid w:val="005841F6"/>
    <w:rsid w:val="00584214"/>
    <w:rsid w:val="005842A5"/>
    <w:rsid w:val="005842C2"/>
    <w:rsid w:val="005842DA"/>
    <w:rsid w:val="0058436B"/>
    <w:rsid w:val="005843A0"/>
    <w:rsid w:val="005844AB"/>
    <w:rsid w:val="005844FC"/>
    <w:rsid w:val="00584543"/>
    <w:rsid w:val="005845B5"/>
    <w:rsid w:val="005846C6"/>
    <w:rsid w:val="005846F9"/>
    <w:rsid w:val="0058472E"/>
    <w:rsid w:val="0058474B"/>
    <w:rsid w:val="005847E6"/>
    <w:rsid w:val="005848B2"/>
    <w:rsid w:val="005848EF"/>
    <w:rsid w:val="00584906"/>
    <w:rsid w:val="005849A7"/>
    <w:rsid w:val="005849ED"/>
    <w:rsid w:val="005849FF"/>
    <w:rsid w:val="00584A1E"/>
    <w:rsid w:val="00584A68"/>
    <w:rsid w:val="00584AB5"/>
    <w:rsid w:val="00584BA5"/>
    <w:rsid w:val="00584BDE"/>
    <w:rsid w:val="00584BF9"/>
    <w:rsid w:val="00584C1B"/>
    <w:rsid w:val="00584C2F"/>
    <w:rsid w:val="00584C35"/>
    <w:rsid w:val="00584C7E"/>
    <w:rsid w:val="00584CC7"/>
    <w:rsid w:val="00584CEC"/>
    <w:rsid w:val="00584D34"/>
    <w:rsid w:val="00584EB3"/>
    <w:rsid w:val="00584EE7"/>
    <w:rsid w:val="00584F04"/>
    <w:rsid w:val="005850EE"/>
    <w:rsid w:val="0058512F"/>
    <w:rsid w:val="00585166"/>
    <w:rsid w:val="00585192"/>
    <w:rsid w:val="005851A8"/>
    <w:rsid w:val="005851EF"/>
    <w:rsid w:val="0058526A"/>
    <w:rsid w:val="005852D5"/>
    <w:rsid w:val="00585328"/>
    <w:rsid w:val="005853B7"/>
    <w:rsid w:val="00585439"/>
    <w:rsid w:val="0058544D"/>
    <w:rsid w:val="0058545B"/>
    <w:rsid w:val="005855DC"/>
    <w:rsid w:val="00585641"/>
    <w:rsid w:val="00585657"/>
    <w:rsid w:val="005856AB"/>
    <w:rsid w:val="005856D7"/>
    <w:rsid w:val="00585760"/>
    <w:rsid w:val="00585815"/>
    <w:rsid w:val="005858D1"/>
    <w:rsid w:val="0058596E"/>
    <w:rsid w:val="005859F3"/>
    <w:rsid w:val="00585A73"/>
    <w:rsid w:val="00585A82"/>
    <w:rsid w:val="00585A8F"/>
    <w:rsid w:val="00585C11"/>
    <w:rsid w:val="00585D4B"/>
    <w:rsid w:val="00585E61"/>
    <w:rsid w:val="00585E97"/>
    <w:rsid w:val="00585E9B"/>
    <w:rsid w:val="00585F33"/>
    <w:rsid w:val="00586035"/>
    <w:rsid w:val="005860A7"/>
    <w:rsid w:val="005860AD"/>
    <w:rsid w:val="00586142"/>
    <w:rsid w:val="00586228"/>
    <w:rsid w:val="00586266"/>
    <w:rsid w:val="00586275"/>
    <w:rsid w:val="005862C0"/>
    <w:rsid w:val="0058634B"/>
    <w:rsid w:val="00586476"/>
    <w:rsid w:val="00586549"/>
    <w:rsid w:val="0058656C"/>
    <w:rsid w:val="00586581"/>
    <w:rsid w:val="00586599"/>
    <w:rsid w:val="005865C9"/>
    <w:rsid w:val="005865EF"/>
    <w:rsid w:val="00586605"/>
    <w:rsid w:val="0058665D"/>
    <w:rsid w:val="005866AC"/>
    <w:rsid w:val="005866C1"/>
    <w:rsid w:val="005866E9"/>
    <w:rsid w:val="005867A9"/>
    <w:rsid w:val="005867AF"/>
    <w:rsid w:val="005867BD"/>
    <w:rsid w:val="005867D7"/>
    <w:rsid w:val="00586812"/>
    <w:rsid w:val="005868DE"/>
    <w:rsid w:val="00586B86"/>
    <w:rsid w:val="00586C58"/>
    <w:rsid w:val="00586C63"/>
    <w:rsid w:val="00586C8B"/>
    <w:rsid w:val="00586C93"/>
    <w:rsid w:val="00586CE1"/>
    <w:rsid w:val="00586D1E"/>
    <w:rsid w:val="00586D6C"/>
    <w:rsid w:val="00586E31"/>
    <w:rsid w:val="00586E6D"/>
    <w:rsid w:val="00586F01"/>
    <w:rsid w:val="00586F21"/>
    <w:rsid w:val="00586FD0"/>
    <w:rsid w:val="00587028"/>
    <w:rsid w:val="0058711A"/>
    <w:rsid w:val="00587249"/>
    <w:rsid w:val="0058740B"/>
    <w:rsid w:val="0058742F"/>
    <w:rsid w:val="00587465"/>
    <w:rsid w:val="0058746D"/>
    <w:rsid w:val="005874CC"/>
    <w:rsid w:val="0058750C"/>
    <w:rsid w:val="005876AB"/>
    <w:rsid w:val="005877AC"/>
    <w:rsid w:val="00587825"/>
    <w:rsid w:val="00587832"/>
    <w:rsid w:val="0058788D"/>
    <w:rsid w:val="005879C2"/>
    <w:rsid w:val="00587A2D"/>
    <w:rsid w:val="00587A5B"/>
    <w:rsid w:val="00587AFC"/>
    <w:rsid w:val="00587B24"/>
    <w:rsid w:val="00587C2A"/>
    <w:rsid w:val="00587C68"/>
    <w:rsid w:val="00587C7B"/>
    <w:rsid w:val="00587DFC"/>
    <w:rsid w:val="00587E37"/>
    <w:rsid w:val="00587F9C"/>
    <w:rsid w:val="00590027"/>
    <w:rsid w:val="00590099"/>
    <w:rsid w:val="005901B1"/>
    <w:rsid w:val="005901C5"/>
    <w:rsid w:val="005901C7"/>
    <w:rsid w:val="005901F0"/>
    <w:rsid w:val="00590368"/>
    <w:rsid w:val="005903D4"/>
    <w:rsid w:val="0059042A"/>
    <w:rsid w:val="00590477"/>
    <w:rsid w:val="005905BD"/>
    <w:rsid w:val="0059061C"/>
    <w:rsid w:val="00590721"/>
    <w:rsid w:val="00590740"/>
    <w:rsid w:val="00590787"/>
    <w:rsid w:val="005908CC"/>
    <w:rsid w:val="00590A25"/>
    <w:rsid w:val="00590A35"/>
    <w:rsid w:val="00590A46"/>
    <w:rsid w:val="00590B30"/>
    <w:rsid w:val="00590B86"/>
    <w:rsid w:val="00590BC8"/>
    <w:rsid w:val="00590C03"/>
    <w:rsid w:val="00590C25"/>
    <w:rsid w:val="00590C5E"/>
    <w:rsid w:val="00590C91"/>
    <w:rsid w:val="00590CBD"/>
    <w:rsid w:val="00590E0A"/>
    <w:rsid w:val="00590F76"/>
    <w:rsid w:val="00590F92"/>
    <w:rsid w:val="00590FE0"/>
    <w:rsid w:val="0059101A"/>
    <w:rsid w:val="0059101C"/>
    <w:rsid w:val="00591030"/>
    <w:rsid w:val="005910F3"/>
    <w:rsid w:val="005911FA"/>
    <w:rsid w:val="00591203"/>
    <w:rsid w:val="0059132C"/>
    <w:rsid w:val="00591379"/>
    <w:rsid w:val="005913E0"/>
    <w:rsid w:val="00591501"/>
    <w:rsid w:val="005915B9"/>
    <w:rsid w:val="0059162B"/>
    <w:rsid w:val="005916F2"/>
    <w:rsid w:val="00591748"/>
    <w:rsid w:val="00591775"/>
    <w:rsid w:val="0059182B"/>
    <w:rsid w:val="00591846"/>
    <w:rsid w:val="005918E9"/>
    <w:rsid w:val="005918EA"/>
    <w:rsid w:val="005919D7"/>
    <w:rsid w:val="00591A64"/>
    <w:rsid w:val="00591AAA"/>
    <w:rsid w:val="00591AC0"/>
    <w:rsid w:val="00591B0B"/>
    <w:rsid w:val="00591B11"/>
    <w:rsid w:val="00591B7D"/>
    <w:rsid w:val="00591B9B"/>
    <w:rsid w:val="00591C18"/>
    <w:rsid w:val="00591CBB"/>
    <w:rsid w:val="00591D4B"/>
    <w:rsid w:val="00591DFE"/>
    <w:rsid w:val="00591E9D"/>
    <w:rsid w:val="00591EB1"/>
    <w:rsid w:val="00591EF1"/>
    <w:rsid w:val="00591EFB"/>
    <w:rsid w:val="00591F13"/>
    <w:rsid w:val="00591F53"/>
    <w:rsid w:val="00591FF2"/>
    <w:rsid w:val="00592034"/>
    <w:rsid w:val="005920BB"/>
    <w:rsid w:val="005920C5"/>
    <w:rsid w:val="00592200"/>
    <w:rsid w:val="0059254A"/>
    <w:rsid w:val="005925DF"/>
    <w:rsid w:val="005925F6"/>
    <w:rsid w:val="00592636"/>
    <w:rsid w:val="00592680"/>
    <w:rsid w:val="005926CE"/>
    <w:rsid w:val="005926F5"/>
    <w:rsid w:val="0059270D"/>
    <w:rsid w:val="00592763"/>
    <w:rsid w:val="00592793"/>
    <w:rsid w:val="005927C3"/>
    <w:rsid w:val="00592906"/>
    <w:rsid w:val="00592915"/>
    <w:rsid w:val="005929BD"/>
    <w:rsid w:val="005929CC"/>
    <w:rsid w:val="00592A2D"/>
    <w:rsid w:val="00592ADC"/>
    <w:rsid w:val="00592B86"/>
    <w:rsid w:val="00592BC1"/>
    <w:rsid w:val="00592BE7"/>
    <w:rsid w:val="00592CF9"/>
    <w:rsid w:val="00592DC0"/>
    <w:rsid w:val="00592DF4"/>
    <w:rsid w:val="00592E01"/>
    <w:rsid w:val="00592E24"/>
    <w:rsid w:val="00592E6F"/>
    <w:rsid w:val="00592EEC"/>
    <w:rsid w:val="00592EF4"/>
    <w:rsid w:val="00592EF8"/>
    <w:rsid w:val="00592F1F"/>
    <w:rsid w:val="00592FAA"/>
    <w:rsid w:val="00592FE9"/>
    <w:rsid w:val="00593068"/>
    <w:rsid w:val="005930A0"/>
    <w:rsid w:val="005931C1"/>
    <w:rsid w:val="00593288"/>
    <w:rsid w:val="0059336E"/>
    <w:rsid w:val="00593388"/>
    <w:rsid w:val="00593434"/>
    <w:rsid w:val="005934BA"/>
    <w:rsid w:val="005934DE"/>
    <w:rsid w:val="00593522"/>
    <w:rsid w:val="00593557"/>
    <w:rsid w:val="0059356C"/>
    <w:rsid w:val="00593611"/>
    <w:rsid w:val="00593619"/>
    <w:rsid w:val="00593683"/>
    <w:rsid w:val="005938DB"/>
    <w:rsid w:val="00593920"/>
    <w:rsid w:val="0059393C"/>
    <w:rsid w:val="005939CA"/>
    <w:rsid w:val="00593B64"/>
    <w:rsid w:val="00593BE1"/>
    <w:rsid w:val="00593CD6"/>
    <w:rsid w:val="00593D5E"/>
    <w:rsid w:val="00593E33"/>
    <w:rsid w:val="00593E5A"/>
    <w:rsid w:val="00593EF4"/>
    <w:rsid w:val="00593F06"/>
    <w:rsid w:val="00593F0B"/>
    <w:rsid w:val="00593F14"/>
    <w:rsid w:val="00594093"/>
    <w:rsid w:val="005941D4"/>
    <w:rsid w:val="005941E9"/>
    <w:rsid w:val="005941FC"/>
    <w:rsid w:val="0059425A"/>
    <w:rsid w:val="00594289"/>
    <w:rsid w:val="0059433B"/>
    <w:rsid w:val="00594385"/>
    <w:rsid w:val="00594392"/>
    <w:rsid w:val="00594393"/>
    <w:rsid w:val="00594427"/>
    <w:rsid w:val="00594431"/>
    <w:rsid w:val="0059448E"/>
    <w:rsid w:val="00594495"/>
    <w:rsid w:val="005944AC"/>
    <w:rsid w:val="0059455F"/>
    <w:rsid w:val="005946A3"/>
    <w:rsid w:val="0059472A"/>
    <w:rsid w:val="0059481E"/>
    <w:rsid w:val="0059483D"/>
    <w:rsid w:val="0059485E"/>
    <w:rsid w:val="00594917"/>
    <w:rsid w:val="005949DA"/>
    <w:rsid w:val="00594A03"/>
    <w:rsid w:val="00594A81"/>
    <w:rsid w:val="00594B90"/>
    <w:rsid w:val="00594BEE"/>
    <w:rsid w:val="00594C3D"/>
    <w:rsid w:val="00594C70"/>
    <w:rsid w:val="00594CA0"/>
    <w:rsid w:val="00594CAE"/>
    <w:rsid w:val="00594D64"/>
    <w:rsid w:val="00594D7A"/>
    <w:rsid w:val="00594D91"/>
    <w:rsid w:val="00594DF4"/>
    <w:rsid w:val="00594E32"/>
    <w:rsid w:val="00594E92"/>
    <w:rsid w:val="00594EEC"/>
    <w:rsid w:val="00594F74"/>
    <w:rsid w:val="00594F99"/>
    <w:rsid w:val="0059502E"/>
    <w:rsid w:val="005950F8"/>
    <w:rsid w:val="0059516C"/>
    <w:rsid w:val="005952F8"/>
    <w:rsid w:val="0059532B"/>
    <w:rsid w:val="00595331"/>
    <w:rsid w:val="00595335"/>
    <w:rsid w:val="00595373"/>
    <w:rsid w:val="00595397"/>
    <w:rsid w:val="005953C9"/>
    <w:rsid w:val="00595566"/>
    <w:rsid w:val="00595593"/>
    <w:rsid w:val="005955A4"/>
    <w:rsid w:val="0059567B"/>
    <w:rsid w:val="00595683"/>
    <w:rsid w:val="0059574E"/>
    <w:rsid w:val="0059579A"/>
    <w:rsid w:val="005957CF"/>
    <w:rsid w:val="005957F3"/>
    <w:rsid w:val="00595809"/>
    <w:rsid w:val="0059583B"/>
    <w:rsid w:val="0059583C"/>
    <w:rsid w:val="005958A5"/>
    <w:rsid w:val="005958FE"/>
    <w:rsid w:val="005959B4"/>
    <w:rsid w:val="00595A24"/>
    <w:rsid w:val="00595A76"/>
    <w:rsid w:val="00595A80"/>
    <w:rsid w:val="00595B6A"/>
    <w:rsid w:val="00595B6D"/>
    <w:rsid w:val="00595B7F"/>
    <w:rsid w:val="00595B8F"/>
    <w:rsid w:val="00595BA6"/>
    <w:rsid w:val="00595C78"/>
    <w:rsid w:val="00595D45"/>
    <w:rsid w:val="00595D76"/>
    <w:rsid w:val="00595DA0"/>
    <w:rsid w:val="00595E1E"/>
    <w:rsid w:val="00595E37"/>
    <w:rsid w:val="00595E54"/>
    <w:rsid w:val="00595E9D"/>
    <w:rsid w:val="00595F3C"/>
    <w:rsid w:val="00595FE4"/>
    <w:rsid w:val="0059602C"/>
    <w:rsid w:val="00596097"/>
    <w:rsid w:val="0059609A"/>
    <w:rsid w:val="005960D6"/>
    <w:rsid w:val="005960E0"/>
    <w:rsid w:val="00596130"/>
    <w:rsid w:val="00596142"/>
    <w:rsid w:val="00596154"/>
    <w:rsid w:val="00596185"/>
    <w:rsid w:val="0059621D"/>
    <w:rsid w:val="00596256"/>
    <w:rsid w:val="00596295"/>
    <w:rsid w:val="00596389"/>
    <w:rsid w:val="00596431"/>
    <w:rsid w:val="0059643A"/>
    <w:rsid w:val="00596446"/>
    <w:rsid w:val="005965DC"/>
    <w:rsid w:val="00596658"/>
    <w:rsid w:val="005966B7"/>
    <w:rsid w:val="00596716"/>
    <w:rsid w:val="00596773"/>
    <w:rsid w:val="00596854"/>
    <w:rsid w:val="0059685F"/>
    <w:rsid w:val="005968B0"/>
    <w:rsid w:val="005968DE"/>
    <w:rsid w:val="005968FC"/>
    <w:rsid w:val="00596985"/>
    <w:rsid w:val="0059698E"/>
    <w:rsid w:val="00596AC0"/>
    <w:rsid w:val="00596AC4"/>
    <w:rsid w:val="00596C0D"/>
    <w:rsid w:val="00596C11"/>
    <w:rsid w:val="00596C8A"/>
    <w:rsid w:val="00596C9D"/>
    <w:rsid w:val="00596DED"/>
    <w:rsid w:val="00596E81"/>
    <w:rsid w:val="00596F00"/>
    <w:rsid w:val="00596F61"/>
    <w:rsid w:val="00596FAF"/>
    <w:rsid w:val="00597083"/>
    <w:rsid w:val="005970C2"/>
    <w:rsid w:val="005970EC"/>
    <w:rsid w:val="005970FD"/>
    <w:rsid w:val="005971F7"/>
    <w:rsid w:val="00597257"/>
    <w:rsid w:val="0059725B"/>
    <w:rsid w:val="005972C1"/>
    <w:rsid w:val="005972F2"/>
    <w:rsid w:val="0059731C"/>
    <w:rsid w:val="00597368"/>
    <w:rsid w:val="0059738B"/>
    <w:rsid w:val="005973C1"/>
    <w:rsid w:val="00597511"/>
    <w:rsid w:val="0059758D"/>
    <w:rsid w:val="00597615"/>
    <w:rsid w:val="0059765F"/>
    <w:rsid w:val="0059772A"/>
    <w:rsid w:val="00597730"/>
    <w:rsid w:val="005977DE"/>
    <w:rsid w:val="0059780A"/>
    <w:rsid w:val="00597849"/>
    <w:rsid w:val="0059788B"/>
    <w:rsid w:val="005979C1"/>
    <w:rsid w:val="00597A0A"/>
    <w:rsid w:val="00597A37"/>
    <w:rsid w:val="00597B5A"/>
    <w:rsid w:val="00597BC8"/>
    <w:rsid w:val="00597CC3"/>
    <w:rsid w:val="00597D21"/>
    <w:rsid w:val="00597D37"/>
    <w:rsid w:val="00597F3E"/>
    <w:rsid w:val="00597FAE"/>
    <w:rsid w:val="005A0014"/>
    <w:rsid w:val="005A0070"/>
    <w:rsid w:val="005A00CA"/>
    <w:rsid w:val="005A010F"/>
    <w:rsid w:val="005A013B"/>
    <w:rsid w:val="005A014F"/>
    <w:rsid w:val="005A01A5"/>
    <w:rsid w:val="005A01CD"/>
    <w:rsid w:val="005A0262"/>
    <w:rsid w:val="005A0269"/>
    <w:rsid w:val="005A027A"/>
    <w:rsid w:val="005A02E5"/>
    <w:rsid w:val="005A030B"/>
    <w:rsid w:val="005A032C"/>
    <w:rsid w:val="005A0361"/>
    <w:rsid w:val="005A03C1"/>
    <w:rsid w:val="005A03CA"/>
    <w:rsid w:val="005A0422"/>
    <w:rsid w:val="005A04BC"/>
    <w:rsid w:val="005A0590"/>
    <w:rsid w:val="005A05C1"/>
    <w:rsid w:val="005A0671"/>
    <w:rsid w:val="005A06B0"/>
    <w:rsid w:val="005A0744"/>
    <w:rsid w:val="005A074C"/>
    <w:rsid w:val="005A0758"/>
    <w:rsid w:val="005A0843"/>
    <w:rsid w:val="005A08A0"/>
    <w:rsid w:val="005A0989"/>
    <w:rsid w:val="005A0A06"/>
    <w:rsid w:val="005A0A10"/>
    <w:rsid w:val="005A0B56"/>
    <w:rsid w:val="005A0B62"/>
    <w:rsid w:val="005A0CEA"/>
    <w:rsid w:val="005A0D87"/>
    <w:rsid w:val="005A0E74"/>
    <w:rsid w:val="005A0EA1"/>
    <w:rsid w:val="005A0F75"/>
    <w:rsid w:val="005A1062"/>
    <w:rsid w:val="005A1087"/>
    <w:rsid w:val="005A1136"/>
    <w:rsid w:val="005A1137"/>
    <w:rsid w:val="005A1169"/>
    <w:rsid w:val="005A120D"/>
    <w:rsid w:val="005A1279"/>
    <w:rsid w:val="005A1283"/>
    <w:rsid w:val="005A1357"/>
    <w:rsid w:val="005A1431"/>
    <w:rsid w:val="005A1479"/>
    <w:rsid w:val="005A14D7"/>
    <w:rsid w:val="005A1544"/>
    <w:rsid w:val="005A15A0"/>
    <w:rsid w:val="005A1663"/>
    <w:rsid w:val="005A16DB"/>
    <w:rsid w:val="005A174D"/>
    <w:rsid w:val="005A1797"/>
    <w:rsid w:val="005A17D9"/>
    <w:rsid w:val="005A17F2"/>
    <w:rsid w:val="005A1800"/>
    <w:rsid w:val="005A1916"/>
    <w:rsid w:val="005A1934"/>
    <w:rsid w:val="005A1945"/>
    <w:rsid w:val="005A1A00"/>
    <w:rsid w:val="005A1AA2"/>
    <w:rsid w:val="005A1B45"/>
    <w:rsid w:val="005A1B71"/>
    <w:rsid w:val="005A1BF6"/>
    <w:rsid w:val="005A1CF9"/>
    <w:rsid w:val="005A1D41"/>
    <w:rsid w:val="005A1E2B"/>
    <w:rsid w:val="005A1F00"/>
    <w:rsid w:val="005A1FA6"/>
    <w:rsid w:val="005A204F"/>
    <w:rsid w:val="005A20BB"/>
    <w:rsid w:val="005A2113"/>
    <w:rsid w:val="005A2130"/>
    <w:rsid w:val="005A21C7"/>
    <w:rsid w:val="005A21EC"/>
    <w:rsid w:val="005A2241"/>
    <w:rsid w:val="005A225C"/>
    <w:rsid w:val="005A2286"/>
    <w:rsid w:val="005A246E"/>
    <w:rsid w:val="005A2524"/>
    <w:rsid w:val="005A2560"/>
    <w:rsid w:val="005A26AE"/>
    <w:rsid w:val="005A26CA"/>
    <w:rsid w:val="005A2781"/>
    <w:rsid w:val="005A2914"/>
    <w:rsid w:val="005A291F"/>
    <w:rsid w:val="005A29A1"/>
    <w:rsid w:val="005A29B2"/>
    <w:rsid w:val="005A2A9F"/>
    <w:rsid w:val="005A2B4F"/>
    <w:rsid w:val="005A2B72"/>
    <w:rsid w:val="005A2BC5"/>
    <w:rsid w:val="005A2C3E"/>
    <w:rsid w:val="005A2C7B"/>
    <w:rsid w:val="005A2C8D"/>
    <w:rsid w:val="005A2C98"/>
    <w:rsid w:val="005A2CF3"/>
    <w:rsid w:val="005A2D2B"/>
    <w:rsid w:val="005A2D30"/>
    <w:rsid w:val="005A2EA4"/>
    <w:rsid w:val="005A3052"/>
    <w:rsid w:val="005A30B9"/>
    <w:rsid w:val="005A315E"/>
    <w:rsid w:val="005A31D1"/>
    <w:rsid w:val="005A3213"/>
    <w:rsid w:val="005A3237"/>
    <w:rsid w:val="005A3239"/>
    <w:rsid w:val="005A32CC"/>
    <w:rsid w:val="005A346F"/>
    <w:rsid w:val="005A348E"/>
    <w:rsid w:val="005A3603"/>
    <w:rsid w:val="005A369A"/>
    <w:rsid w:val="005A36BD"/>
    <w:rsid w:val="005A36C9"/>
    <w:rsid w:val="005A3787"/>
    <w:rsid w:val="005A37F7"/>
    <w:rsid w:val="005A38DB"/>
    <w:rsid w:val="005A39E3"/>
    <w:rsid w:val="005A39F0"/>
    <w:rsid w:val="005A3A16"/>
    <w:rsid w:val="005A3ABA"/>
    <w:rsid w:val="005A3AF2"/>
    <w:rsid w:val="005A3B3A"/>
    <w:rsid w:val="005A3B7C"/>
    <w:rsid w:val="005A3C0F"/>
    <w:rsid w:val="005A3C20"/>
    <w:rsid w:val="005A3C67"/>
    <w:rsid w:val="005A3CCE"/>
    <w:rsid w:val="005A3CEB"/>
    <w:rsid w:val="005A3D10"/>
    <w:rsid w:val="005A3DC2"/>
    <w:rsid w:val="005A3E37"/>
    <w:rsid w:val="005A3F4F"/>
    <w:rsid w:val="005A3F93"/>
    <w:rsid w:val="005A3FB0"/>
    <w:rsid w:val="005A3FDC"/>
    <w:rsid w:val="005A3FFA"/>
    <w:rsid w:val="005A40A2"/>
    <w:rsid w:val="005A411E"/>
    <w:rsid w:val="005A4347"/>
    <w:rsid w:val="005A435D"/>
    <w:rsid w:val="005A437C"/>
    <w:rsid w:val="005A43D9"/>
    <w:rsid w:val="005A444E"/>
    <w:rsid w:val="005A467B"/>
    <w:rsid w:val="005A468F"/>
    <w:rsid w:val="005A46C7"/>
    <w:rsid w:val="005A471E"/>
    <w:rsid w:val="005A4877"/>
    <w:rsid w:val="005A48C1"/>
    <w:rsid w:val="005A48DF"/>
    <w:rsid w:val="005A49BC"/>
    <w:rsid w:val="005A4A81"/>
    <w:rsid w:val="005A4AF1"/>
    <w:rsid w:val="005A4B8D"/>
    <w:rsid w:val="005A4BA7"/>
    <w:rsid w:val="005A4BA8"/>
    <w:rsid w:val="005A4BDB"/>
    <w:rsid w:val="005A4BF9"/>
    <w:rsid w:val="005A4D42"/>
    <w:rsid w:val="005A5027"/>
    <w:rsid w:val="005A508C"/>
    <w:rsid w:val="005A50EC"/>
    <w:rsid w:val="005A5117"/>
    <w:rsid w:val="005A5126"/>
    <w:rsid w:val="005A5156"/>
    <w:rsid w:val="005A526E"/>
    <w:rsid w:val="005A52E4"/>
    <w:rsid w:val="005A53B4"/>
    <w:rsid w:val="005A53D7"/>
    <w:rsid w:val="005A5460"/>
    <w:rsid w:val="005A5468"/>
    <w:rsid w:val="005A54B4"/>
    <w:rsid w:val="005A54E5"/>
    <w:rsid w:val="005A55A3"/>
    <w:rsid w:val="005A562F"/>
    <w:rsid w:val="005A5785"/>
    <w:rsid w:val="005A57CF"/>
    <w:rsid w:val="005A583D"/>
    <w:rsid w:val="005A5852"/>
    <w:rsid w:val="005A587A"/>
    <w:rsid w:val="005A590F"/>
    <w:rsid w:val="005A59AF"/>
    <w:rsid w:val="005A5A21"/>
    <w:rsid w:val="005A5A64"/>
    <w:rsid w:val="005A5B4B"/>
    <w:rsid w:val="005A5BD8"/>
    <w:rsid w:val="005A5C61"/>
    <w:rsid w:val="005A5CDB"/>
    <w:rsid w:val="005A5CEC"/>
    <w:rsid w:val="005A5D7F"/>
    <w:rsid w:val="005A5E49"/>
    <w:rsid w:val="005A5FA9"/>
    <w:rsid w:val="005A601A"/>
    <w:rsid w:val="005A60B8"/>
    <w:rsid w:val="005A6179"/>
    <w:rsid w:val="005A61BE"/>
    <w:rsid w:val="005A62A1"/>
    <w:rsid w:val="005A62C4"/>
    <w:rsid w:val="005A632C"/>
    <w:rsid w:val="005A6426"/>
    <w:rsid w:val="005A6445"/>
    <w:rsid w:val="005A64B9"/>
    <w:rsid w:val="005A659F"/>
    <w:rsid w:val="005A65AC"/>
    <w:rsid w:val="005A65D7"/>
    <w:rsid w:val="005A6602"/>
    <w:rsid w:val="005A6641"/>
    <w:rsid w:val="005A6726"/>
    <w:rsid w:val="005A673E"/>
    <w:rsid w:val="005A6788"/>
    <w:rsid w:val="005A6809"/>
    <w:rsid w:val="005A6842"/>
    <w:rsid w:val="005A68BA"/>
    <w:rsid w:val="005A68C3"/>
    <w:rsid w:val="005A6A38"/>
    <w:rsid w:val="005A6AEB"/>
    <w:rsid w:val="005A6AF8"/>
    <w:rsid w:val="005A6B37"/>
    <w:rsid w:val="005A6B4A"/>
    <w:rsid w:val="005A6D05"/>
    <w:rsid w:val="005A6ED4"/>
    <w:rsid w:val="005A6FD4"/>
    <w:rsid w:val="005A6FD8"/>
    <w:rsid w:val="005A6FE7"/>
    <w:rsid w:val="005A7031"/>
    <w:rsid w:val="005A713C"/>
    <w:rsid w:val="005A715C"/>
    <w:rsid w:val="005A716C"/>
    <w:rsid w:val="005A7199"/>
    <w:rsid w:val="005A71CD"/>
    <w:rsid w:val="005A71FB"/>
    <w:rsid w:val="005A7204"/>
    <w:rsid w:val="005A7380"/>
    <w:rsid w:val="005A7434"/>
    <w:rsid w:val="005A74EE"/>
    <w:rsid w:val="005A75ED"/>
    <w:rsid w:val="005A769F"/>
    <w:rsid w:val="005A7782"/>
    <w:rsid w:val="005A77D3"/>
    <w:rsid w:val="005A77D7"/>
    <w:rsid w:val="005A7842"/>
    <w:rsid w:val="005A7966"/>
    <w:rsid w:val="005A799E"/>
    <w:rsid w:val="005A79C3"/>
    <w:rsid w:val="005A7A1C"/>
    <w:rsid w:val="005A7A2F"/>
    <w:rsid w:val="005A7B74"/>
    <w:rsid w:val="005A7B8A"/>
    <w:rsid w:val="005A7BDF"/>
    <w:rsid w:val="005A7C98"/>
    <w:rsid w:val="005A7CA2"/>
    <w:rsid w:val="005A7CE6"/>
    <w:rsid w:val="005A7CFA"/>
    <w:rsid w:val="005A7DA6"/>
    <w:rsid w:val="005A7E4C"/>
    <w:rsid w:val="005A7E73"/>
    <w:rsid w:val="005A7E7F"/>
    <w:rsid w:val="005B0038"/>
    <w:rsid w:val="005B0153"/>
    <w:rsid w:val="005B01BC"/>
    <w:rsid w:val="005B0318"/>
    <w:rsid w:val="005B049E"/>
    <w:rsid w:val="005B056F"/>
    <w:rsid w:val="005B06A0"/>
    <w:rsid w:val="005B06DA"/>
    <w:rsid w:val="005B06E0"/>
    <w:rsid w:val="005B0733"/>
    <w:rsid w:val="005B0843"/>
    <w:rsid w:val="005B0A30"/>
    <w:rsid w:val="005B0A85"/>
    <w:rsid w:val="005B0AB6"/>
    <w:rsid w:val="005B0ACC"/>
    <w:rsid w:val="005B0B3F"/>
    <w:rsid w:val="005B0C4A"/>
    <w:rsid w:val="005B0C4B"/>
    <w:rsid w:val="005B0C5F"/>
    <w:rsid w:val="005B0D29"/>
    <w:rsid w:val="005B0D57"/>
    <w:rsid w:val="005B0DD6"/>
    <w:rsid w:val="005B0E06"/>
    <w:rsid w:val="005B0E1F"/>
    <w:rsid w:val="005B0F40"/>
    <w:rsid w:val="005B0F43"/>
    <w:rsid w:val="005B102A"/>
    <w:rsid w:val="005B102C"/>
    <w:rsid w:val="005B1036"/>
    <w:rsid w:val="005B107B"/>
    <w:rsid w:val="005B1132"/>
    <w:rsid w:val="005B1359"/>
    <w:rsid w:val="005B1364"/>
    <w:rsid w:val="005B137A"/>
    <w:rsid w:val="005B1417"/>
    <w:rsid w:val="005B15FA"/>
    <w:rsid w:val="005B1647"/>
    <w:rsid w:val="005B1711"/>
    <w:rsid w:val="005B1790"/>
    <w:rsid w:val="005B1852"/>
    <w:rsid w:val="005B1A42"/>
    <w:rsid w:val="005B1A9D"/>
    <w:rsid w:val="005B1AEB"/>
    <w:rsid w:val="005B1BE0"/>
    <w:rsid w:val="005B1C59"/>
    <w:rsid w:val="005B1D19"/>
    <w:rsid w:val="005B1D65"/>
    <w:rsid w:val="005B1DE2"/>
    <w:rsid w:val="005B1E0E"/>
    <w:rsid w:val="005B1E39"/>
    <w:rsid w:val="005B2021"/>
    <w:rsid w:val="005B203D"/>
    <w:rsid w:val="005B2047"/>
    <w:rsid w:val="005B20BA"/>
    <w:rsid w:val="005B20E7"/>
    <w:rsid w:val="005B2101"/>
    <w:rsid w:val="005B213D"/>
    <w:rsid w:val="005B22A5"/>
    <w:rsid w:val="005B22EB"/>
    <w:rsid w:val="005B2338"/>
    <w:rsid w:val="005B234E"/>
    <w:rsid w:val="005B238D"/>
    <w:rsid w:val="005B23E0"/>
    <w:rsid w:val="005B23EF"/>
    <w:rsid w:val="005B23F3"/>
    <w:rsid w:val="005B2476"/>
    <w:rsid w:val="005B2563"/>
    <w:rsid w:val="005B2693"/>
    <w:rsid w:val="005B26A0"/>
    <w:rsid w:val="005B271E"/>
    <w:rsid w:val="005B2770"/>
    <w:rsid w:val="005B27B7"/>
    <w:rsid w:val="005B2898"/>
    <w:rsid w:val="005B28EB"/>
    <w:rsid w:val="005B28F4"/>
    <w:rsid w:val="005B299D"/>
    <w:rsid w:val="005B2A27"/>
    <w:rsid w:val="005B2A44"/>
    <w:rsid w:val="005B2A87"/>
    <w:rsid w:val="005B2AA3"/>
    <w:rsid w:val="005B2BEA"/>
    <w:rsid w:val="005B2C4E"/>
    <w:rsid w:val="005B2CD8"/>
    <w:rsid w:val="005B2D95"/>
    <w:rsid w:val="005B2F0A"/>
    <w:rsid w:val="005B2F29"/>
    <w:rsid w:val="005B2F46"/>
    <w:rsid w:val="005B2F5D"/>
    <w:rsid w:val="005B2F92"/>
    <w:rsid w:val="005B3183"/>
    <w:rsid w:val="005B319A"/>
    <w:rsid w:val="005B31EF"/>
    <w:rsid w:val="005B3201"/>
    <w:rsid w:val="005B32BF"/>
    <w:rsid w:val="005B3310"/>
    <w:rsid w:val="005B33A1"/>
    <w:rsid w:val="005B33ED"/>
    <w:rsid w:val="005B33F3"/>
    <w:rsid w:val="005B3408"/>
    <w:rsid w:val="005B341E"/>
    <w:rsid w:val="005B34CA"/>
    <w:rsid w:val="005B35DA"/>
    <w:rsid w:val="005B360F"/>
    <w:rsid w:val="005B369C"/>
    <w:rsid w:val="005B36D5"/>
    <w:rsid w:val="005B374A"/>
    <w:rsid w:val="005B37A9"/>
    <w:rsid w:val="005B37B5"/>
    <w:rsid w:val="005B37CF"/>
    <w:rsid w:val="005B3818"/>
    <w:rsid w:val="005B38AF"/>
    <w:rsid w:val="005B38F1"/>
    <w:rsid w:val="005B392F"/>
    <w:rsid w:val="005B3984"/>
    <w:rsid w:val="005B39ED"/>
    <w:rsid w:val="005B39F0"/>
    <w:rsid w:val="005B39F7"/>
    <w:rsid w:val="005B3A52"/>
    <w:rsid w:val="005B3ABE"/>
    <w:rsid w:val="005B3ADC"/>
    <w:rsid w:val="005B3B39"/>
    <w:rsid w:val="005B3B63"/>
    <w:rsid w:val="005B3C25"/>
    <w:rsid w:val="005B3C32"/>
    <w:rsid w:val="005B3C7E"/>
    <w:rsid w:val="005B3D03"/>
    <w:rsid w:val="005B3D22"/>
    <w:rsid w:val="005B3F01"/>
    <w:rsid w:val="005B3F16"/>
    <w:rsid w:val="005B3F9C"/>
    <w:rsid w:val="005B3FA8"/>
    <w:rsid w:val="005B3FAF"/>
    <w:rsid w:val="005B4067"/>
    <w:rsid w:val="005B4160"/>
    <w:rsid w:val="005B41D6"/>
    <w:rsid w:val="005B422A"/>
    <w:rsid w:val="005B4308"/>
    <w:rsid w:val="005B4338"/>
    <w:rsid w:val="005B438A"/>
    <w:rsid w:val="005B43AF"/>
    <w:rsid w:val="005B43D6"/>
    <w:rsid w:val="005B4506"/>
    <w:rsid w:val="005B452A"/>
    <w:rsid w:val="005B4616"/>
    <w:rsid w:val="005B464E"/>
    <w:rsid w:val="005B470B"/>
    <w:rsid w:val="005B4767"/>
    <w:rsid w:val="005B478B"/>
    <w:rsid w:val="005B47A9"/>
    <w:rsid w:val="005B48C0"/>
    <w:rsid w:val="005B48EE"/>
    <w:rsid w:val="005B49A4"/>
    <w:rsid w:val="005B49F8"/>
    <w:rsid w:val="005B4AE6"/>
    <w:rsid w:val="005B4B87"/>
    <w:rsid w:val="005B4BB2"/>
    <w:rsid w:val="005B4BB9"/>
    <w:rsid w:val="005B4BE9"/>
    <w:rsid w:val="005B4DCB"/>
    <w:rsid w:val="005B4E0F"/>
    <w:rsid w:val="005B4E80"/>
    <w:rsid w:val="005B4F75"/>
    <w:rsid w:val="005B4FEE"/>
    <w:rsid w:val="005B50E5"/>
    <w:rsid w:val="005B5158"/>
    <w:rsid w:val="005B5233"/>
    <w:rsid w:val="005B524E"/>
    <w:rsid w:val="005B5440"/>
    <w:rsid w:val="005B5448"/>
    <w:rsid w:val="005B545A"/>
    <w:rsid w:val="005B54F0"/>
    <w:rsid w:val="005B5697"/>
    <w:rsid w:val="005B578A"/>
    <w:rsid w:val="005B579F"/>
    <w:rsid w:val="005B5803"/>
    <w:rsid w:val="005B58E8"/>
    <w:rsid w:val="005B5AEA"/>
    <w:rsid w:val="005B5C37"/>
    <w:rsid w:val="005B5C44"/>
    <w:rsid w:val="005B5D1D"/>
    <w:rsid w:val="005B5E2A"/>
    <w:rsid w:val="005B5E37"/>
    <w:rsid w:val="005B5E8F"/>
    <w:rsid w:val="005B5E98"/>
    <w:rsid w:val="005B5F53"/>
    <w:rsid w:val="005B5F74"/>
    <w:rsid w:val="005B5FE9"/>
    <w:rsid w:val="005B61DA"/>
    <w:rsid w:val="005B6291"/>
    <w:rsid w:val="005B6321"/>
    <w:rsid w:val="005B633C"/>
    <w:rsid w:val="005B638B"/>
    <w:rsid w:val="005B6492"/>
    <w:rsid w:val="005B64AC"/>
    <w:rsid w:val="005B654F"/>
    <w:rsid w:val="005B65BD"/>
    <w:rsid w:val="005B6605"/>
    <w:rsid w:val="005B660E"/>
    <w:rsid w:val="005B663D"/>
    <w:rsid w:val="005B6729"/>
    <w:rsid w:val="005B679E"/>
    <w:rsid w:val="005B67DD"/>
    <w:rsid w:val="005B6815"/>
    <w:rsid w:val="005B6831"/>
    <w:rsid w:val="005B6846"/>
    <w:rsid w:val="005B6864"/>
    <w:rsid w:val="005B689F"/>
    <w:rsid w:val="005B695E"/>
    <w:rsid w:val="005B69B0"/>
    <w:rsid w:val="005B6A55"/>
    <w:rsid w:val="005B6A80"/>
    <w:rsid w:val="005B6C18"/>
    <w:rsid w:val="005B6CBD"/>
    <w:rsid w:val="005B6DA5"/>
    <w:rsid w:val="005B6DC6"/>
    <w:rsid w:val="005B6E3D"/>
    <w:rsid w:val="005B6E82"/>
    <w:rsid w:val="005B6EBA"/>
    <w:rsid w:val="005B6EC4"/>
    <w:rsid w:val="005B6EF8"/>
    <w:rsid w:val="005B6F0C"/>
    <w:rsid w:val="005B7104"/>
    <w:rsid w:val="005B710E"/>
    <w:rsid w:val="005B725F"/>
    <w:rsid w:val="005B72C1"/>
    <w:rsid w:val="005B7320"/>
    <w:rsid w:val="005B745D"/>
    <w:rsid w:val="005B747F"/>
    <w:rsid w:val="005B7517"/>
    <w:rsid w:val="005B7526"/>
    <w:rsid w:val="005B7646"/>
    <w:rsid w:val="005B76A6"/>
    <w:rsid w:val="005B76AA"/>
    <w:rsid w:val="005B7789"/>
    <w:rsid w:val="005B77AE"/>
    <w:rsid w:val="005B78FD"/>
    <w:rsid w:val="005B793F"/>
    <w:rsid w:val="005B79E8"/>
    <w:rsid w:val="005B7A21"/>
    <w:rsid w:val="005B7AE0"/>
    <w:rsid w:val="005B7B51"/>
    <w:rsid w:val="005B7B72"/>
    <w:rsid w:val="005B7BB3"/>
    <w:rsid w:val="005B7CC1"/>
    <w:rsid w:val="005B7D19"/>
    <w:rsid w:val="005B7DA1"/>
    <w:rsid w:val="005B7E57"/>
    <w:rsid w:val="005B7E93"/>
    <w:rsid w:val="005B7FB9"/>
    <w:rsid w:val="005B7FC0"/>
    <w:rsid w:val="005C007E"/>
    <w:rsid w:val="005C0086"/>
    <w:rsid w:val="005C014F"/>
    <w:rsid w:val="005C0186"/>
    <w:rsid w:val="005C022A"/>
    <w:rsid w:val="005C02A4"/>
    <w:rsid w:val="005C02A6"/>
    <w:rsid w:val="005C0359"/>
    <w:rsid w:val="005C0378"/>
    <w:rsid w:val="005C038F"/>
    <w:rsid w:val="005C03B6"/>
    <w:rsid w:val="005C0440"/>
    <w:rsid w:val="005C0486"/>
    <w:rsid w:val="005C0531"/>
    <w:rsid w:val="005C0559"/>
    <w:rsid w:val="005C05FC"/>
    <w:rsid w:val="005C0607"/>
    <w:rsid w:val="005C0640"/>
    <w:rsid w:val="005C0674"/>
    <w:rsid w:val="005C06B6"/>
    <w:rsid w:val="005C077E"/>
    <w:rsid w:val="005C0828"/>
    <w:rsid w:val="005C08F3"/>
    <w:rsid w:val="005C091D"/>
    <w:rsid w:val="005C09B4"/>
    <w:rsid w:val="005C0A20"/>
    <w:rsid w:val="005C0A4F"/>
    <w:rsid w:val="005C0A53"/>
    <w:rsid w:val="005C0ABF"/>
    <w:rsid w:val="005C0B20"/>
    <w:rsid w:val="005C0B9F"/>
    <w:rsid w:val="005C0C81"/>
    <w:rsid w:val="005C0D92"/>
    <w:rsid w:val="005C0DCD"/>
    <w:rsid w:val="005C0DE6"/>
    <w:rsid w:val="005C0E34"/>
    <w:rsid w:val="005C0E3F"/>
    <w:rsid w:val="005C0E6C"/>
    <w:rsid w:val="005C0EFD"/>
    <w:rsid w:val="005C0F00"/>
    <w:rsid w:val="005C1055"/>
    <w:rsid w:val="005C1060"/>
    <w:rsid w:val="005C1084"/>
    <w:rsid w:val="005C10AC"/>
    <w:rsid w:val="005C10F9"/>
    <w:rsid w:val="005C112F"/>
    <w:rsid w:val="005C11E6"/>
    <w:rsid w:val="005C12A6"/>
    <w:rsid w:val="005C1379"/>
    <w:rsid w:val="005C13D0"/>
    <w:rsid w:val="005C13E3"/>
    <w:rsid w:val="005C1421"/>
    <w:rsid w:val="005C146C"/>
    <w:rsid w:val="005C1472"/>
    <w:rsid w:val="005C14C5"/>
    <w:rsid w:val="005C14EC"/>
    <w:rsid w:val="005C1531"/>
    <w:rsid w:val="005C16E6"/>
    <w:rsid w:val="005C17B8"/>
    <w:rsid w:val="005C17D4"/>
    <w:rsid w:val="005C182D"/>
    <w:rsid w:val="005C18E3"/>
    <w:rsid w:val="005C18EE"/>
    <w:rsid w:val="005C1997"/>
    <w:rsid w:val="005C19FE"/>
    <w:rsid w:val="005C1A2C"/>
    <w:rsid w:val="005C1A4A"/>
    <w:rsid w:val="005C1A7F"/>
    <w:rsid w:val="005C1B88"/>
    <w:rsid w:val="005C1BAC"/>
    <w:rsid w:val="005C1C1E"/>
    <w:rsid w:val="005C1C34"/>
    <w:rsid w:val="005C1D50"/>
    <w:rsid w:val="005C1DEA"/>
    <w:rsid w:val="005C1ED4"/>
    <w:rsid w:val="005C1F41"/>
    <w:rsid w:val="005C1FE7"/>
    <w:rsid w:val="005C206D"/>
    <w:rsid w:val="005C209E"/>
    <w:rsid w:val="005C20D2"/>
    <w:rsid w:val="005C20D6"/>
    <w:rsid w:val="005C2251"/>
    <w:rsid w:val="005C226B"/>
    <w:rsid w:val="005C22B2"/>
    <w:rsid w:val="005C22D1"/>
    <w:rsid w:val="005C2314"/>
    <w:rsid w:val="005C2347"/>
    <w:rsid w:val="005C23F9"/>
    <w:rsid w:val="005C23FF"/>
    <w:rsid w:val="005C246D"/>
    <w:rsid w:val="005C24B4"/>
    <w:rsid w:val="005C24D1"/>
    <w:rsid w:val="005C2615"/>
    <w:rsid w:val="005C2633"/>
    <w:rsid w:val="005C26FF"/>
    <w:rsid w:val="005C2737"/>
    <w:rsid w:val="005C281C"/>
    <w:rsid w:val="005C2875"/>
    <w:rsid w:val="005C28A7"/>
    <w:rsid w:val="005C28AB"/>
    <w:rsid w:val="005C28D2"/>
    <w:rsid w:val="005C2928"/>
    <w:rsid w:val="005C299B"/>
    <w:rsid w:val="005C29CF"/>
    <w:rsid w:val="005C2B8F"/>
    <w:rsid w:val="005C2BA5"/>
    <w:rsid w:val="005C2C4C"/>
    <w:rsid w:val="005C2CC4"/>
    <w:rsid w:val="005C2D01"/>
    <w:rsid w:val="005C2D4F"/>
    <w:rsid w:val="005C2D7A"/>
    <w:rsid w:val="005C2D85"/>
    <w:rsid w:val="005C2E10"/>
    <w:rsid w:val="005C2E49"/>
    <w:rsid w:val="005C2EB0"/>
    <w:rsid w:val="005C2ECA"/>
    <w:rsid w:val="005C2F7A"/>
    <w:rsid w:val="005C2FB2"/>
    <w:rsid w:val="005C3008"/>
    <w:rsid w:val="005C3032"/>
    <w:rsid w:val="005C30BE"/>
    <w:rsid w:val="005C313C"/>
    <w:rsid w:val="005C316A"/>
    <w:rsid w:val="005C3211"/>
    <w:rsid w:val="005C32B7"/>
    <w:rsid w:val="005C32FE"/>
    <w:rsid w:val="005C3378"/>
    <w:rsid w:val="005C338B"/>
    <w:rsid w:val="005C352E"/>
    <w:rsid w:val="005C36A1"/>
    <w:rsid w:val="005C36C2"/>
    <w:rsid w:val="005C36FC"/>
    <w:rsid w:val="005C3702"/>
    <w:rsid w:val="005C37A0"/>
    <w:rsid w:val="005C37C1"/>
    <w:rsid w:val="005C37D0"/>
    <w:rsid w:val="005C37DC"/>
    <w:rsid w:val="005C391C"/>
    <w:rsid w:val="005C391D"/>
    <w:rsid w:val="005C3944"/>
    <w:rsid w:val="005C3A69"/>
    <w:rsid w:val="005C3A85"/>
    <w:rsid w:val="005C3B74"/>
    <w:rsid w:val="005C3BC3"/>
    <w:rsid w:val="005C3C18"/>
    <w:rsid w:val="005C3C1F"/>
    <w:rsid w:val="005C3C2A"/>
    <w:rsid w:val="005C3D0C"/>
    <w:rsid w:val="005C3DCF"/>
    <w:rsid w:val="005C3E05"/>
    <w:rsid w:val="005C3F7E"/>
    <w:rsid w:val="005C3F87"/>
    <w:rsid w:val="005C3F8E"/>
    <w:rsid w:val="005C3FA4"/>
    <w:rsid w:val="005C3FF6"/>
    <w:rsid w:val="005C401B"/>
    <w:rsid w:val="005C4097"/>
    <w:rsid w:val="005C4191"/>
    <w:rsid w:val="005C42BA"/>
    <w:rsid w:val="005C4307"/>
    <w:rsid w:val="005C4311"/>
    <w:rsid w:val="005C440D"/>
    <w:rsid w:val="005C4457"/>
    <w:rsid w:val="005C466C"/>
    <w:rsid w:val="005C4832"/>
    <w:rsid w:val="005C48D7"/>
    <w:rsid w:val="005C48E4"/>
    <w:rsid w:val="005C498C"/>
    <w:rsid w:val="005C49AF"/>
    <w:rsid w:val="005C49C3"/>
    <w:rsid w:val="005C49D5"/>
    <w:rsid w:val="005C4A40"/>
    <w:rsid w:val="005C4A92"/>
    <w:rsid w:val="005C4BB2"/>
    <w:rsid w:val="005C4C02"/>
    <w:rsid w:val="005C4C55"/>
    <w:rsid w:val="005C4CE2"/>
    <w:rsid w:val="005C4D03"/>
    <w:rsid w:val="005C4DCB"/>
    <w:rsid w:val="005C4DD5"/>
    <w:rsid w:val="005C4DF1"/>
    <w:rsid w:val="005C4E13"/>
    <w:rsid w:val="005C4E24"/>
    <w:rsid w:val="005C4F44"/>
    <w:rsid w:val="005C4F45"/>
    <w:rsid w:val="005C4F4D"/>
    <w:rsid w:val="005C4F52"/>
    <w:rsid w:val="005C503A"/>
    <w:rsid w:val="005C5048"/>
    <w:rsid w:val="005C50A4"/>
    <w:rsid w:val="005C50C8"/>
    <w:rsid w:val="005C517B"/>
    <w:rsid w:val="005C525B"/>
    <w:rsid w:val="005C52B5"/>
    <w:rsid w:val="005C53D8"/>
    <w:rsid w:val="005C546D"/>
    <w:rsid w:val="005C547D"/>
    <w:rsid w:val="005C5558"/>
    <w:rsid w:val="005C5571"/>
    <w:rsid w:val="005C5682"/>
    <w:rsid w:val="005C569C"/>
    <w:rsid w:val="005C57B1"/>
    <w:rsid w:val="005C57D4"/>
    <w:rsid w:val="005C58AE"/>
    <w:rsid w:val="005C593F"/>
    <w:rsid w:val="005C59A3"/>
    <w:rsid w:val="005C59DB"/>
    <w:rsid w:val="005C5A79"/>
    <w:rsid w:val="005C5A95"/>
    <w:rsid w:val="005C5AEA"/>
    <w:rsid w:val="005C5AF3"/>
    <w:rsid w:val="005C5B42"/>
    <w:rsid w:val="005C5B58"/>
    <w:rsid w:val="005C5C16"/>
    <w:rsid w:val="005C5F0A"/>
    <w:rsid w:val="005C5F66"/>
    <w:rsid w:val="005C5F9F"/>
    <w:rsid w:val="005C5FF1"/>
    <w:rsid w:val="005C6019"/>
    <w:rsid w:val="005C60C4"/>
    <w:rsid w:val="005C6151"/>
    <w:rsid w:val="005C6234"/>
    <w:rsid w:val="005C62B0"/>
    <w:rsid w:val="005C63BE"/>
    <w:rsid w:val="005C6412"/>
    <w:rsid w:val="005C643C"/>
    <w:rsid w:val="005C6484"/>
    <w:rsid w:val="005C6596"/>
    <w:rsid w:val="005C66A6"/>
    <w:rsid w:val="005C678F"/>
    <w:rsid w:val="005C6810"/>
    <w:rsid w:val="005C68B7"/>
    <w:rsid w:val="005C6916"/>
    <w:rsid w:val="005C6957"/>
    <w:rsid w:val="005C6969"/>
    <w:rsid w:val="005C699B"/>
    <w:rsid w:val="005C69D3"/>
    <w:rsid w:val="005C6AA2"/>
    <w:rsid w:val="005C6AD6"/>
    <w:rsid w:val="005C6C44"/>
    <w:rsid w:val="005C6C9F"/>
    <w:rsid w:val="005C6CAB"/>
    <w:rsid w:val="005C6CBB"/>
    <w:rsid w:val="005C6D55"/>
    <w:rsid w:val="005C6DFC"/>
    <w:rsid w:val="005C6E00"/>
    <w:rsid w:val="005C6E2C"/>
    <w:rsid w:val="005C6EFB"/>
    <w:rsid w:val="005C6F1A"/>
    <w:rsid w:val="005C6F25"/>
    <w:rsid w:val="005C6FA7"/>
    <w:rsid w:val="005C729F"/>
    <w:rsid w:val="005C72D8"/>
    <w:rsid w:val="005C737E"/>
    <w:rsid w:val="005C7435"/>
    <w:rsid w:val="005C7454"/>
    <w:rsid w:val="005C749D"/>
    <w:rsid w:val="005C75A5"/>
    <w:rsid w:val="005C75EC"/>
    <w:rsid w:val="005C7650"/>
    <w:rsid w:val="005C76CE"/>
    <w:rsid w:val="005C7707"/>
    <w:rsid w:val="005C774F"/>
    <w:rsid w:val="005C77A6"/>
    <w:rsid w:val="005C7907"/>
    <w:rsid w:val="005C7931"/>
    <w:rsid w:val="005C7947"/>
    <w:rsid w:val="005C79BF"/>
    <w:rsid w:val="005C79D1"/>
    <w:rsid w:val="005C7A03"/>
    <w:rsid w:val="005C7A2A"/>
    <w:rsid w:val="005C7AA6"/>
    <w:rsid w:val="005C7AC1"/>
    <w:rsid w:val="005C7BB0"/>
    <w:rsid w:val="005C7C7C"/>
    <w:rsid w:val="005C7CEB"/>
    <w:rsid w:val="005C7D73"/>
    <w:rsid w:val="005C7DDA"/>
    <w:rsid w:val="005C7E0A"/>
    <w:rsid w:val="005C7E9D"/>
    <w:rsid w:val="005C7F62"/>
    <w:rsid w:val="005C7F6D"/>
    <w:rsid w:val="005D0055"/>
    <w:rsid w:val="005D0144"/>
    <w:rsid w:val="005D01CC"/>
    <w:rsid w:val="005D0234"/>
    <w:rsid w:val="005D024A"/>
    <w:rsid w:val="005D0435"/>
    <w:rsid w:val="005D0443"/>
    <w:rsid w:val="005D04A2"/>
    <w:rsid w:val="005D0513"/>
    <w:rsid w:val="005D052D"/>
    <w:rsid w:val="005D05A0"/>
    <w:rsid w:val="005D0739"/>
    <w:rsid w:val="005D0760"/>
    <w:rsid w:val="005D07E6"/>
    <w:rsid w:val="005D09F0"/>
    <w:rsid w:val="005D0A15"/>
    <w:rsid w:val="005D0AA5"/>
    <w:rsid w:val="005D0B22"/>
    <w:rsid w:val="005D0B76"/>
    <w:rsid w:val="005D0BA6"/>
    <w:rsid w:val="005D0C45"/>
    <w:rsid w:val="005D0C70"/>
    <w:rsid w:val="005D0D03"/>
    <w:rsid w:val="005D0E70"/>
    <w:rsid w:val="005D0F3A"/>
    <w:rsid w:val="005D0FE1"/>
    <w:rsid w:val="005D10B7"/>
    <w:rsid w:val="005D11EE"/>
    <w:rsid w:val="005D12D1"/>
    <w:rsid w:val="005D12F1"/>
    <w:rsid w:val="005D130A"/>
    <w:rsid w:val="005D136A"/>
    <w:rsid w:val="005D13CE"/>
    <w:rsid w:val="005D13F8"/>
    <w:rsid w:val="005D1400"/>
    <w:rsid w:val="005D1477"/>
    <w:rsid w:val="005D14E8"/>
    <w:rsid w:val="005D14FD"/>
    <w:rsid w:val="005D1537"/>
    <w:rsid w:val="005D1575"/>
    <w:rsid w:val="005D1590"/>
    <w:rsid w:val="005D16B6"/>
    <w:rsid w:val="005D16D2"/>
    <w:rsid w:val="005D1772"/>
    <w:rsid w:val="005D17DD"/>
    <w:rsid w:val="005D17F2"/>
    <w:rsid w:val="005D1862"/>
    <w:rsid w:val="005D1889"/>
    <w:rsid w:val="005D18A5"/>
    <w:rsid w:val="005D18AE"/>
    <w:rsid w:val="005D18C2"/>
    <w:rsid w:val="005D18D8"/>
    <w:rsid w:val="005D1A14"/>
    <w:rsid w:val="005D1B0A"/>
    <w:rsid w:val="005D1B0B"/>
    <w:rsid w:val="005D1B10"/>
    <w:rsid w:val="005D1B36"/>
    <w:rsid w:val="005D1B4A"/>
    <w:rsid w:val="005D1BB9"/>
    <w:rsid w:val="005D1BF7"/>
    <w:rsid w:val="005D1C09"/>
    <w:rsid w:val="005D1CFA"/>
    <w:rsid w:val="005D1E03"/>
    <w:rsid w:val="005D1E1F"/>
    <w:rsid w:val="005D1F09"/>
    <w:rsid w:val="005D1FEB"/>
    <w:rsid w:val="005D203A"/>
    <w:rsid w:val="005D20B5"/>
    <w:rsid w:val="005D219A"/>
    <w:rsid w:val="005D21CB"/>
    <w:rsid w:val="005D21CD"/>
    <w:rsid w:val="005D2229"/>
    <w:rsid w:val="005D2305"/>
    <w:rsid w:val="005D23D6"/>
    <w:rsid w:val="005D243E"/>
    <w:rsid w:val="005D24CA"/>
    <w:rsid w:val="005D24FC"/>
    <w:rsid w:val="005D250A"/>
    <w:rsid w:val="005D2718"/>
    <w:rsid w:val="005D27E5"/>
    <w:rsid w:val="005D27EC"/>
    <w:rsid w:val="005D2A40"/>
    <w:rsid w:val="005D2C7A"/>
    <w:rsid w:val="005D2E30"/>
    <w:rsid w:val="005D2EB3"/>
    <w:rsid w:val="005D2F72"/>
    <w:rsid w:val="005D2FB5"/>
    <w:rsid w:val="005D30B5"/>
    <w:rsid w:val="005D3119"/>
    <w:rsid w:val="005D31C2"/>
    <w:rsid w:val="005D3296"/>
    <w:rsid w:val="005D32AE"/>
    <w:rsid w:val="005D3340"/>
    <w:rsid w:val="005D335B"/>
    <w:rsid w:val="005D33C3"/>
    <w:rsid w:val="005D3435"/>
    <w:rsid w:val="005D3537"/>
    <w:rsid w:val="005D35B1"/>
    <w:rsid w:val="005D35FC"/>
    <w:rsid w:val="005D3606"/>
    <w:rsid w:val="005D365B"/>
    <w:rsid w:val="005D3666"/>
    <w:rsid w:val="005D36B7"/>
    <w:rsid w:val="005D3707"/>
    <w:rsid w:val="005D3736"/>
    <w:rsid w:val="005D37B8"/>
    <w:rsid w:val="005D37D7"/>
    <w:rsid w:val="005D37EB"/>
    <w:rsid w:val="005D382F"/>
    <w:rsid w:val="005D38DA"/>
    <w:rsid w:val="005D3962"/>
    <w:rsid w:val="005D39BB"/>
    <w:rsid w:val="005D39D4"/>
    <w:rsid w:val="005D3A89"/>
    <w:rsid w:val="005D3AD2"/>
    <w:rsid w:val="005D3AEE"/>
    <w:rsid w:val="005D3B1A"/>
    <w:rsid w:val="005D3B6B"/>
    <w:rsid w:val="005D3BDB"/>
    <w:rsid w:val="005D3BF4"/>
    <w:rsid w:val="005D3C98"/>
    <w:rsid w:val="005D3D3D"/>
    <w:rsid w:val="005D3DC8"/>
    <w:rsid w:val="005D3E0C"/>
    <w:rsid w:val="005D3E46"/>
    <w:rsid w:val="005D3ED4"/>
    <w:rsid w:val="005D3F0A"/>
    <w:rsid w:val="005D3F23"/>
    <w:rsid w:val="005D3F2B"/>
    <w:rsid w:val="005D3F36"/>
    <w:rsid w:val="005D3F44"/>
    <w:rsid w:val="005D400C"/>
    <w:rsid w:val="005D401B"/>
    <w:rsid w:val="005D40AD"/>
    <w:rsid w:val="005D4114"/>
    <w:rsid w:val="005D4124"/>
    <w:rsid w:val="005D417E"/>
    <w:rsid w:val="005D4196"/>
    <w:rsid w:val="005D42B4"/>
    <w:rsid w:val="005D42EC"/>
    <w:rsid w:val="005D42F9"/>
    <w:rsid w:val="005D4457"/>
    <w:rsid w:val="005D45C9"/>
    <w:rsid w:val="005D4646"/>
    <w:rsid w:val="005D464D"/>
    <w:rsid w:val="005D46B0"/>
    <w:rsid w:val="005D47A9"/>
    <w:rsid w:val="005D47E9"/>
    <w:rsid w:val="005D48EB"/>
    <w:rsid w:val="005D490B"/>
    <w:rsid w:val="005D49BF"/>
    <w:rsid w:val="005D4A0C"/>
    <w:rsid w:val="005D4B3F"/>
    <w:rsid w:val="005D4B95"/>
    <w:rsid w:val="005D4C53"/>
    <w:rsid w:val="005D4C85"/>
    <w:rsid w:val="005D4CED"/>
    <w:rsid w:val="005D4E31"/>
    <w:rsid w:val="005D4E82"/>
    <w:rsid w:val="005D4F4A"/>
    <w:rsid w:val="005D4FD4"/>
    <w:rsid w:val="005D50A8"/>
    <w:rsid w:val="005D5146"/>
    <w:rsid w:val="005D51C5"/>
    <w:rsid w:val="005D51E0"/>
    <w:rsid w:val="005D5273"/>
    <w:rsid w:val="005D52B7"/>
    <w:rsid w:val="005D52C6"/>
    <w:rsid w:val="005D52E5"/>
    <w:rsid w:val="005D530D"/>
    <w:rsid w:val="005D537A"/>
    <w:rsid w:val="005D53E9"/>
    <w:rsid w:val="005D53F4"/>
    <w:rsid w:val="005D5445"/>
    <w:rsid w:val="005D5476"/>
    <w:rsid w:val="005D547A"/>
    <w:rsid w:val="005D551C"/>
    <w:rsid w:val="005D55A3"/>
    <w:rsid w:val="005D5743"/>
    <w:rsid w:val="005D5749"/>
    <w:rsid w:val="005D5756"/>
    <w:rsid w:val="005D578C"/>
    <w:rsid w:val="005D57BC"/>
    <w:rsid w:val="005D58A4"/>
    <w:rsid w:val="005D58D0"/>
    <w:rsid w:val="005D59AB"/>
    <w:rsid w:val="005D5A2C"/>
    <w:rsid w:val="005D5A73"/>
    <w:rsid w:val="005D5AB3"/>
    <w:rsid w:val="005D5ADC"/>
    <w:rsid w:val="005D5B34"/>
    <w:rsid w:val="005D5BE9"/>
    <w:rsid w:val="005D5C56"/>
    <w:rsid w:val="005D5D7C"/>
    <w:rsid w:val="005D5DBF"/>
    <w:rsid w:val="005D5DCF"/>
    <w:rsid w:val="005D5DF8"/>
    <w:rsid w:val="005D5EEF"/>
    <w:rsid w:val="005D5EF7"/>
    <w:rsid w:val="005D5F11"/>
    <w:rsid w:val="005D5F4E"/>
    <w:rsid w:val="005D5F7E"/>
    <w:rsid w:val="005D6012"/>
    <w:rsid w:val="005D61CB"/>
    <w:rsid w:val="005D626D"/>
    <w:rsid w:val="005D627F"/>
    <w:rsid w:val="005D62E2"/>
    <w:rsid w:val="005D62FC"/>
    <w:rsid w:val="005D63A0"/>
    <w:rsid w:val="005D6577"/>
    <w:rsid w:val="005D6597"/>
    <w:rsid w:val="005D65C8"/>
    <w:rsid w:val="005D6814"/>
    <w:rsid w:val="005D683C"/>
    <w:rsid w:val="005D6869"/>
    <w:rsid w:val="005D688A"/>
    <w:rsid w:val="005D68B0"/>
    <w:rsid w:val="005D68EC"/>
    <w:rsid w:val="005D6903"/>
    <w:rsid w:val="005D6941"/>
    <w:rsid w:val="005D696F"/>
    <w:rsid w:val="005D6A04"/>
    <w:rsid w:val="005D6A7A"/>
    <w:rsid w:val="005D6AC5"/>
    <w:rsid w:val="005D6B09"/>
    <w:rsid w:val="005D6D64"/>
    <w:rsid w:val="005D6DC4"/>
    <w:rsid w:val="005D6DF7"/>
    <w:rsid w:val="005D6E6F"/>
    <w:rsid w:val="005D6F49"/>
    <w:rsid w:val="005D6FA7"/>
    <w:rsid w:val="005D6FB4"/>
    <w:rsid w:val="005D7024"/>
    <w:rsid w:val="005D7051"/>
    <w:rsid w:val="005D70F2"/>
    <w:rsid w:val="005D7212"/>
    <w:rsid w:val="005D72DB"/>
    <w:rsid w:val="005D72EC"/>
    <w:rsid w:val="005D75F5"/>
    <w:rsid w:val="005D75FC"/>
    <w:rsid w:val="005D7616"/>
    <w:rsid w:val="005D7676"/>
    <w:rsid w:val="005D76BB"/>
    <w:rsid w:val="005D773C"/>
    <w:rsid w:val="005D7838"/>
    <w:rsid w:val="005D785A"/>
    <w:rsid w:val="005D788B"/>
    <w:rsid w:val="005D792E"/>
    <w:rsid w:val="005D798E"/>
    <w:rsid w:val="005D7996"/>
    <w:rsid w:val="005D799E"/>
    <w:rsid w:val="005D7A0E"/>
    <w:rsid w:val="005D7AC7"/>
    <w:rsid w:val="005D7B7C"/>
    <w:rsid w:val="005D7BA0"/>
    <w:rsid w:val="005D7BDF"/>
    <w:rsid w:val="005D7C02"/>
    <w:rsid w:val="005D7C2E"/>
    <w:rsid w:val="005D7C34"/>
    <w:rsid w:val="005D7C48"/>
    <w:rsid w:val="005D7C6B"/>
    <w:rsid w:val="005D7CAD"/>
    <w:rsid w:val="005D7D01"/>
    <w:rsid w:val="005D7DBF"/>
    <w:rsid w:val="005D7DC1"/>
    <w:rsid w:val="005D7E53"/>
    <w:rsid w:val="005D7E74"/>
    <w:rsid w:val="005D7ED3"/>
    <w:rsid w:val="005D7F26"/>
    <w:rsid w:val="005D7F31"/>
    <w:rsid w:val="005D7FCD"/>
    <w:rsid w:val="005E0239"/>
    <w:rsid w:val="005E02F9"/>
    <w:rsid w:val="005E03E4"/>
    <w:rsid w:val="005E0472"/>
    <w:rsid w:val="005E047B"/>
    <w:rsid w:val="005E0490"/>
    <w:rsid w:val="005E051C"/>
    <w:rsid w:val="005E05C0"/>
    <w:rsid w:val="005E05D5"/>
    <w:rsid w:val="005E064A"/>
    <w:rsid w:val="005E0762"/>
    <w:rsid w:val="005E0777"/>
    <w:rsid w:val="005E07DC"/>
    <w:rsid w:val="005E07EF"/>
    <w:rsid w:val="005E0995"/>
    <w:rsid w:val="005E09EA"/>
    <w:rsid w:val="005E0A3A"/>
    <w:rsid w:val="005E0AEB"/>
    <w:rsid w:val="005E0C96"/>
    <w:rsid w:val="005E0CBD"/>
    <w:rsid w:val="005E0D52"/>
    <w:rsid w:val="005E0D5C"/>
    <w:rsid w:val="005E0DA1"/>
    <w:rsid w:val="005E0DDC"/>
    <w:rsid w:val="005E0E66"/>
    <w:rsid w:val="005E0F06"/>
    <w:rsid w:val="005E0FE2"/>
    <w:rsid w:val="005E1049"/>
    <w:rsid w:val="005E1092"/>
    <w:rsid w:val="005E1118"/>
    <w:rsid w:val="005E1122"/>
    <w:rsid w:val="005E1163"/>
    <w:rsid w:val="005E126D"/>
    <w:rsid w:val="005E1374"/>
    <w:rsid w:val="005E13F1"/>
    <w:rsid w:val="005E1478"/>
    <w:rsid w:val="005E1513"/>
    <w:rsid w:val="005E154C"/>
    <w:rsid w:val="005E15A4"/>
    <w:rsid w:val="005E15D1"/>
    <w:rsid w:val="005E1635"/>
    <w:rsid w:val="005E1667"/>
    <w:rsid w:val="005E1688"/>
    <w:rsid w:val="005E1697"/>
    <w:rsid w:val="005E1733"/>
    <w:rsid w:val="005E1734"/>
    <w:rsid w:val="005E1743"/>
    <w:rsid w:val="005E1748"/>
    <w:rsid w:val="005E177D"/>
    <w:rsid w:val="005E1782"/>
    <w:rsid w:val="005E18DA"/>
    <w:rsid w:val="005E18F9"/>
    <w:rsid w:val="005E193C"/>
    <w:rsid w:val="005E1AE1"/>
    <w:rsid w:val="005E1B7C"/>
    <w:rsid w:val="005E1BEE"/>
    <w:rsid w:val="005E1D67"/>
    <w:rsid w:val="005E1DBE"/>
    <w:rsid w:val="005E1E45"/>
    <w:rsid w:val="005E1F32"/>
    <w:rsid w:val="005E20E0"/>
    <w:rsid w:val="005E211E"/>
    <w:rsid w:val="005E2145"/>
    <w:rsid w:val="005E2154"/>
    <w:rsid w:val="005E2185"/>
    <w:rsid w:val="005E21A8"/>
    <w:rsid w:val="005E220F"/>
    <w:rsid w:val="005E2244"/>
    <w:rsid w:val="005E22BF"/>
    <w:rsid w:val="005E2355"/>
    <w:rsid w:val="005E23D9"/>
    <w:rsid w:val="005E23FE"/>
    <w:rsid w:val="005E248A"/>
    <w:rsid w:val="005E249C"/>
    <w:rsid w:val="005E24C7"/>
    <w:rsid w:val="005E24D8"/>
    <w:rsid w:val="005E24FD"/>
    <w:rsid w:val="005E2524"/>
    <w:rsid w:val="005E252A"/>
    <w:rsid w:val="005E25FE"/>
    <w:rsid w:val="005E2632"/>
    <w:rsid w:val="005E276A"/>
    <w:rsid w:val="005E27F3"/>
    <w:rsid w:val="005E2836"/>
    <w:rsid w:val="005E2841"/>
    <w:rsid w:val="005E286A"/>
    <w:rsid w:val="005E288E"/>
    <w:rsid w:val="005E2997"/>
    <w:rsid w:val="005E2A12"/>
    <w:rsid w:val="005E2A20"/>
    <w:rsid w:val="005E2A91"/>
    <w:rsid w:val="005E2BB7"/>
    <w:rsid w:val="005E2C9B"/>
    <w:rsid w:val="005E2CBA"/>
    <w:rsid w:val="005E2CC1"/>
    <w:rsid w:val="005E2CE7"/>
    <w:rsid w:val="005E2D96"/>
    <w:rsid w:val="005E2E6E"/>
    <w:rsid w:val="005E2F38"/>
    <w:rsid w:val="005E2F4B"/>
    <w:rsid w:val="005E2FC9"/>
    <w:rsid w:val="005E30DA"/>
    <w:rsid w:val="005E3134"/>
    <w:rsid w:val="005E315D"/>
    <w:rsid w:val="005E328B"/>
    <w:rsid w:val="005E329F"/>
    <w:rsid w:val="005E33C7"/>
    <w:rsid w:val="005E33EE"/>
    <w:rsid w:val="005E3525"/>
    <w:rsid w:val="005E3529"/>
    <w:rsid w:val="005E3571"/>
    <w:rsid w:val="005E35AC"/>
    <w:rsid w:val="005E35E6"/>
    <w:rsid w:val="005E36F8"/>
    <w:rsid w:val="005E38C8"/>
    <w:rsid w:val="005E3925"/>
    <w:rsid w:val="005E39F5"/>
    <w:rsid w:val="005E3B8C"/>
    <w:rsid w:val="005E3C71"/>
    <w:rsid w:val="005E3CCB"/>
    <w:rsid w:val="005E3D0B"/>
    <w:rsid w:val="005E3D1A"/>
    <w:rsid w:val="005E3D2A"/>
    <w:rsid w:val="005E3D79"/>
    <w:rsid w:val="005E3D7D"/>
    <w:rsid w:val="005E3E25"/>
    <w:rsid w:val="005E3ED9"/>
    <w:rsid w:val="005E406A"/>
    <w:rsid w:val="005E4133"/>
    <w:rsid w:val="005E4145"/>
    <w:rsid w:val="005E41AB"/>
    <w:rsid w:val="005E41C9"/>
    <w:rsid w:val="005E4262"/>
    <w:rsid w:val="005E4359"/>
    <w:rsid w:val="005E442C"/>
    <w:rsid w:val="005E445C"/>
    <w:rsid w:val="005E469A"/>
    <w:rsid w:val="005E46ED"/>
    <w:rsid w:val="005E47B3"/>
    <w:rsid w:val="005E48C1"/>
    <w:rsid w:val="005E4954"/>
    <w:rsid w:val="005E4B43"/>
    <w:rsid w:val="005E4BEA"/>
    <w:rsid w:val="005E4C6E"/>
    <w:rsid w:val="005E4CD1"/>
    <w:rsid w:val="005E4D19"/>
    <w:rsid w:val="005E4D4A"/>
    <w:rsid w:val="005E4DCA"/>
    <w:rsid w:val="005E4E02"/>
    <w:rsid w:val="005E4E48"/>
    <w:rsid w:val="005E4E4A"/>
    <w:rsid w:val="005E4E69"/>
    <w:rsid w:val="005E4E98"/>
    <w:rsid w:val="005E4F8F"/>
    <w:rsid w:val="005E4FF8"/>
    <w:rsid w:val="005E5135"/>
    <w:rsid w:val="005E5196"/>
    <w:rsid w:val="005E51D4"/>
    <w:rsid w:val="005E5263"/>
    <w:rsid w:val="005E5298"/>
    <w:rsid w:val="005E52AC"/>
    <w:rsid w:val="005E54F4"/>
    <w:rsid w:val="005E5575"/>
    <w:rsid w:val="005E55DA"/>
    <w:rsid w:val="005E5685"/>
    <w:rsid w:val="005E5697"/>
    <w:rsid w:val="005E5706"/>
    <w:rsid w:val="005E570A"/>
    <w:rsid w:val="005E579F"/>
    <w:rsid w:val="005E5811"/>
    <w:rsid w:val="005E5812"/>
    <w:rsid w:val="005E5891"/>
    <w:rsid w:val="005E59F4"/>
    <w:rsid w:val="005E5A00"/>
    <w:rsid w:val="005E5ADC"/>
    <w:rsid w:val="005E5B18"/>
    <w:rsid w:val="005E5B64"/>
    <w:rsid w:val="005E5CDA"/>
    <w:rsid w:val="005E5DF3"/>
    <w:rsid w:val="005E5EAF"/>
    <w:rsid w:val="005E5EF7"/>
    <w:rsid w:val="005E5F10"/>
    <w:rsid w:val="005E5F28"/>
    <w:rsid w:val="005E60BC"/>
    <w:rsid w:val="005E61B2"/>
    <w:rsid w:val="005E62C0"/>
    <w:rsid w:val="005E62DD"/>
    <w:rsid w:val="005E62FC"/>
    <w:rsid w:val="005E6348"/>
    <w:rsid w:val="005E639F"/>
    <w:rsid w:val="005E6434"/>
    <w:rsid w:val="005E646B"/>
    <w:rsid w:val="005E6474"/>
    <w:rsid w:val="005E660F"/>
    <w:rsid w:val="005E6640"/>
    <w:rsid w:val="005E66EC"/>
    <w:rsid w:val="005E67A1"/>
    <w:rsid w:val="005E6801"/>
    <w:rsid w:val="005E686B"/>
    <w:rsid w:val="005E68B0"/>
    <w:rsid w:val="005E68B1"/>
    <w:rsid w:val="005E68E1"/>
    <w:rsid w:val="005E6996"/>
    <w:rsid w:val="005E69FB"/>
    <w:rsid w:val="005E6A23"/>
    <w:rsid w:val="005E6A82"/>
    <w:rsid w:val="005E6AB9"/>
    <w:rsid w:val="005E6D11"/>
    <w:rsid w:val="005E6DE1"/>
    <w:rsid w:val="005E6E10"/>
    <w:rsid w:val="005E6F5F"/>
    <w:rsid w:val="005E6FA1"/>
    <w:rsid w:val="005E7046"/>
    <w:rsid w:val="005E704C"/>
    <w:rsid w:val="005E70A7"/>
    <w:rsid w:val="005E70B8"/>
    <w:rsid w:val="005E7143"/>
    <w:rsid w:val="005E7292"/>
    <w:rsid w:val="005E72D9"/>
    <w:rsid w:val="005E73B3"/>
    <w:rsid w:val="005E74FB"/>
    <w:rsid w:val="005E752E"/>
    <w:rsid w:val="005E7550"/>
    <w:rsid w:val="005E756A"/>
    <w:rsid w:val="005E7618"/>
    <w:rsid w:val="005E769B"/>
    <w:rsid w:val="005E76C4"/>
    <w:rsid w:val="005E76C8"/>
    <w:rsid w:val="005E775A"/>
    <w:rsid w:val="005E77D9"/>
    <w:rsid w:val="005E7882"/>
    <w:rsid w:val="005E7885"/>
    <w:rsid w:val="005E788C"/>
    <w:rsid w:val="005E7897"/>
    <w:rsid w:val="005E79BE"/>
    <w:rsid w:val="005E7A40"/>
    <w:rsid w:val="005E7A54"/>
    <w:rsid w:val="005E7A5A"/>
    <w:rsid w:val="005E7AE1"/>
    <w:rsid w:val="005E7B7F"/>
    <w:rsid w:val="005E7D51"/>
    <w:rsid w:val="005E7DD2"/>
    <w:rsid w:val="005E7DFF"/>
    <w:rsid w:val="005E7E69"/>
    <w:rsid w:val="005E7E8F"/>
    <w:rsid w:val="005E7EA3"/>
    <w:rsid w:val="005E7F53"/>
    <w:rsid w:val="005E7F92"/>
    <w:rsid w:val="005F0156"/>
    <w:rsid w:val="005F0169"/>
    <w:rsid w:val="005F0322"/>
    <w:rsid w:val="005F0327"/>
    <w:rsid w:val="005F03E4"/>
    <w:rsid w:val="005F0460"/>
    <w:rsid w:val="005F0501"/>
    <w:rsid w:val="005F0558"/>
    <w:rsid w:val="005F057B"/>
    <w:rsid w:val="005F0598"/>
    <w:rsid w:val="005F05C4"/>
    <w:rsid w:val="005F063F"/>
    <w:rsid w:val="005F06C4"/>
    <w:rsid w:val="005F086F"/>
    <w:rsid w:val="005F088D"/>
    <w:rsid w:val="005F08B6"/>
    <w:rsid w:val="005F0963"/>
    <w:rsid w:val="005F09D2"/>
    <w:rsid w:val="005F09F4"/>
    <w:rsid w:val="005F0A0E"/>
    <w:rsid w:val="005F0A38"/>
    <w:rsid w:val="005F0BB2"/>
    <w:rsid w:val="005F0C1E"/>
    <w:rsid w:val="005F0D29"/>
    <w:rsid w:val="005F0E18"/>
    <w:rsid w:val="005F0E72"/>
    <w:rsid w:val="005F11A4"/>
    <w:rsid w:val="005F11AC"/>
    <w:rsid w:val="005F1251"/>
    <w:rsid w:val="005F1357"/>
    <w:rsid w:val="005F1472"/>
    <w:rsid w:val="005F155B"/>
    <w:rsid w:val="005F1679"/>
    <w:rsid w:val="005F174C"/>
    <w:rsid w:val="005F17C0"/>
    <w:rsid w:val="005F17CE"/>
    <w:rsid w:val="005F1831"/>
    <w:rsid w:val="005F1889"/>
    <w:rsid w:val="005F18C9"/>
    <w:rsid w:val="005F1A26"/>
    <w:rsid w:val="005F1A4C"/>
    <w:rsid w:val="005F1AD4"/>
    <w:rsid w:val="005F1B5E"/>
    <w:rsid w:val="005F1C6B"/>
    <w:rsid w:val="005F1D0A"/>
    <w:rsid w:val="005F1D6B"/>
    <w:rsid w:val="005F1DDB"/>
    <w:rsid w:val="005F1E45"/>
    <w:rsid w:val="005F1F6C"/>
    <w:rsid w:val="005F1FAF"/>
    <w:rsid w:val="005F2061"/>
    <w:rsid w:val="005F20ED"/>
    <w:rsid w:val="005F21B6"/>
    <w:rsid w:val="005F21C5"/>
    <w:rsid w:val="005F2346"/>
    <w:rsid w:val="005F24C1"/>
    <w:rsid w:val="005F24FD"/>
    <w:rsid w:val="005F2549"/>
    <w:rsid w:val="005F25E6"/>
    <w:rsid w:val="005F2606"/>
    <w:rsid w:val="005F260D"/>
    <w:rsid w:val="005F2635"/>
    <w:rsid w:val="005F26C3"/>
    <w:rsid w:val="005F2702"/>
    <w:rsid w:val="005F2760"/>
    <w:rsid w:val="005F276C"/>
    <w:rsid w:val="005F279D"/>
    <w:rsid w:val="005F27E3"/>
    <w:rsid w:val="005F29AD"/>
    <w:rsid w:val="005F2A1C"/>
    <w:rsid w:val="005F2A1F"/>
    <w:rsid w:val="005F2A71"/>
    <w:rsid w:val="005F2A92"/>
    <w:rsid w:val="005F2AB7"/>
    <w:rsid w:val="005F2B48"/>
    <w:rsid w:val="005F2CB6"/>
    <w:rsid w:val="005F2CC9"/>
    <w:rsid w:val="005F2D6C"/>
    <w:rsid w:val="005F2DD2"/>
    <w:rsid w:val="005F2E3A"/>
    <w:rsid w:val="005F2EB6"/>
    <w:rsid w:val="005F3029"/>
    <w:rsid w:val="005F3049"/>
    <w:rsid w:val="005F3220"/>
    <w:rsid w:val="005F3264"/>
    <w:rsid w:val="005F330B"/>
    <w:rsid w:val="005F3313"/>
    <w:rsid w:val="005F339F"/>
    <w:rsid w:val="005F33A8"/>
    <w:rsid w:val="005F3644"/>
    <w:rsid w:val="005F38C5"/>
    <w:rsid w:val="005F38F4"/>
    <w:rsid w:val="005F394F"/>
    <w:rsid w:val="005F3959"/>
    <w:rsid w:val="005F39BD"/>
    <w:rsid w:val="005F3A2A"/>
    <w:rsid w:val="005F3AF8"/>
    <w:rsid w:val="005F3C78"/>
    <w:rsid w:val="005F3D92"/>
    <w:rsid w:val="005F3DA6"/>
    <w:rsid w:val="005F3DAF"/>
    <w:rsid w:val="005F3E15"/>
    <w:rsid w:val="005F3E95"/>
    <w:rsid w:val="005F4034"/>
    <w:rsid w:val="005F4062"/>
    <w:rsid w:val="005F4097"/>
    <w:rsid w:val="005F4127"/>
    <w:rsid w:val="005F412E"/>
    <w:rsid w:val="005F413A"/>
    <w:rsid w:val="005F41A0"/>
    <w:rsid w:val="005F41EF"/>
    <w:rsid w:val="005F4251"/>
    <w:rsid w:val="005F4258"/>
    <w:rsid w:val="005F4284"/>
    <w:rsid w:val="005F42B2"/>
    <w:rsid w:val="005F42ED"/>
    <w:rsid w:val="005F43A9"/>
    <w:rsid w:val="005F43CB"/>
    <w:rsid w:val="005F43DA"/>
    <w:rsid w:val="005F4452"/>
    <w:rsid w:val="005F45A1"/>
    <w:rsid w:val="005F45A9"/>
    <w:rsid w:val="005F45C3"/>
    <w:rsid w:val="005F4656"/>
    <w:rsid w:val="005F469A"/>
    <w:rsid w:val="005F46DB"/>
    <w:rsid w:val="005F4739"/>
    <w:rsid w:val="005F4791"/>
    <w:rsid w:val="005F482B"/>
    <w:rsid w:val="005F484F"/>
    <w:rsid w:val="005F48F7"/>
    <w:rsid w:val="005F4937"/>
    <w:rsid w:val="005F4948"/>
    <w:rsid w:val="005F4971"/>
    <w:rsid w:val="005F4AA8"/>
    <w:rsid w:val="005F4B33"/>
    <w:rsid w:val="005F4B3C"/>
    <w:rsid w:val="005F4B7A"/>
    <w:rsid w:val="005F4BA6"/>
    <w:rsid w:val="005F4C65"/>
    <w:rsid w:val="005F4CB4"/>
    <w:rsid w:val="005F4CEF"/>
    <w:rsid w:val="005F4D93"/>
    <w:rsid w:val="005F4E19"/>
    <w:rsid w:val="005F4EAA"/>
    <w:rsid w:val="005F4EAE"/>
    <w:rsid w:val="005F4F17"/>
    <w:rsid w:val="005F4F59"/>
    <w:rsid w:val="005F4FCC"/>
    <w:rsid w:val="005F5160"/>
    <w:rsid w:val="005F520D"/>
    <w:rsid w:val="005F527A"/>
    <w:rsid w:val="005F5286"/>
    <w:rsid w:val="005F528D"/>
    <w:rsid w:val="005F529C"/>
    <w:rsid w:val="005F52F2"/>
    <w:rsid w:val="005F5388"/>
    <w:rsid w:val="005F53CB"/>
    <w:rsid w:val="005F53E5"/>
    <w:rsid w:val="005F5481"/>
    <w:rsid w:val="005F54A6"/>
    <w:rsid w:val="005F54E0"/>
    <w:rsid w:val="005F55B9"/>
    <w:rsid w:val="005F562C"/>
    <w:rsid w:val="005F5834"/>
    <w:rsid w:val="005F589B"/>
    <w:rsid w:val="005F58ED"/>
    <w:rsid w:val="005F5920"/>
    <w:rsid w:val="005F5953"/>
    <w:rsid w:val="005F5A4B"/>
    <w:rsid w:val="005F5A52"/>
    <w:rsid w:val="005F5B37"/>
    <w:rsid w:val="005F5E4E"/>
    <w:rsid w:val="005F5E65"/>
    <w:rsid w:val="005F5F94"/>
    <w:rsid w:val="005F5FE3"/>
    <w:rsid w:val="005F6090"/>
    <w:rsid w:val="005F609A"/>
    <w:rsid w:val="005F60B7"/>
    <w:rsid w:val="005F6111"/>
    <w:rsid w:val="005F6124"/>
    <w:rsid w:val="005F622E"/>
    <w:rsid w:val="005F625A"/>
    <w:rsid w:val="005F6260"/>
    <w:rsid w:val="005F62E6"/>
    <w:rsid w:val="005F6319"/>
    <w:rsid w:val="005F644D"/>
    <w:rsid w:val="005F646C"/>
    <w:rsid w:val="005F64C6"/>
    <w:rsid w:val="005F65A2"/>
    <w:rsid w:val="005F65E7"/>
    <w:rsid w:val="005F65FA"/>
    <w:rsid w:val="005F668B"/>
    <w:rsid w:val="005F66AF"/>
    <w:rsid w:val="005F6786"/>
    <w:rsid w:val="005F6808"/>
    <w:rsid w:val="005F68E2"/>
    <w:rsid w:val="005F68EA"/>
    <w:rsid w:val="005F6934"/>
    <w:rsid w:val="005F69D7"/>
    <w:rsid w:val="005F6B21"/>
    <w:rsid w:val="005F6CE0"/>
    <w:rsid w:val="005F6D95"/>
    <w:rsid w:val="005F6DB6"/>
    <w:rsid w:val="005F6DB7"/>
    <w:rsid w:val="005F6EC7"/>
    <w:rsid w:val="005F6EDF"/>
    <w:rsid w:val="005F7088"/>
    <w:rsid w:val="005F71C7"/>
    <w:rsid w:val="005F7331"/>
    <w:rsid w:val="005F7353"/>
    <w:rsid w:val="005F7361"/>
    <w:rsid w:val="005F738E"/>
    <w:rsid w:val="005F74D5"/>
    <w:rsid w:val="005F74E1"/>
    <w:rsid w:val="005F7523"/>
    <w:rsid w:val="005F7546"/>
    <w:rsid w:val="005F75A7"/>
    <w:rsid w:val="005F7684"/>
    <w:rsid w:val="005F76A8"/>
    <w:rsid w:val="005F7701"/>
    <w:rsid w:val="005F778A"/>
    <w:rsid w:val="005F77B4"/>
    <w:rsid w:val="005F77C5"/>
    <w:rsid w:val="005F7868"/>
    <w:rsid w:val="005F78D4"/>
    <w:rsid w:val="005F78D6"/>
    <w:rsid w:val="005F7955"/>
    <w:rsid w:val="005F798C"/>
    <w:rsid w:val="005F7AD5"/>
    <w:rsid w:val="005F7B53"/>
    <w:rsid w:val="005F7B72"/>
    <w:rsid w:val="005F7C3D"/>
    <w:rsid w:val="005F7C7C"/>
    <w:rsid w:val="005F7D1D"/>
    <w:rsid w:val="005F7D95"/>
    <w:rsid w:val="005F7DAD"/>
    <w:rsid w:val="005F7DB1"/>
    <w:rsid w:val="005F7DEA"/>
    <w:rsid w:val="005F7E3D"/>
    <w:rsid w:val="005F7E52"/>
    <w:rsid w:val="005F7ED4"/>
    <w:rsid w:val="005F7F0E"/>
    <w:rsid w:val="005F7FD2"/>
    <w:rsid w:val="0060005F"/>
    <w:rsid w:val="00600061"/>
    <w:rsid w:val="00600074"/>
    <w:rsid w:val="00600122"/>
    <w:rsid w:val="00600287"/>
    <w:rsid w:val="00600298"/>
    <w:rsid w:val="0060034F"/>
    <w:rsid w:val="0060035D"/>
    <w:rsid w:val="00600431"/>
    <w:rsid w:val="0060066C"/>
    <w:rsid w:val="006006BE"/>
    <w:rsid w:val="00600729"/>
    <w:rsid w:val="006009C4"/>
    <w:rsid w:val="00600A2E"/>
    <w:rsid w:val="00600BAB"/>
    <w:rsid w:val="00600C0E"/>
    <w:rsid w:val="00600C13"/>
    <w:rsid w:val="00600C5C"/>
    <w:rsid w:val="00600CCB"/>
    <w:rsid w:val="00600D35"/>
    <w:rsid w:val="00600D3F"/>
    <w:rsid w:val="00600EA3"/>
    <w:rsid w:val="00600EA9"/>
    <w:rsid w:val="00600EB4"/>
    <w:rsid w:val="00600F22"/>
    <w:rsid w:val="00600F23"/>
    <w:rsid w:val="00600F53"/>
    <w:rsid w:val="00601012"/>
    <w:rsid w:val="00601064"/>
    <w:rsid w:val="006010F2"/>
    <w:rsid w:val="00601188"/>
    <w:rsid w:val="006011D9"/>
    <w:rsid w:val="00601368"/>
    <w:rsid w:val="0060136F"/>
    <w:rsid w:val="00601465"/>
    <w:rsid w:val="006014C1"/>
    <w:rsid w:val="006014CD"/>
    <w:rsid w:val="006014D6"/>
    <w:rsid w:val="0060150F"/>
    <w:rsid w:val="00601538"/>
    <w:rsid w:val="006015D6"/>
    <w:rsid w:val="00601650"/>
    <w:rsid w:val="006016A0"/>
    <w:rsid w:val="006018B6"/>
    <w:rsid w:val="006018D7"/>
    <w:rsid w:val="0060197A"/>
    <w:rsid w:val="006019A7"/>
    <w:rsid w:val="00601B92"/>
    <w:rsid w:val="00601C03"/>
    <w:rsid w:val="00601C8A"/>
    <w:rsid w:val="00601D5D"/>
    <w:rsid w:val="00601DD1"/>
    <w:rsid w:val="00601E12"/>
    <w:rsid w:val="00601E28"/>
    <w:rsid w:val="00601E35"/>
    <w:rsid w:val="00601F50"/>
    <w:rsid w:val="00601FFD"/>
    <w:rsid w:val="00602000"/>
    <w:rsid w:val="00602071"/>
    <w:rsid w:val="0060218E"/>
    <w:rsid w:val="006022C1"/>
    <w:rsid w:val="006022D1"/>
    <w:rsid w:val="006022FF"/>
    <w:rsid w:val="0060230E"/>
    <w:rsid w:val="00602311"/>
    <w:rsid w:val="00602416"/>
    <w:rsid w:val="00602439"/>
    <w:rsid w:val="00602544"/>
    <w:rsid w:val="0060256C"/>
    <w:rsid w:val="0060257B"/>
    <w:rsid w:val="006025B3"/>
    <w:rsid w:val="0060274B"/>
    <w:rsid w:val="00602786"/>
    <w:rsid w:val="00602806"/>
    <w:rsid w:val="0060294C"/>
    <w:rsid w:val="006029A4"/>
    <w:rsid w:val="006029A8"/>
    <w:rsid w:val="006029BC"/>
    <w:rsid w:val="00602ACD"/>
    <w:rsid w:val="00602B8D"/>
    <w:rsid w:val="00602B9C"/>
    <w:rsid w:val="00602C0E"/>
    <w:rsid w:val="00602C9F"/>
    <w:rsid w:val="00602D70"/>
    <w:rsid w:val="00602D8C"/>
    <w:rsid w:val="00602DB4"/>
    <w:rsid w:val="00602DB5"/>
    <w:rsid w:val="00602DCC"/>
    <w:rsid w:val="00602F13"/>
    <w:rsid w:val="00602F93"/>
    <w:rsid w:val="006031B5"/>
    <w:rsid w:val="0060320C"/>
    <w:rsid w:val="00603267"/>
    <w:rsid w:val="006032CE"/>
    <w:rsid w:val="00603316"/>
    <w:rsid w:val="0060338D"/>
    <w:rsid w:val="006033B9"/>
    <w:rsid w:val="006034A8"/>
    <w:rsid w:val="00603510"/>
    <w:rsid w:val="006035BC"/>
    <w:rsid w:val="006035C5"/>
    <w:rsid w:val="006035CA"/>
    <w:rsid w:val="006036E2"/>
    <w:rsid w:val="00603714"/>
    <w:rsid w:val="0060384D"/>
    <w:rsid w:val="00603897"/>
    <w:rsid w:val="006038A8"/>
    <w:rsid w:val="00603A5A"/>
    <w:rsid w:val="00603AF5"/>
    <w:rsid w:val="00603B01"/>
    <w:rsid w:val="00603B1D"/>
    <w:rsid w:val="00603B78"/>
    <w:rsid w:val="00603C6E"/>
    <w:rsid w:val="00603EA6"/>
    <w:rsid w:val="00603F19"/>
    <w:rsid w:val="00603F86"/>
    <w:rsid w:val="00603FAE"/>
    <w:rsid w:val="00603FD5"/>
    <w:rsid w:val="00604067"/>
    <w:rsid w:val="00604079"/>
    <w:rsid w:val="006040D3"/>
    <w:rsid w:val="00604142"/>
    <w:rsid w:val="00604153"/>
    <w:rsid w:val="00604241"/>
    <w:rsid w:val="00604274"/>
    <w:rsid w:val="00604524"/>
    <w:rsid w:val="00604576"/>
    <w:rsid w:val="00604753"/>
    <w:rsid w:val="0060481B"/>
    <w:rsid w:val="00604851"/>
    <w:rsid w:val="00604892"/>
    <w:rsid w:val="006048A5"/>
    <w:rsid w:val="006048BE"/>
    <w:rsid w:val="006048F6"/>
    <w:rsid w:val="0060491E"/>
    <w:rsid w:val="00604984"/>
    <w:rsid w:val="00604996"/>
    <w:rsid w:val="00604A8B"/>
    <w:rsid w:val="00604AB3"/>
    <w:rsid w:val="00604AD3"/>
    <w:rsid w:val="00604BD9"/>
    <w:rsid w:val="00604DD9"/>
    <w:rsid w:val="00604E05"/>
    <w:rsid w:val="00604E06"/>
    <w:rsid w:val="00604E64"/>
    <w:rsid w:val="00604EEF"/>
    <w:rsid w:val="00604F28"/>
    <w:rsid w:val="00604FA6"/>
    <w:rsid w:val="006051BF"/>
    <w:rsid w:val="006051F4"/>
    <w:rsid w:val="006052A9"/>
    <w:rsid w:val="006053C5"/>
    <w:rsid w:val="00605401"/>
    <w:rsid w:val="00605409"/>
    <w:rsid w:val="0060540E"/>
    <w:rsid w:val="006054EF"/>
    <w:rsid w:val="00605511"/>
    <w:rsid w:val="0060551E"/>
    <w:rsid w:val="00605588"/>
    <w:rsid w:val="006055C9"/>
    <w:rsid w:val="006055F2"/>
    <w:rsid w:val="00605679"/>
    <w:rsid w:val="0060567F"/>
    <w:rsid w:val="0060569C"/>
    <w:rsid w:val="006056B0"/>
    <w:rsid w:val="006057E7"/>
    <w:rsid w:val="0060584B"/>
    <w:rsid w:val="006058BD"/>
    <w:rsid w:val="006058D2"/>
    <w:rsid w:val="00605979"/>
    <w:rsid w:val="00605A76"/>
    <w:rsid w:val="00605AFD"/>
    <w:rsid w:val="00605B57"/>
    <w:rsid w:val="00605C09"/>
    <w:rsid w:val="00605C81"/>
    <w:rsid w:val="00605CD1"/>
    <w:rsid w:val="00605CF5"/>
    <w:rsid w:val="00605E73"/>
    <w:rsid w:val="00605EFB"/>
    <w:rsid w:val="00605F22"/>
    <w:rsid w:val="00605F59"/>
    <w:rsid w:val="00605FAD"/>
    <w:rsid w:val="00605FB2"/>
    <w:rsid w:val="00606031"/>
    <w:rsid w:val="00606078"/>
    <w:rsid w:val="006060C6"/>
    <w:rsid w:val="006060D6"/>
    <w:rsid w:val="00606188"/>
    <w:rsid w:val="00606253"/>
    <w:rsid w:val="00606408"/>
    <w:rsid w:val="00606438"/>
    <w:rsid w:val="0060646B"/>
    <w:rsid w:val="00606493"/>
    <w:rsid w:val="006064D7"/>
    <w:rsid w:val="006064E2"/>
    <w:rsid w:val="00606568"/>
    <w:rsid w:val="00606622"/>
    <w:rsid w:val="00606675"/>
    <w:rsid w:val="006066CB"/>
    <w:rsid w:val="0060672E"/>
    <w:rsid w:val="00606749"/>
    <w:rsid w:val="006067B6"/>
    <w:rsid w:val="006067CF"/>
    <w:rsid w:val="00606804"/>
    <w:rsid w:val="0060684D"/>
    <w:rsid w:val="00606869"/>
    <w:rsid w:val="00606873"/>
    <w:rsid w:val="00606888"/>
    <w:rsid w:val="006068EB"/>
    <w:rsid w:val="00606A4C"/>
    <w:rsid w:val="00606A77"/>
    <w:rsid w:val="00606BAE"/>
    <w:rsid w:val="00606BD9"/>
    <w:rsid w:val="00606CB6"/>
    <w:rsid w:val="00606DBB"/>
    <w:rsid w:val="00606EB5"/>
    <w:rsid w:val="00606EE8"/>
    <w:rsid w:val="00606F31"/>
    <w:rsid w:val="00606F60"/>
    <w:rsid w:val="00607093"/>
    <w:rsid w:val="006070ED"/>
    <w:rsid w:val="00607177"/>
    <w:rsid w:val="006072D3"/>
    <w:rsid w:val="006072DA"/>
    <w:rsid w:val="00607336"/>
    <w:rsid w:val="00607373"/>
    <w:rsid w:val="0060739D"/>
    <w:rsid w:val="00607556"/>
    <w:rsid w:val="00607564"/>
    <w:rsid w:val="00607633"/>
    <w:rsid w:val="00607732"/>
    <w:rsid w:val="00607772"/>
    <w:rsid w:val="006077D0"/>
    <w:rsid w:val="00607853"/>
    <w:rsid w:val="00607897"/>
    <w:rsid w:val="00607962"/>
    <w:rsid w:val="00607A40"/>
    <w:rsid w:val="00607BB5"/>
    <w:rsid w:val="00607BC5"/>
    <w:rsid w:val="00607C7D"/>
    <w:rsid w:val="00607CD3"/>
    <w:rsid w:val="00607D76"/>
    <w:rsid w:val="00607D8B"/>
    <w:rsid w:val="00607EBC"/>
    <w:rsid w:val="00607EE9"/>
    <w:rsid w:val="00607F25"/>
    <w:rsid w:val="00607F70"/>
    <w:rsid w:val="00607F8F"/>
    <w:rsid w:val="0061001B"/>
    <w:rsid w:val="00610040"/>
    <w:rsid w:val="00610064"/>
    <w:rsid w:val="006100B7"/>
    <w:rsid w:val="0061012F"/>
    <w:rsid w:val="00610273"/>
    <w:rsid w:val="006102EF"/>
    <w:rsid w:val="00610355"/>
    <w:rsid w:val="00610379"/>
    <w:rsid w:val="006103C5"/>
    <w:rsid w:val="00610456"/>
    <w:rsid w:val="00610490"/>
    <w:rsid w:val="006104B4"/>
    <w:rsid w:val="006104E1"/>
    <w:rsid w:val="00610599"/>
    <w:rsid w:val="006106E8"/>
    <w:rsid w:val="00610711"/>
    <w:rsid w:val="00610713"/>
    <w:rsid w:val="0061072B"/>
    <w:rsid w:val="0061080F"/>
    <w:rsid w:val="00610838"/>
    <w:rsid w:val="006108C2"/>
    <w:rsid w:val="006108FE"/>
    <w:rsid w:val="00610902"/>
    <w:rsid w:val="006109B3"/>
    <w:rsid w:val="00610B29"/>
    <w:rsid w:val="00610CD8"/>
    <w:rsid w:val="00610D08"/>
    <w:rsid w:val="00610D23"/>
    <w:rsid w:val="00610D7B"/>
    <w:rsid w:val="00610EF8"/>
    <w:rsid w:val="00610FD7"/>
    <w:rsid w:val="0061105D"/>
    <w:rsid w:val="006110CE"/>
    <w:rsid w:val="0061123F"/>
    <w:rsid w:val="00611350"/>
    <w:rsid w:val="006113D2"/>
    <w:rsid w:val="0061140D"/>
    <w:rsid w:val="006114D1"/>
    <w:rsid w:val="006116E1"/>
    <w:rsid w:val="0061182E"/>
    <w:rsid w:val="00611848"/>
    <w:rsid w:val="006118CC"/>
    <w:rsid w:val="00611904"/>
    <w:rsid w:val="00611916"/>
    <w:rsid w:val="006119B6"/>
    <w:rsid w:val="006119D0"/>
    <w:rsid w:val="00611B7E"/>
    <w:rsid w:val="00611BAD"/>
    <w:rsid w:val="00611BF7"/>
    <w:rsid w:val="00611C74"/>
    <w:rsid w:val="00611CDF"/>
    <w:rsid w:val="00611CE5"/>
    <w:rsid w:val="00611CEF"/>
    <w:rsid w:val="00611D60"/>
    <w:rsid w:val="00611DB2"/>
    <w:rsid w:val="00611DC4"/>
    <w:rsid w:val="00611E0B"/>
    <w:rsid w:val="00611E22"/>
    <w:rsid w:val="00611EB9"/>
    <w:rsid w:val="00611EC5"/>
    <w:rsid w:val="00611F24"/>
    <w:rsid w:val="00611F4E"/>
    <w:rsid w:val="00611F76"/>
    <w:rsid w:val="00611F8E"/>
    <w:rsid w:val="00611F96"/>
    <w:rsid w:val="0061200B"/>
    <w:rsid w:val="006120FA"/>
    <w:rsid w:val="0061211A"/>
    <w:rsid w:val="00612239"/>
    <w:rsid w:val="006122D8"/>
    <w:rsid w:val="0061233E"/>
    <w:rsid w:val="00612385"/>
    <w:rsid w:val="006123D4"/>
    <w:rsid w:val="00612410"/>
    <w:rsid w:val="0061254A"/>
    <w:rsid w:val="00612593"/>
    <w:rsid w:val="00612612"/>
    <w:rsid w:val="00612669"/>
    <w:rsid w:val="00612692"/>
    <w:rsid w:val="00612796"/>
    <w:rsid w:val="006127A8"/>
    <w:rsid w:val="00612800"/>
    <w:rsid w:val="00612814"/>
    <w:rsid w:val="00612835"/>
    <w:rsid w:val="00612943"/>
    <w:rsid w:val="00612979"/>
    <w:rsid w:val="006129BD"/>
    <w:rsid w:val="00612A13"/>
    <w:rsid w:val="00612A26"/>
    <w:rsid w:val="00612A65"/>
    <w:rsid w:val="00612A6E"/>
    <w:rsid w:val="00612A7A"/>
    <w:rsid w:val="00612B45"/>
    <w:rsid w:val="00612B8C"/>
    <w:rsid w:val="00612CA9"/>
    <w:rsid w:val="00612CB9"/>
    <w:rsid w:val="00612CCF"/>
    <w:rsid w:val="00612E30"/>
    <w:rsid w:val="00612EA5"/>
    <w:rsid w:val="00612EED"/>
    <w:rsid w:val="00612F36"/>
    <w:rsid w:val="00612F90"/>
    <w:rsid w:val="00612F92"/>
    <w:rsid w:val="00612FAC"/>
    <w:rsid w:val="00612FC6"/>
    <w:rsid w:val="00613046"/>
    <w:rsid w:val="00613052"/>
    <w:rsid w:val="0061305F"/>
    <w:rsid w:val="006130AF"/>
    <w:rsid w:val="00613171"/>
    <w:rsid w:val="00613220"/>
    <w:rsid w:val="006132B5"/>
    <w:rsid w:val="00613337"/>
    <w:rsid w:val="00613373"/>
    <w:rsid w:val="0061338E"/>
    <w:rsid w:val="006133DD"/>
    <w:rsid w:val="006133E4"/>
    <w:rsid w:val="0061340B"/>
    <w:rsid w:val="0061341C"/>
    <w:rsid w:val="00613530"/>
    <w:rsid w:val="00613576"/>
    <w:rsid w:val="00613586"/>
    <w:rsid w:val="00613693"/>
    <w:rsid w:val="006136FD"/>
    <w:rsid w:val="0061376E"/>
    <w:rsid w:val="00613813"/>
    <w:rsid w:val="0061382C"/>
    <w:rsid w:val="0061383E"/>
    <w:rsid w:val="0061390D"/>
    <w:rsid w:val="006139CD"/>
    <w:rsid w:val="00613A08"/>
    <w:rsid w:val="00613A2C"/>
    <w:rsid w:val="00613A8C"/>
    <w:rsid w:val="00613AE3"/>
    <w:rsid w:val="00613B3F"/>
    <w:rsid w:val="00613B5B"/>
    <w:rsid w:val="00613B5D"/>
    <w:rsid w:val="00613C83"/>
    <w:rsid w:val="00613C84"/>
    <w:rsid w:val="00613E60"/>
    <w:rsid w:val="00613EC0"/>
    <w:rsid w:val="00613EF1"/>
    <w:rsid w:val="00613F1D"/>
    <w:rsid w:val="00613F2D"/>
    <w:rsid w:val="00613F6A"/>
    <w:rsid w:val="00613FA7"/>
    <w:rsid w:val="00613FAA"/>
    <w:rsid w:val="006140BC"/>
    <w:rsid w:val="0061415E"/>
    <w:rsid w:val="0061420F"/>
    <w:rsid w:val="00614235"/>
    <w:rsid w:val="0061427B"/>
    <w:rsid w:val="00614319"/>
    <w:rsid w:val="006143B7"/>
    <w:rsid w:val="006143BB"/>
    <w:rsid w:val="006143E1"/>
    <w:rsid w:val="0061445B"/>
    <w:rsid w:val="0061450A"/>
    <w:rsid w:val="00614528"/>
    <w:rsid w:val="00614573"/>
    <w:rsid w:val="0061458A"/>
    <w:rsid w:val="00614642"/>
    <w:rsid w:val="00614651"/>
    <w:rsid w:val="0061468F"/>
    <w:rsid w:val="0061469C"/>
    <w:rsid w:val="006146A3"/>
    <w:rsid w:val="00614723"/>
    <w:rsid w:val="006147B2"/>
    <w:rsid w:val="006147D2"/>
    <w:rsid w:val="006148FE"/>
    <w:rsid w:val="00614A38"/>
    <w:rsid w:val="00614A57"/>
    <w:rsid w:val="00614A8C"/>
    <w:rsid w:val="00614B8A"/>
    <w:rsid w:val="00614BD5"/>
    <w:rsid w:val="00614BD7"/>
    <w:rsid w:val="00614C22"/>
    <w:rsid w:val="00614C27"/>
    <w:rsid w:val="00614C79"/>
    <w:rsid w:val="00614C92"/>
    <w:rsid w:val="00614D45"/>
    <w:rsid w:val="00614E04"/>
    <w:rsid w:val="00614E24"/>
    <w:rsid w:val="00614E46"/>
    <w:rsid w:val="00614E8F"/>
    <w:rsid w:val="00614EAC"/>
    <w:rsid w:val="00614F15"/>
    <w:rsid w:val="00615042"/>
    <w:rsid w:val="00615153"/>
    <w:rsid w:val="00615156"/>
    <w:rsid w:val="006151FA"/>
    <w:rsid w:val="006152CB"/>
    <w:rsid w:val="00615360"/>
    <w:rsid w:val="00615399"/>
    <w:rsid w:val="006153BA"/>
    <w:rsid w:val="006153E0"/>
    <w:rsid w:val="006153EA"/>
    <w:rsid w:val="0061544C"/>
    <w:rsid w:val="00615475"/>
    <w:rsid w:val="006154D6"/>
    <w:rsid w:val="006154FD"/>
    <w:rsid w:val="00615607"/>
    <w:rsid w:val="00615651"/>
    <w:rsid w:val="006156E7"/>
    <w:rsid w:val="006157FB"/>
    <w:rsid w:val="006157FD"/>
    <w:rsid w:val="00615830"/>
    <w:rsid w:val="006158F5"/>
    <w:rsid w:val="00615904"/>
    <w:rsid w:val="00615927"/>
    <w:rsid w:val="00615932"/>
    <w:rsid w:val="00615A16"/>
    <w:rsid w:val="00615AC3"/>
    <w:rsid w:val="00615B96"/>
    <w:rsid w:val="00615CA9"/>
    <w:rsid w:val="00615CE1"/>
    <w:rsid w:val="00615E33"/>
    <w:rsid w:val="00615E8F"/>
    <w:rsid w:val="00615EE0"/>
    <w:rsid w:val="00615F43"/>
    <w:rsid w:val="00615F58"/>
    <w:rsid w:val="00615F9A"/>
    <w:rsid w:val="00615FCF"/>
    <w:rsid w:val="0061607F"/>
    <w:rsid w:val="0061608D"/>
    <w:rsid w:val="006160AA"/>
    <w:rsid w:val="006160D2"/>
    <w:rsid w:val="006160F8"/>
    <w:rsid w:val="006161A4"/>
    <w:rsid w:val="006161C8"/>
    <w:rsid w:val="00616261"/>
    <w:rsid w:val="006162A8"/>
    <w:rsid w:val="006162E5"/>
    <w:rsid w:val="00616325"/>
    <w:rsid w:val="00616348"/>
    <w:rsid w:val="00616360"/>
    <w:rsid w:val="00616463"/>
    <w:rsid w:val="006164DB"/>
    <w:rsid w:val="0061652E"/>
    <w:rsid w:val="00616536"/>
    <w:rsid w:val="0061655A"/>
    <w:rsid w:val="0061667A"/>
    <w:rsid w:val="0061671B"/>
    <w:rsid w:val="00616797"/>
    <w:rsid w:val="00616821"/>
    <w:rsid w:val="00616888"/>
    <w:rsid w:val="006168A8"/>
    <w:rsid w:val="0061696E"/>
    <w:rsid w:val="00616A6C"/>
    <w:rsid w:val="00616AD5"/>
    <w:rsid w:val="00616B3C"/>
    <w:rsid w:val="00616BC8"/>
    <w:rsid w:val="00616C98"/>
    <w:rsid w:val="00616CA3"/>
    <w:rsid w:val="00616CD2"/>
    <w:rsid w:val="00616D2D"/>
    <w:rsid w:val="00616E03"/>
    <w:rsid w:val="00616E6B"/>
    <w:rsid w:val="00616E99"/>
    <w:rsid w:val="00616EDD"/>
    <w:rsid w:val="00616F04"/>
    <w:rsid w:val="00616F95"/>
    <w:rsid w:val="00616FD5"/>
    <w:rsid w:val="006170D1"/>
    <w:rsid w:val="006170E3"/>
    <w:rsid w:val="006170EA"/>
    <w:rsid w:val="00617129"/>
    <w:rsid w:val="00617181"/>
    <w:rsid w:val="006171D3"/>
    <w:rsid w:val="00617285"/>
    <w:rsid w:val="0061729A"/>
    <w:rsid w:val="006172EF"/>
    <w:rsid w:val="00617582"/>
    <w:rsid w:val="0061760C"/>
    <w:rsid w:val="006176A1"/>
    <w:rsid w:val="00617703"/>
    <w:rsid w:val="0061787A"/>
    <w:rsid w:val="0061788D"/>
    <w:rsid w:val="006178D1"/>
    <w:rsid w:val="0061798A"/>
    <w:rsid w:val="0061799E"/>
    <w:rsid w:val="006179B9"/>
    <w:rsid w:val="006179DB"/>
    <w:rsid w:val="00617B2F"/>
    <w:rsid w:val="00617CC9"/>
    <w:rsid w:val="00617DC0"/>
    <w:rsid w:val="00617EC8"/>
    <w:rsid w:val="00617EE3"/>
    <w:rsid w:val="00617F10"/>
    <w:rsid w:val="00617F17"/>
    <w:rsid w:val="00620041"/>
    <w:rsid w:val="0062007D"/>
    <w:rsid w:val="006200EF"/>
    <w:rsid w:val="006201CA"/>
    <w:rsid w:val="006202BC"/>
    <w:rsid w:val="006202C6"/>
    <w:rsid w:val="00620340"/>
    <w:rsid w:val="00620486"/>
    <w:rsid w:val="0062051B"/>
    <w:rsid w:val="0062056D"/>
    <w:rsid w:val="006206DC"/>
    <w:rsid w:val="006207A5"/>
    <w:rsid w:val="006207DF"/>
    <w:rsid w:val="006207F8"/>
    <w:rsid w:val="00620805"/>
    <w:rsid w:val="0062082C"/>
    <w:rsid w:val="0062084E"/>
    <w:rsid w:val="0062089D"/>
    <w:rsid w:val="006208E8"/>
    <w:rsid w:val="00620935"/>
    <w:rsid w:val="0062097E"/>
    <w:rsid w:val="00620A05"/>
    <w:rsid w:val="00620A11"/>
    <w:rsid w:val="00620AE7"/>
    <w:rsid w:val="00620B16"/>
    <w:rsid w:val="00620C14"/>
    <w:rsid w:val="00620C43"/>
    <w:rsid w:val="00620D27"/>
    <w:rsid w:val="00620D35"/>
    <w:rsid w:val="00620D54"/>
    <w:rsid w:val="00620D8F"/>
    <w:rsid w:val="00620DBD"/>
    <w:rsid w:val="00620DDD"/>
    <w:rsid w:val="00620E50"/>
    <w:rsid w:val="00620EEB"/>
    <w:rsid w:val="00620EF9"/>
    <w:rsid w:val="00620FC4"/>
    <w:rsid w:val="00620FFB"/>
    <w:rsid w:val="00621053"/>
    <w:rsid w:val="0062109F"/>
    <w:rsid w:val="006210C1"/>
    <w:rsid w:val="006211AD"/>
    <w:rsid w:val="0062123F"/>
    <w:rsid w:val="006212F6"/>
    <w:rsid w:val="00621417"/>
    <w:rsid w:val="006214B0"/>
    <w:rsid w:val="0062163F"/>
    <w:rsid w:val="0062166D"/>
    <w:rsid w:val="006216E4"/>
    <w:rsid w:val="00621734"/>
    <w:rsid w:val="006217CE"/>
    <w:rsid w:val="00621800"/>
    <w:rsid w:val="00621810"/>
    <w:rsid w:val="006219BA"/>
    <w:rsid w:val="006219D5"/>
    <w:rsid w:val="006219F9"/>
    <w:rsid w:val="00621A07"/>
    <w:rsid w:val="00621B02"/>
    <w:rsid w:val="00621B88"/>
    <w:rsid w:val="00621B8E"/>
    <w:rsid w:val="00621B9C"/>
    <w:rsid w:val="00621BC9"/>
    <w:rsid w:val="00621C08"/>
    <w:rsid w:val="00621C43"/>
    <w:rsid w:val="00621CA1"/>
    <w:rsid w:val="00621CC3"/>
    <w:rsid w:val="00621DC7"/>
    <w:rsid w:val="00621E2B"/>
    <w:rsid w:val="00621E69"/>
    <w:rsid w:val="00621F69"/>
    <w:rsid w:val="00621FB3"/>
    <w:rsid w:val="00621FBF"/>
    <w:rsid w:val="006220BE"/>
    <w:rsid w:val="00622153"/>
    <w:rsid w:val="006221D4"/>
    <w:rsid w:val="006221EA"/>
    <w:rsid w:val="0062227B"/>
    <w:rsid w:val="006222A6"/>
    <w:rsid w:val="006222E0"/>
    <w:rsid w:val="00622304"/>
    <w:rsid w:val="0062232E"/>
    <w:rsid w:val="00622341"/>
    <w:rsid w:val="0062237F"/>
    <w:rsid w:val="0062239A"/>
    <w:rsid w:val="0062239B"/>
    <w:rsid w:val="006223E7"/>
    <w:rsid w:val="00622470"/>
    <w:rsid w:val="0062247B"/>
    <w:rsid w:val="0062248A"/>
    <w:rsid w:val="006224CE"/>
    <w:rsid w:val="0062254C"/>
    <w:rsid w:val="006225D6"/>
    <w:rsid w:val="00622621"/>
    <w:rsid w:val="0062266A"/>
    <w:rsid w:val="006226C3"/>
    <w:rsid w:val="006226CD"/>
    <w:rsid w:val="006226E3"/>
    <w:rsid w:val="0062270B"/>
    <w:rsid w:val="0062276B"/>
    <w:rsid w:val="0062281B"/>
    <w:rsid w:val="00622896"/>
    <w:rsid w:val="006229F3"/>
    <w:rsid w:val="00622ABA"/>
    <w:rsid w:val="00622ADF"/>
    <w:rsid w:val="00622B9B"/>
    <w:rsid w:val="00622BE9"/>
    <w:rsid w:val="00622C21"/>
    <w:rsid w:val="00622C5B"/>
    <w:rsid w:val="00622C7C"/>
    <w:rsid w:val="00622D21"/>
    <w:rsid w:val="00622D91"/>
    <w:rsid w:val="00622E0B"/>
    <w:rsid w:val="00622E59"/>
    <w:rsid w:val="00622E66"/>
    <w:rsid w:val="00623037"/>
    <w:rsid w:val="0062303C"/>
    <w:rsid w:val="0062307E"/>
    <w:rsid w:val="006231A2"/>
    <w:rsid w:val="006231D9"/>
    <w:rsid w:val="006232EA"/>
    <w:rsid w:val="00623309"/>
    <w:rsid w:val="006233D3"/>
    <w:rsid w:val="00623417"/>
    <w:rsid w:val="006234F2"/>
    <w:rsid w:val="00623573"/>
    <w:rsid w:val="006235AC"/>
    <w:rsid w:val="006235D3"/>
    <w:rsid w:val="0062361A"/>
    <w:rsid w:val="006236DC"/>
    <w:rsid w:val="006236EF"/>
    <w:rsid w:val="00623726"/>
    <w:rsid w:val="00623766"/>
    <w:rsid w:val="00623820"/>
    <w:rsid w:val="00623831"/>
    <w:rsid w:val="0062389E"/>
    <w:rsid w:val="006238BA"/>
    <w:rsid w:val="006238C3"/>
    <w:rsid w:val="00623ABE"/>
    <w:rsid w:val="00623B19"/>
    <w:rsid w:val="00623CEF"/>
    <w:rsid w:val="00623CF0"/>
    <w:rsid w:val="00623D02"/>
    <w:rsid w:val="00623D93"/>
    <w:rsid w:val="00623E30"/>
    <w:rsid w:val="00623F53"/>
    <w:rsid w:val="00623FEF"/>
    <w:rsid w:val="00623FF7"/>
    <w:rsid w:val="00624094"/>
    <w:rsid w:val="006240C1"/>
    <w:rsid w:val="00624110"/>
    <w:rsid w:val="00624129"/>
    <w:rsid w:val="00624219"/>
    <w:rsid w:val="00624256"/>
    <w:rsid w:val="006242C2"/>
    <w:rsid w:val="00624312"/>
    <w:rsid w:val="006243FE"/>
    <w:rsid w:val="006244A9"/>
    <w:rsid w:val="006244DF"/>
    <w:rsid w:val="0062458A"/>
    <w:rsid w:val="006245BA"/>
    <w:rsid w:val="006245DC"/>
    <w:rsid w:val="006245FC"/>
    <w:rsid w:val="00624640"/>
    <w:rsid w:val="00624660"/>
    <w:rsid w:val="0062469A"/>
    <w:rsid w:val="00624873"/>
    <w:rsid w:val="0062490C"/>
    <w:rsid w:val="0062499D"/>
    <w:rsid w:val="00624A26"/>
    <w:rsid w:val="00624A8D"/>
    <w:rsid w:val="00624B14"/>
    <w:rsid w:val="00624B75"/>
    <w:rsid w:val="00624BAA"/>
    <w:rsid w:val="00624BCC"/>
    <w:rsid w:val="00624C23"/>
    <w:rsid w:val="00624C4B"/>
    <w:rsid w:val="00624D40"/>
    <w:rsid w:val="00624DCF"/>
    <w:rsid w:val="00624E1E"/>
    <w:rsid w:val="00624E6A"/>
    <w:rsid w:val="00624EF5"/>
    <w:rsid w:val="00624F1D"/>
    <w:rsid w:val="00624F30"/>
    <w:rsid w:val="00625009"/>
    <w:rsid w:val="00625030"/>
    <w:rsid w:val="00625044"/>
    <w:rsid w:val="00625134"/>
    <w:rsid w:val="00625157"/>
    <w:rsid w:val="006251A2"/>
    <w:rsid w:val="0062529F"/>
    <w:rsid w:val="00625330"/>
    <w:rsid w:val="0062545D"/>
    <w:rsid w:val="00625484"/>
    <w:rsid w:val="0062556B"/>
    <w:rsid w:val="0062559A"/>
    <w:rsid w:val="00625671"/>
    <w:rsid w:val="0062569D"/>
    <w:rsid w:val="006257AB"/>
    <w:rsid w:val="0062581C"/>
    <w:rsid w:val="00625900"/>
    <w:rsid w:val="0062596E"/>
    <w:rsid w:val="00625995"/>
    <w:rsid w:val="00625BE7"/>
    <w:rsid w:val="00625C00"/>
    <w:rsid w:val="00625C39"/>
    <w:rsid w:val="00625C95"/>
    <w:rsid w:val="00625DF5"/>
    <w:rsid w:val="00625E52"/>
    <w:rsid w:val="00625F09"/>
    <w:rsid w:val="00625F71"/>
    <w:rsid w:val="00625F82"/>
    <w:rsid w:val="00626046"/>
    <w:rsid w:val="00626048"/>
    <w:rsid w:val="00626065"/>
    <w:rsid w:val="006260CB"/>
    <w:rsid w:val="006260D9"/>
    <w:rsid w:val="0062616E"/>
    <w:rsid w:val="0062617F"/>
    <w:rsid w:val="006261ED"/>
    <w:rsid w:val="0062627F"/>
    <w:rsid w:val="006262F7"/>
    <w:rsid w:val="0062642E"/>
    <w:rsid w:val="00626452"/>
    <w:rsid w:val="00626459"/>
    <w:rsid w:val="0062645E"/>
    <w:rsid w:val="006264AE"/>
    <w:rsid w:val="006264CE"/>
    <w:rsid w:val="00626504"/>
    <w:rsid w:val="00626621"/>
    <w:rsid w:val="0062665E"/>
    <w:rsid w:val="0062687C"/>
    <w:rsid w:val="006268B3"/>
    <w:rsid w:val="00626983"/>
    <w:rsid w:val="0062698D"/>
    <w:rsid w:val="006269CB"/>
    <w:rsid w:val="00626A68"/>
    <w:rsid w:val="00626AAD"/>
    <w:rsid w:val="00626ADB"/>
    <w:rsid w:val="00626B06"/>
    <w:rsid w:val="00626B15"/>
    <w:rsid w:val="00626B1A"/>
    <w:rsid w:val="00626B31"/>
    <w:rsid w:val="00626B7F"/>
    <w:rsid w:val="00626C84"/>
    <w:rsid w:val="00626CA2"/>
    <w:rsid w:val="00626F21"/>
    <w:rsid w:val="00626F67"/>
    <w:rsid w:val="00626F74"/>
    <w:rsid w:val="00626F9B"/>
    <w:rsid w:val="00626FB4"/>
    <w:rsid w:val="00626FFC"/>
    <w:rsid w:val="0062701F"/>
    <w:rsid w:val="0062702D"/>
    <w:rsid w:val="00627058"/>
    <w:rsid w:val="006270DD"/>
    <w:rsid w:val="006271BE"/>
    <w:rsid w:val="006271EA"/>
    <w:rsid w:val="006271FC"/>
    <w:rsid w:val="006272BC"/>
    <w:rsid w:val="00627412"/>
    <w:rsid w:val="006274B3"/>
    <w:rsid w:val="00627583"/>
    <w:rsid w:val="0062762E"/>
    <w:rsid w:val="006276A9"/>
    <w:rsid w:val="00627703"/>
    <w:rsid w:val="00627743"/>
    <w:rsid w:val="00627828"/>
    <w:rsid w:val="0062782B"/>
    <w:rsid w:val="00627862"/>
    <w:rsid w:val="00627969"/>
    <w:rsid w:val="00627A2F"/>
    <w:rsid w:val="00627AB9"/>
    <w:rsid w:val="00627AFA"/>
    <w:rsid w:val="00627BBE"/>
    <w:rsid w:val="00627BFD"/>
    <w:rsid w:val="00627C38"/>
    <w:rsid w:val="00627C92"/>
    <w:rsid w:val="00627D14"/>
    <w:rsid w:val="00627E2B"/>
    <w:rsid w:val="00627EB2"/>
    <w:rsid w:val="00627F1A"/>
    <w:rsid w:val="00627F4E"/>
    <w:rsid w:val="00630010"/>
    <w:rsid w:val="006300DB"/>
    <w:rsid w:val="0063011B"/>
    <w:rsid w:val="00630179"/>
    <w:rsid w:val="006301FD"/>
    <w:rsid w:val="0063023F"/>
    <w:rsid w:val="0063039F"/>
    <w:rsid w:val="006303C4"/>
    <w:rsid w:val="006304A5"/>
    <w:rsid w:val="006305DF"/>
    <w:rsid w:val="00630637"/>
    <w:rsid w:val="00630667"/>
    <w:rsid w:val="00630751"/>
    <w:rsid w:val="00630792"/>
    <w:rsid w:val="00630882"/>
    <w:rsid w:val="006309BD"/>
    <w:rsid w:val="006309D1"/>
    <w:rsid w:val="00630AA8"/>
    <w:rsid w:val="00630AA9"/>
    <w:rsid w:val="00630ADE"/>
    <w:rsid w:val="00630BAA"/>
    <w:rsid w:val="00630CA3"/>
    <w:rsid w:val="00630CBB"/>
    <w:rsid w:val="00630CDF"/>
    <w:rsid w:val="00630DBD"/>
    <w:rsid w:val="00630E20"/>
    <w:rsid w:val="00630E49"/>
    <w:rsid w:val="00630E88"/>
    <w:rsid w:val="00630EB3"/>
    <w:rsid w:val="00630EE2"/>
    <w:rsid w:val="00630EE8"/>
    <w:rsid w:val="00630F30"/>
    <w:rsid w:val="006310FA"/>
    <w:rsid w:val="00631128"/>
    <w:rsid w:val="0063120F"/>
    <w:rsid w:val="00631264"/>
    <w:rsid w:val="00631412"/>
    <w:rsid w:val="0063149C"/>
    <w:rsid w:val="006314B2"/>
    <w:rsid w:val="006314F5"/>
    <w:rsid w:val="00631564"/>
    <w:rsid w:val="006315A9"/>
    <w:rsid w:val="006315D7"/>
    <w:rsid w:val="0063168C"/>
    <w:rsid w:val="00631719"/>
    <w:rsid w:val="00631769"/>
    <w:rsid w:val="00631779"/>
    <w:rsid w:val="006317E3"/>
    <w:rsid w:val="00631858"/>
    <w:rsid w:val="00631962"/>
    <w:rsid w:val="00631968"/>
    <w:rsid w:val="00631A34"/>
    <w:rsid w:val="00631A93"/>
    <w:rsid w:val="00631BAE"/>
    <w:rsid w:val="00631BFF"/>
    <w:rsid w:val="00631C7C"/>
    <w:rsid w:val="00631E5D"/>
    <w:rsid w:val="00631E86"/>
    <w:rsid w:val="00631EC5"/>
    <w:rsid w:val="00631F1A"/>
    <w:rsid w:val="00631FB4"/>
    <w:rsid w:val="00631FE2"/>
    <w:rsid w:val="006320B6"/>
    <w:rsid w:val="00632113"/>
    <w:rsid w:val="0063211B"/>
    <w:rsid w:val="006321C9"/>
    <w:rsid w:val="00632261"/>
    <w:rsid w:val="00632267"/>
    <w:rsid w:val="006323A2"/>
    <w:rsid w:val="006324C4"/>
    <w:rsid w:val="00632581"/>
    <w:rsid w:val="006325A0"/>
    <w:rsid w:val="006326BA"/>
    <w:rsid w:val="00632845"/>
    <w:rsid w:val="006328FC"/>
    <w:rsid w:val="00632914"/>
    <w:rsid w:val="0063293C"/>
    <w:rsid w:val="0063298F"/>
    <w:rsid w:val="00632B82"/>
    <w:rsid w:val="00632BB7"/>
    <w:rsid w:val="00632C9C"/>
    <w:rsid w:val="00632CAA"/>
    <w:rsid w:val="00632D39"/>
    <w:rsid w:val="00632D58"/>
    <w:rsid w:val="00632DA2"/>
    <w:rsid w:val="00632EB8"/>
    <w:rsid w:val="00632F59"/>
    <w:rsid w:val="00632FDD"/>
    <w:rsid w:val="00632FF7"/>
    <w:rsid w:val="006330C8"/>
    <w:rsid w:val="006330CA"/>
    <w:rsid w:val="006330DF"/>
    <w:rsid w:val="00633145"/>
    <w:rsid w:val="0063333C"/>
    <w:rsid w:val="00633381"/>
    <w:rsid w:val="006333CD"/>
    <w:rsid w:val="006333DF"/>
    <w:rsid w:val="0063355D"/>
    <w:rsid w:val="0063359E"/>
    <w:rsid w:val="006335CC"/>
    <w:rsid w:val="006335EC"/>
    <w:rsid w:val="006336CF"/>
    <w:rsid w:val="00633734"/>
    <w:rsid w:val="00633738"/>
    <w:rsid w:val="006337E6"/>
    <w:rsid w:val="00633801"/>
    <w:rsid w:val="00633832"/>
    <w:rsid w:val="00633850"/>
    <w:rsid w:val="00633883"/>
    <w:rsid w:val="00633897"/>
    <w:rsid w:val="00633AC9"/>
    <w:rsid w:val="00633B73"/>
    <w:rsid w:val="00633CA0"/>
    <w:rsid w:val="00633D68"/>
    <w:rsid w:val="00633DAC"/>
    <w:rsid w:val="00633EFE"/>
    <w:rsid w:val="00633FD3"/>
    <w:rsid w:val="00633FE4"/>
    <w:rsid w:val="0063405F"/>
    <w:rsid w:val="00634091"/>
    <w:rsid w:val="00634128"/>
    <w:rsid w:val="00634150"/>
    <w:rsid w:val="00634154"/>
    <w:rsid w:val="0063417D"/>
    <w:rsid w:val="00634218"/>
    <w:rsid w:val="00634289"/>
    <w:rsid w:val="0063429A"/>
    <w:rsid w:val="00634344"/>
    <w:rsid w:val="00634358"/>
    <w:rsid w:val="0063438B"/>
    <w:rsid w:val="006343D9"/>
    <w:rsid w:val="00634477"/>
    <w:rsid w:val="00634492"/>
    <w:rsid w:val="006344B3"/>
    <w:rsid w:val="00634518"/>
    <w:rsid w:val="00634521"/>
    <w:rsid w:val="006345F8"/>
    <w:rsid w:val="006346FB"/>
    <w:rsid w:val="0063470F"/>
    <w:rsid w:val="00634724"/>
    <w:rsid w:val="006347BD"/>
    <w:rsid w:val="00634872"/>
    <w:rsid w:val="006348A6"/>
    <w:rsid w:val="006348F8"/>
    <w:rsid w:val="00634962"/>
    <w:rsid w:val="006349BF"/>
    <w:rsid w:val="006349D8"/>
    <w:rsid w:val="00634A1C"/>
    <w:rsid w:val="00634A62"/>
    <w:rsid w:val="00634A7D"/>
    <w:rsid w:val="00634AD5"/>
    <w:rsid w:val="00634B67"/>
    <w:rsid w:val="00634C1E"/>
    <w:rsid w:val="00634C33"/>
    <w:rsid w:val="00634C82"/>
    <w:rsid w:val="00634C93"/>
    <w:rsid w:val="00634CB3"/>
    <w:rsid w:val="00634CF7"/>
    <w:rsid w:val="00634D4B"/>
    <w:rsid w:val="00634E25"/>
    <w:rsid w:val="00634E28"/>
    <w:rsid w:val="00634F1C"/>
    <w:rsid w:val="00634FD4"/>
    <w:rsid w:val="00634FE3"/>
    <w:rsid w:val="00635040"/>
    <w:rsid w:val="0063510B"/>
    <w:rsid w:val="00635188"/>
    <w:rsid w:val="00635219"/>
    <w:rsid w:val="00635250"/>
    <w:rsid w:val="00635354"/>
    <w:rsid w:val="00635370"/>
    <w:rsid w:val="00635439"/>
    <w:rsid w:val="0063549F"/>
    <w:rsid w:val="0063550A"/>
    <w:rsid w:val="00635548"/>
    <w:rsid w:val="00635619"/>
    <w:rsid w:val="00635631"/>
    <w:rsid w:val="00635690"/>
    <w:rsid w:val="0063573E"/>
    <w:rsid w:val="00635809"/>
    <w:rsid w:val="00635844"/>
    <w:rsid w:val="00635862"/>
    <w:rsid w:val="006358E7"/>
    <w:rsid w:val="00635904"/>
    <w:rsid w:val="00635AA8"/>
    <w:rsid w:val="00635B05"/>
    <w:rsid w:val="00635B3C"/>
    <w:rsid w:val="00635BA0"/>
    <w:rsid w:val="00635C90"/>
    <w:rsid w:val="00635CD9"/>
    <w:rsid w:val="00635CF5"/>
    <w:rsid w:val="00635E42"/>
    <w:rsid w:val="00635E85"/>
    <w:rsid w:val="00635F0F"/>
    <w:rsid w:val="00635F11"/>
    <w:rsid w:val="00635FAC"/>
    <w:rsid w:val="00635FB4"/>
    <w:rsid w:val="00635FD6"/>
    <w:rsid w:val="00636065"/>
    <w:rsid w:val="006360C2"/>
    <w:rsid w:val="0063612A"/>
    <w:rsid w:val="00636132"/>
    <w:rsid w:val="00636158"/>
    <w:rsid w:val="00636183"/>
    <w:rsid w:val="00636303"/>
    <w:rsid w:val="00636339"/>
    <w:rsid w:val="006363E6"/>
    <w:rsid w:val="0063640B"/>
    <w:rsid w:val="0063646B"/>
    <w:rsid w:val="0063649C"/>
    <w:rsid w:val="0063663D"/>
    <w:rsid w:val="006366AE"/>
    <w:rsid w:val="00636718"/>
    <w:rsid w:val="00636730"/>
    <w:rsid w:val="00636771"/>
    <w:rsid w:val="00636789"/>
    <w:rsid w:val="00636953"/>
    <w:rsid w:val="00636A1F"/>
    <w:rsid w:val="00636A45"/>
    <w:rsid w:val="00636C1B"/>
    <w:rsid w:val="00636CD5"/>
    <w:rsid w:val="00636CE3"/>
    <w:rsid w:val="00636D52"/>
    <w:rsid w:val="00636DE5"/>
    <w:rsid w:val="00636E63"/>
    <w:rsid w:val="00636E65"/>
    <w:rsid w:val="00636E71"/>
    <w:rsid w:val="00636E80"/>
    <w:rsid w:val="00636E91"/>
    <w:rsid w:val="00636F3D"/>
    <w:rsid w:val="0063701C"/>
    <w:rsid w:val="00637036"/>
    <w:rsid w:val="00637286"/>
    <w:rsid w:val="006372BE"/>
    <w:rsid w:val="006372C1"/>
    <w:rsid w:val="00637347"/>
    <w:rsid w:val="0063735E"/>
    <w:rsid w:val="00637389"/>
    <w:rsid w:val="006373E6"/>
    <w:rsid w:val="00637437"/>
    <w:rsid w:val="0063758E"/>
    <w:rsid w:val="0063764C"/>
    <w:rsid w:val="00637695"/>
    <w:rsid w:val="00637783"/>
    <w:rsid w:val="006378D9"/>
    <w:rsid w:val="006378E4"/>
    <w:rsid w:val="006379B7"/>
    <w:rsid w:val="00637A17"/>
    <w:rsid w:val="00637AFF"/>
    <w:rsid w:val="00637B22"/>
    <w:rsid w:val="00637C6D"/>
    <w:rsid w:val="00637C94"/>
    <w:rsid w:val="00637CE9"/>
    <w:rsid w:val="00637DB2"/>
    <w:rsid w:val="00637E77"/>
    <w:rsid w:val="00637F3C"/>
    <w:rsid w:val="00637F71"/>
    <w:rsid w:val="00640039"/>
    <w:rsid w:val="00640062"/>
    <w:rsid w:val="0064017E"/>
    <w:rsid w:val="0064023C"/>
    <w:rsid w:val="0064032D"/>
    <w:rsid w:val="0064034D"/>
    <w:rsid w:val="00640386"/>
    <w:rsid w:val="006403E4"/>
    <w:rsid w:val="0064042E"/>
    <w:rsid w:val="00640458"/>
    <w:rsid w:val="00640652"/>
    <w:rsid w:val="0064067B"/>
    <w:rsid w:val="006406B7"/>
    <w:rsid w:val="006407F7"/>
    <w:rsid w:val="00640831"/>
    <w:rsid w:val="00640849"/>
    <w:rsid w:val="00640909"/>
    <w:rsid w:val="00640948"/>
    <w:rsid w:val="006409D1"/>
    <w:rsid w:val="00640A4A"/>
    <w:rsid w:val="00640A96"/>
    <w:rsid w:val="00640B11"/>
    <w:rsid w:val="00640B7E"/>
    <w:rsid w:val="00640C55"/>
    <w:rsid w:val="00640D1D"/>
    <w:rsid w:val="00640E20"/>
    <w:rsid w:val="00640E3A"/>
    <w:rsid w:val="00640F09"/>
    <w:rsid w:val="00640F65"/>
    <w:rsid w:val="00640FFA"/>
    <w:rsid w:val="006410C4"/>
    <w:rsid w:val="00641246"/>
    <w:rsid w:val="0064124E"/>
    <w:rsid w:val="0064131F"/>
    <w:rsid w:val="00641328"/>
    <w:rsid w:val="006413C2"/>
    <w:rsid w:val="00641523"/>
    <w:rsid w:val="0064152B"/>
    <w:rsid w:val="006416D4"/>
    <w:rsid w:val="0064170B"/>
    <w:rsid w:val="0064178D"/>
    <w:rsid w:val="0064180F"/>
    <w:rsid w:val="00641829"/>
    <w:rsid w:val="006418CA"/>
    <w:rsid w:val="006418E5"/>
    <w:rsid w:val="00641911"/>
    <w:rsid w:val="006419EC"/>
    <w:rsid w:val="00641A5B"/>
    <w:rsid w:val="00641AB0"/>
    <w:rsid w:val="00641ACE"/>
    <w:rsid w:val="00641B64"/>
    <w:rsid w:val="00641B87"/>
    <w:rsid w:val="00641BAC"/>
    <w:rsid w:val="00641C73"/>
    <w:rsid w:val="00641CE9"/>
    <w:rsid w:val="00641D06"/>
    <w:rsid w:val="00641D32"/>
    <w:rsid w:val="00641E30"/>
    <w:rsid w:val="00641F1B"/>
    <w:rsid w:val="00641F22"/>
    <w:rsid w:val="00641F75"/>
    <w:rsid w:val="00641F7C"/>
    <w:rsid w:val="0064200C"/>
    <w:rsid w:val="006420C2"/>
    <w:rsid w:val="00642128"/>
    <w:rsid w:val="00642129"/>
    <w:rsid w:val="006421DC"/>
    <w:rsid w:val="006423FA"/>
    <w:rsid w:val="00642415"/>
    <w:rsid w:val="006424B2"/>
    <w:rsid w:val="006424DD"/>
    <w:rsid w:val="006424F8"/>
    <w:rsid w:val="00642555"/>
    <w:rsid w:val="006426B7"/>
    <w:rsid w:val="00642876"/>
    <w:rsid w:val="0064289B"/>
    <w:rsid w:val="006428B1"/>
    <w:rsid w:val="006429A8"/>
    <w:rsid w:val="006429E5"/>
    <w:rsid w:val="00642AAC"/>
    <w:rsid w:val="00642B04"/>
    <w:rsid w:val="00642B1B"/>
    <w:rsid w:val="00642B65"/>
    <w:rsid w:val="00642BD9"/>
    <w:rsid w:val="00642BF2"/>
    <w:rsid w:val="00642C72"/>
    <w:rsid w:val="00642D85"/>
    <w:rsid w:val="00642DA5"/>
    <w:rsid w:val="00642DD7"/>
    <w:rsid w:val="00642E1E"/>
    <w:rsid w:val="00642E34"/>
    <w:rsid w:val="00642E5B"/>
    <w:rsid w:val="00642EBF"/>
    <w:rsid w:val="00642FED"/>
    <w:rsid w:val="00642FF0"/>
    <w:rsid w:val="0064301C"/>
    <w:rsid w:val="006430E2"/>
    <w:rsid w:val="006430E8"/>
    <w:rsid w:val="006430EE"/>
    <w:rsid w:val="0064313C"/>
    <w:rsid w:val="0064321B"/>
    <w:rsid w:val="006432ED"/>
    <w:rsid w:val="00643383"/>
    <w:rsid w:val="006433B1"/>
    <w:rsid w:val="00643437"/>
    <w:rsid w:val="00643475"/>
    <w:rsid w:val="00643492"/>
    <w:rsid w:val="0064354F"/>
    <w:rsid w:val="006435BB"/>
    <w:rsid w:val="006435E9"/>
    <w:rsid w:val="00643604"/>
    <w:rsid w:val="00643686"/>
    <w:rsid w:val="006436A9"/>
    <w:rsid w:val="006437A8"/>
    <w:rsid w:val="006437D1"/>
    <w:rsid w:val="0064388F"/>
    <w:rsid w:val="00643915"/>
    <w:rsid w:val="00643A36"/>
    <w:rsid w:val="00643A5F"/>
    <w:rsid w:val="00643C76"/>
    <w:rsid w:val="00643C84"/>
    <w:rsid w:val="00643D8C"/>
    <w:rsid w:val="00643E0B"/>
    <w:rsid w:val="00643E52"/>
    <w:rsid w:val="00643E71"/>
    <w:rsid w:val="00643E94"/>
    <w:rsid w:val="00643EA9"/>
    <w:rsid w:val="00643EE4"/>
    <w:rsid w:val="00643F11"/>
    <w:rsid w:val="00643F34"/>
    <w:rsid w:val="00643FA6"/>
    <w:rsid w:val="00644037"/>
    <w:rsid w:val="00644092"/>
    <w:rsid w:val="006440C3"/>
    <w:rsid w:val="006440E6"/>
    <w:rsid w:val="0064413C"/>
    <w:rsid w:val="00644234"/>
    <w:rsid w:val="0064440D"/>
    <w:rsid w:val="006444CA"/>
    <w:rsid w:val="00644506"/>
    <w:rsid w:val="00644528"/>
    <w:rsid w:val="006445D7"/>
    <w:rsid w:val="00644738"/>
    <w:rsid w:val="00644779"/>
    <w:rsid w:val="00644799"/>
    <w:rsid w:val="00644865"/>
    <w:rsid w:val="006448AA"/>
    <w:rsid w:val="00644910"/>
    <w:rsid w:val="00644932"/>
    <w:rsid w:val="00644A8A"/>
    <w:rsid w:val="00644AC2"/>
    <w:rsid w:val="00644B57"/>
    <w:rsid w:val="00644B61"/>
    <w:rsid w:val="00644B93"/>
    <w:rsid w:val="00644BDC"/>
    <w:rsid w:val="00644C7C"/>
    <w:rsid w:val="00644CCA"/>
    <w:rsid w:val="00644DF0"/>
    <w:rsid w:val="00644E51"/>
    <w:rsid w:val="00644EF0"/>
    <w:rsid w:val="00644F28"/>
    <w:rsid w:val="00645001"/>
    <w:rsid w:val="00645009"/>
    <w:rsid w:val="00645415"/>
    <w:rsid w:val="00645455"/>
    <w:rsid w:val="006454CC"/>
    <w:rsid w:val="0064550F"/>
    <w:rsid w:val="00645567"/>
    <w:rsid w:val="0064556A"/>
    <w:rsid w:val="00645601"/>
    <w:rsid w:val="00645634"/>
    <w:rsid w:val="00645638"/>
    <w:rsid w:val="006456BA"/>
    <w:rsid w:val="006456FD"/>
    <w:rsid w:val="0064571B"/>
    <w:rsid w:val="00645763"/>
    <w:rsid w:val="00645788"/>
    <w:rsid w:val="006457B9"/>
    <w:rsid w:val="006457C0"/>
    <w:rsid w:val="006457C8"/>
    <w:rsid w:val="00645806"/>
    <w:rsid w:val="0064581A"/>
    <w:rsid w:val="006458E0"/>
    <w:rsid w:val="00645911"/>
    <w:rsid w:val="0064592F"/>
    <w:rsid w:val="006459A2"/>
    <w:rsid w:val="00645A13"/>
    <w:rsid w:val="00645A28"/>
    <w:rsid w:val="00645A3D"/>
    <w:rsid w:val="00645ACA"/>
    <w:rsid w:val="00645B4C"/>
    <w:rsid w:val="00645B97"/>
    <w:rsid w:val="00645C42"/>
    <w:rsid w:val="00645CC3"/>
    <w:rsid w:val="00645D90"/>
    <w:rsid w:val="00645D95"/>
    <w:rsid w:val="00645EBE"/>
    <w:rsid w:val="00645F14"/>
    <w:rsid w:val="00645FEF"/>
    <w:rsid w:val="00646057"/>
    <w:rsid w:val="0064612E"/>
    <w:rsid w:val="00646130"/>
    <w:rsid w:val="00646181"/>
    <w:rsid w:val="00646213"/>
    <w:rsid w:val="00646282"/>
    <w:rsid w:val="00646376"/>
    <w:rsid w:val="006463BB"/>
    <w:rsid w:val="006463BC"/>
    <w:rsid w:val="00646452"/>
    <w:rsid w:val="00646473"/>
    <w:rsid w:val="00646515"/>
    <w:rsid w:val="00646532"/>
    <w:rsid w:val="006465BB"/>
    <w:rsid w:val="006465BD"/>
    <w:rsid w:val="006465D8"/>
    <w:rsid w:val="0064665C"/>
    <w:rsid w:val="00646676"/>
    <w:rsid w:val="006466D6"/>
    <w:rsid w:val="006466F7"/>
    <w:rsid w:val="0064671A"/>
    <w:rsid w:val="0064673A"/>
    <w:rsid w:val="006467C0"/>
    <w:rsid w:val="00646810"/>
    <w:rsid w:val="00646868"/>
    <w:rsid w:val="00646869"/>
    <w:rsid w:val="006468A4"/>
    <w:rsid w:val="0064697F"/>
    <w:rsid w:val="006469B0"/>
    <w:rsid w:val="006469CC"/>
    <w:rsid w:val="006469D7"/>
    <w:rsid w:val="00646A3F"/>
    <w:rsid w:val="00646A56"/>
    <w:rsid w:val="00646A60"/>
    <w:rsid w:val="00646A78"/>
    <w:rsid w:val="00646AFE"/>
    <w:rsid w:val="00646B20"/>
    <w:rsid w:val="00646B29"/>
    <w:rsid w:val="00646C0A"/>
    <w:rsid w:val="00646C5B"/>
    <w:rsid w:val="00646C75"/>
    <w:rsid w:val="00646D09"/>
    <w:rsid w:val="00646E39"/>
    <w:rsid w:val="00646EA1"/>
    <w:rsid w:val="00646F06"/>
    <w:rsid w:val="00646F57"/>
    <w:rsid w:val="00646FC9"/>
    <w:rsid w:val="00646FE7"/>
    <w:rsid w:val="00646FFD"/>
    <w:rsid w:val="0064701A"/>
    <w:rsid w:val="00647075"/>
    <w:rsid w:val="0064712F"/>
    <w:rsid w:val="0064714E"/>
    <w:rsid w:val="00647157"/>
    <w:rsid w:val="006471E8"/>
    <w:rsid w:val="00647361"/>
    <w:rsid w:val="0064737C"/>
    <w:rsid w:val="0064739F"/>
    <w:rsid w:val="006473D3"/>
    <w:rsid w:val="00647408"/>
    <w:rsid w:val="00647415"/>
    <w:rsid w:val="0064747D"/>
    <w:rsid w:val="006475BB"/>
    <w:rsid w:val="00647680"/>
    <w:rsid w:val="00647692"/>
    <w:rsid w:val="00647694"/>
    <w:rsid w:val="0064773C"/>
    <w:rsid w:val="0064779D"/>
    <w:rsid w:val="0064780E"/>
    <w:rsid w:val="00647950"/>
    <w:rsid w:val="00647AA4"/>
    <w:rsid w:val="00647ABE"/>
    <w:rsid w:val="00647AE3"/>
    <w:rsid w:val="00647AF5"/>
    <w:rsid w:val="00647B75"/>
    <w:rsid w:val="00647CFD"/>
    <w:rsid w:val="00647F03"/>
    <w:rsid w:val="00647F13"/>
    <w:rsid w:val="00647F1D"/>
    <w:rsid w:val="00647FD6"/>
    <w:rsid w:val="0065002A"/>
    <w:rsid w:val="00650192"/>
    <w:rsid w:val="00650209"/>
    <w:rsid w:val="0065027A"/>
    <w:rsid w:val="006502C3"/>
    <w:rsid w:val="00650496"/>
    <w:rsid w:val="0065049F"/>
    <w:rsid w:val="006504E5"/>
    <w:rsid w:val="0065054C"/>
    <w:rsid w:val="00650558"/>
    <w:rsid w:val="006505D4"/>
    <w:rsid w:val="00650600"/>
    <w:rsid w:val="00650627"/>
    <w:rsid w:val="00650641"/>
    <w:rsid w:val="006506A2"/>
    <w:rsid w:val="006506A6"/>
    <w:rsid w:val="006506E3"/>
    <w:rsid w:val="0065074B"/>
    <w:rsid w:val="00650780"/>
    <w:rsid w:val="006507EB"/>
    <w:rsid w:val="006507FC"/>
    <w:rsid w:val="006508FB"/>
    <w:rsid w:val="006509AD"/>
    <w:rsid w:val="00650AD7"/>
    <w:rsid w:val="00650AE4"/>
    <w:rsid w:val="00650C17"/>
    <w:rsid w:val="00650C55"/>
    <w:rsid w:val="00650C5E"/>
    <w:rsid w:val="00650C80"/>
    <w:rsid w:val="00650D99"/>
    <w:rsid w:val="00650DB0"/>
    <w:rsid w:val="00650E1D"/>
    <w:rsid w:val="00650EE4"/>
    <w:rsid w:val="00650FEC"/>
    <w:rsid w:val="00651014"/>
    <w:rsid w:val="00651251"/>
    <w:rsid w:val="006515AE"/>
    <w:rsid w:val="00651680"/>
    <w:rsid w:val="006516C4"/>
    <w:rsid w:val="006517DA"/>
    <w:rsid w:val="00651A16"/>
    <w:rsid w:val="00651A8A"/>
    <w:rsid w:val="00651B12"/>
    <w:rsid w:val="00651BD1"/>
    <w:rsid w:val="00651D10"/>
    <w:rsid w:val="00651E20"/>
    <w:rsid w:val="00651EB7"/>
    <w:rsid w:val="006520C7"/>
    <w:rsid w:val="006520CE"/>
    <w:rsid w:val="0065212E"/>
    <w:rsid w:val="0065216A"/>
    <w:rsid w:val="00652264"/>
    <w:rsid w:val="00652393"/>
    <w:rsid w:val="00652447"/>
    <w:rsid w:val="006524AE"/>
    <w:rsid w:val="00652512"/>
    <w:rsid w:val="00652568"/>
    <w:rsid w:val="006525D3"/>
    <w:rsid w:val="00652617"/>
    <w:rsid w:val="0065262B"/>
    <w:rsid w:val="0065264B"/>
    <w:rsid w:val="00652693"/>
    <w:rsid w:val="0065269B"/>
    <w:rsid w:val="006526D5"/>
    <w:rsid w:val="00652725"/>
    <w:rsid w:val="00652736"/>
    <w:rsid w:val="006527FB"/>
    <w:rsid w:val="0065296E"/>
    <w:rsid w:val="00652984"/>
    <w:rsid w:val="006529AA"/>
    <w:rsid w:val="00652A8E"/>
    <w:rsid w:val="00652A91"/>
    <w:rsid w:val="00652AE8"/>
    <w:rsid w:val="00652AFF"/>
    <w:rsid w:val="00652B21"/>
    <w:rsid w:val="00652B40"/>
    <w:rsid w:val="00652BAB"/>
    <w:rsid w:val="00652CA2"/>
    <w:rsid w:val="00652CBF"/>
    <w:rsid w:val="00652CC0"/>
    <w:rsid w:val="00652D42"/>
    <w:rsid w:val="00652D97"/>
    <w:rsid w:val="00652F62"/>
    <w:rsid w:val="00652F71"/>
    <w:rsid w:val="00652FB0"/>
    <w:rsid w:val="006530B0"/>
    <w:rsid w:val="006530D1"/>
    <w:rsid w:val="006531A2"/>
    <w:rsid w:val="0065321F"/>
    <w:rsid w:val="00653263"/>
    <w:rsid w:val="006532B7"/>
    <w:rsid w:val="0065335B"/>
    <w:rsid w:val="006534BA"/>
    <w:rsid w:val="0065351C"/>
    <w:rsid w:val="006535B5"/>
    <w:rsid w:val="006535E4"/>
    <w:rsid w:val="00653664"/>
    <w:rsid w:val="0065377C"/>
    <w:rsid w:val="006537B3"/>
    <w:rsid w:val="006537C6"/>
    <w:rsid w:val="00653824"/>
    <w:rsid w:val="00653857"/>
    <w:rsid w:val="00653898"/>
    <w:rsid w:val="006538A5"/>
    <w:rsid w:val="00653912"/>
    <w:rsid w:val="00653936"/>
    <w:rsid w:val="006539C8"/>
    <w:rsid w:val="00653A21"/>
    <w:rsid w:val="00653A3C"/>
    <w:rsid w:val="00653BCA"/>
    <w:rsid w:val="00653C1C"/>
    <w:rsid w:val="00653C26"/>
    <w:rsid w:val="00653C74"/>
    <w:rsid w:val="00653D59"/>
    <w:rsid w:val="00653DD6"/>
    <w:rsid w:val="00653DFD"/>
    <w:rsid w:val="00653E3E"/>
    <w:rsid w:val="00653E45"/>
    <w:rsid w:val="00653E66"/>
    <w:rsid w:val="0065405B"/>
    <w:rsid w:val="0065407E"/>
    <w:rsid w:val="006540DD"/>
    <w:rsid w:val="00654169"/>
    <w:rsid w:val="00654197"/>
    <w:rsid w:val="006541B5"/>
    <w:rsid w:val="006541DA"/>
    <w:rsid w:val="006541F8"/>
    <w:rsid w:val="00654241"/>
    <w:rsid w:val="006543BE"/>
    <w:rsid w:val="00654454"/>
    <w:rsid w:val="00654481"/>
    <w:rsid w:val="006544E6"/>
    <w:rsid w:val="0065465B"/>
    <w:rsid w:val="0065465F"/>
    <w:rsid w:val="00654706"/>
    <w:rsid w:val="0065470C"/>
    <w:rsid w:val="0065478F"/>
    <w:rsid w:val="006547AB"/>
    <w:rsid w:val="006547E2"/>
    <w:rsid w:val="00654832"/>
    <w:rsid w:val="00654890"/>
    <w:rsid w:val="00654957"/>
    <w:rsid w:val="006549AB"/>
    <w:rsid w:val="006549E1"/>
    <w:rsid w:val="00654A78"/>
    <w:rsid w:val="00654C86"/>
    <w:rsid w:val="00654D8A"/>
    <w:rsid w:val="00654DC2"/>
    <w:rsid w:val="00654E3A"/>
    <w:rsid w:val="00654FA6"/>
    <w:rsid w:val="00654FFA"/>
    <w:rsid w:val="00655095"/>
    <w:rsid w:val="0065519E"/>
    <w:rsid w:val="006551AE"/>
    <w:rsid w:val="006552DB"/>
    <w:rsid w:val="00655300"/>
    <w:rsid w:val="00655343"/>
    <w:rsid w:val="006553B8"/>
    <w:rsid w:val="00655428"/>
    <w:rsid w:val="006554E0"/>
    <w:rsid w:val="00655514"/>
    <w:rsid w:val="00655687"/>
    <w:rsid w:val="006556D7"/>
    <w:rsid w:val="006556F1"/>
    <w:rsid w:val="00655717"/>
    <w:rsid w:val="00655776"/>
    <w:rsid w:val="0065579A"/>
    <w:rsid w:val="006557EC"/>
    <w:rsid w:val="00655822"/>
    <w:rsid w:val="006558B6"/>
    <w:rsid w:val="006558D7"/>
    <w:rsid w:val="00655923"/>
    <w:rsid w:val="00655929"/>
    <w:rsid w:val="0065592F"/>
    <w:rsid w:val="00655942"/>
    <w:rsid w:val="00655A09"/>
    <w:rsid w:val="00655A0F"/>
    <w:rsid w:val="00655A58"/>
    <w:rsid w:val="00655A90"/>
    <w:rsid w:val="00655B72"/>
    <w:rsid w:val="00655BE0"/>
    <w:rsid w:val="00655C66"/>
    <w:rsid w:val="00655C8C"/>
    <w:rsid w:val="00655CA1"/>
    <w:rsid w:val="00655CEE"/>
    <w:rsid w:val="00655D3A"/>
    <w:rsid w:val="00655D6D"/>
    <w:rsid w:val="00655DA1"/>
    <w:rsid w:val="00655E1A"/>
    <w:rsid w:val="00655E35"/>
    <w:rsid w:val="00655F73"/>
    <w:rsid w:val="00655FAA"/>
    <w:rsid w:val="00656038"/>
    <w:rsid w:val="006560C9"/>
    <w:rsid w:val="0065617D"/>
    <w:rsid w:val="00656212"/>
    <w:rsid w:val="0065629A"/>
    <w:rsid w:val="006563B2"/>
    <w:rsid w:val="00656457"/>
    <w:rsid w:val="0065646F"/>
    <w:rsid w:val="006564BB"/>
    <w:rsid w:val="00656553"/>
    <w:rsid w:val="006565E5"/>
    <w:rsid w:val="0065663C"/>
    <w:rsid w:val="00656650"/>
    <w:rsid w:val="006566C8"/>
    <w:rsid w:val="006566DB"/>
    <w:rsid w:val="00656836"/>
    <w:rsid w:val="006568BA"/>
    <w:rsid w:val="006568E3"/>
    <w:rsid w:val="0065697B"/>
    <w:rsid w:val="00656B11"/>
    <w:rsid w:val="00656C25"/>
    <w:rsid w:val="00656CA0"/>
    <w:rsid w:val="00656DC1"/>
    <w:rsid w:val="00656DCF"/>
    <w:rsid w:val="00656E50"/>
    <w:rsid w:val="00656F7A"/>
    <w:rsid w:val="0065711B"/>
    <w:rsid w:val="00657131"/>
    <w:rsid w:val="006571CF"/>
    <w:rsid w:val="0065724B"/>
    <w:rsid w:val="00657255"/>
    <w:rsid w:val="00657295"/>
    <w:rsid w:val="006572D8"/>
    <w:rsid w:val="0065734C"/>
    <w:rsid w:val="00657371"/>
    <w:rsid w:val="00657469"/>
    <w:rsid w:val="006574E6"/>
    <w:rsid w:val="006575CC"/>
    <w:rsid w:val="00657615"/>
    <w:rsid w:val="00657664"/>
    <w:rsid w:val="0065768C"/>
    <w:rsid w:val="00657690"/>
    <w:rsid w:val="00657736"/>
    <w:rsid w:val="00657844"/>
    <w:rsid w:val="00657953"/>
    <w:rsid w:val="0065796A"/>
    <w:rsid w:val="00657ADD"/>
    <w:rsid w:val="00657B40"/>
    <w:rsid w:val="00657BF9"/>
    <w:rsid w:val="00657BFF"/>
    <w:rsid w:val="00657CBC"/>
    <w:rsid w:val="00657D0F"/>
    <w:rsid w:val="00657D64"/>
    <w:rsid w:val="00657DD9"/>
    <w:rsid w:val="00657E3F"/>
    <w:rsid w:val="00657F38"/>
    <w:rsid w:val="00657F9C"/>
    <w:rsid w:val="00657FE1"/>
    <w:rsid w:val="00657FF4"/>
    <w:rsid w:val="0066002A"/>
    <w:rsid w:val="0066006E"/>
    <w:rsid w:val="0066006F"/>
    <w:rsid w:val="006600AD"/>
    <w:rsid w:val="00660105"/>
    <w:rsid w:val="00660260"/>
    <w:rsid w:val="006602B9"/>
    <w:rsid w:val="006602C6"/>
    <w:rsid w:val="006602CB"/>
    <w:rsid w:val="006602E1"/>
    <w:rsid w:val="00660366"/>
    <w:rsid w:val="0066038D"/>
    <w:rsid w:val="006604DE"/>
    <w:rsid w:val="00660534"/>
    <w:rsid w:val="0066067A"/>
    <w:rsid w:val="006606EB"/>
    <w:rsid w:val="00660721"/>
    <w:rsid w:val="0066078B"/>
    <w:rsid w:val="006607E4"/>
    <w:rsid w:val="00660842"/>
    <w:rsid w:val="006608AA"/>
    <w:rsid w:val="006608DB"/>
    <w:rsid w:val="00660A82"/>
    <w:rsid w:val="00660ABF"/>
    <w:rsid w:val="00660B61"/>
    <w:rsid w:val="00660BC9"/>
    <w:rsid w:val="00660C57"/>
    <w:rsid w:val="00660C64"/>
    <w:rsid w:val="00660C7F"/>
    <w:rsid w:val="00660D66"/>
    <w:rsid w:val="00660DD6"/>
    <w:rsid w:val="00660F69"/>
    <w:rsid w:val="00660FE3"/>
    <w:rsid w:val="00661012"/>
    <w:rsid w:val="00661021"/>
    <w:rsid w:val="006610D8"/>
    <w:rsid w:val="006610DF"/>
    <w:rsid w:val="0066114F"/>
    <w:rsid w:val="006611A4"/>
    <w:rsid w:val="00661408"/>
    <w:rsid w:val="0066156C"/>
    <w:rsid w:val="0066157E"/>
    <w:rsid w:val="00661603"/>
    <w:rsid w:val="0066166E"/>
    <w:rsid w:val="0066167A"/>
    <w:rsid w:val="006616A3"/>
    <w:rsid w:val="006616F2"/>
    <w:rsid w:val="00661968"/>
    <w:rsid w:val="00661B48"/>
    <w:rsid w:val="00661C6F"/>
    <w:rsid w:val="00661CD1"/>
    <w:rsid w:val="00661DD9"/>
    <w:rsid w:val="00661F68"/>
    <w:rsid w:val="00661FA9"/>
    <w:rsid w:val="0066209A"/>
    <w:rsid w:val="006621CD"/>
    <w:rsid w:val="00662244"/>
    <w:rsid w:val="006622AD"/>
    <w:rsid w:val="00662352"/>
    <w:rsid w:val="006623AB"/>
    <w:rsid w:val="006624B1"/>
    <w:rsid w:val="0066251D"/>
    <w:rsid w:val="00662526"/>
    <w:rsid w:val="00662544"/>
    <w:rsid w:val="00662564"/>
    <w:rsid w:val="006625AB"/>
    <w:rsid w:val="006625EB"/>
    <w:rsid w:val="00662647"/>
    <w:rsid w:val="0066268E"/>
    <w:rsid w:val="006626DA"/>
    <w:rsid w:val="0066295D"/>
    <w:rsid w:val="0066296E"/>
    <w:rsid w:val="00662B03"/>
    <w:rsid w:val="00662B75"/>
    <w:rsid w:val="00662BC5"/>
    <w:rsid w:val="00662C33"/>
    <w:rsid w:val="00662C3A"/>
    <w:rsid w:val="00662C5E"/>
    <w:rsid w:val="00662C91"/>
    <w:rsid w:val="00662EEF"/>
    <w:rsid w:val="00662F61"/>
    <w:rsid w:val="00662F9F"/>
    <w:rsid w:val="00662FB4"/>
    <w:rsid w:val="006630A4"/>
    <w:rsid w:val="0066327A"/>
    <w:rsid w:val="00663296"/>
    <w:rsid w:val="0066329F"/>
    <w:rsid w:val="00663368"/>
    <w:rsid w:val="006634E1"/>
    <w:rsid w:val="006634F0"/>
    <w:rsid w:val="006634FE"/>
    <w:rsid w:val="00663592"/>
    <w:rsid w:val="006635C4"/>
    <w:rsid w:val="006635F3"/>
    <w:rsid w:val="0066364F"/>
    <w:rsid w:val="006636E5"/>
    <w:rsid w:val="0066376D"/>
    <w:rsid w:val="006637B7"/>
    <w:rsid w:val="0066381F"/>
    <w:rsid w:val="00663823"/>
    <w:rsid w:val="00663846"/>
    <w:rsid w:val="0066386E"/>
    <w:rsid w:val="00663958"/>
    <w:rsid w:val="00663AD7"/>
    <w:rsid w:val="00663B23"/>
    <w:rsid w:val="00663CB5"/>
    <w:rsid w:val="00663D04"/>
    <w:rsid w:val="00663D25"/>
    <w:rsid w:val="00663DDF"/>
    <w:rsid w:val="00663DEE"/>
    <w:rsid w:val="00663E35"/>
    <w:rsid w:val="00664039"/>
    <w:rsid w:val="006640E8"/>
    <w:rsid w:val="006641B4"/>
    <w:rsid w:val="006641E1"/>
    <w:rsid w:val="0066427C"/>
    <w:rsid w:val="0066431E"/>
    <w:rsid w:val="00664356"/>
    <w:rsid w:val="0066441C"/>
    <w:rsid w:val="006644BA"/>
    <w:rsid w:val="006644C7"/>
    <w:rsid w:val="006644DA"/>
    <w:rsid w:val="00664637"/>
    <w:rsid w:val="00664684"/>
    <w:rsid w:val="00664752"/>
    <w:rsid w:val="0066476C"/>
    <w:rsid w:val="0066487F"/>
    <w:rsid w:val="0066491B"/>
    <w:rsid w:val="00664A34"/>
    <w:rsid w:val="00664B5C"/>
    <w:rsid w:val="00664B81"/>
    <w:rsid w:val="00664B9E"/>
    <w:rsid w:val="00664CB8"/>
    <w:rsid w:val="00664CCA"/>
    <w:rsid w:val="00664D80"/>
    <w:rsid w:val="00664DED"/>
    <w:rsid w:val="00664DFF"/>
    <w:rsid w:val="00664E9F"/>
    <w:rsid w:val="00664ECD"/>
    <w:rsid w:val="00664F8C"/>
    <w:rsid w:val="00664FBA"/>
    <w:rsid w:val="00664FBC"/>
    <w:rsid w:val="0066513D"/>
    <w:rsid w:val="0066521A"/>
    <w:rsid w:val="0066526E"/>
    <w:rsid w:val="006652A9"/>
    <w:rsid w:val="0066533B"/>
    <w:rsid w:val="0066554B"/>
    <w:rsid w:val="00665582"/>
    <w:rsid w:val="0066573E"/>
    <w:rsid w:val="00665756"/>
    <w:rsid w:val="0066580C"/>
    <w:rsid w:val="0066580E"/>
    <w:rsid w:val="0066581A"/>
    <w:rsid w:val="00665886"/>
    <w:rsid w:val="006658B5"/>
    <w:rsid w:val="00665902"/>
    <w:rsid w:val="006659B0"/>
    <w:rsid w:val="00665A61"/>
    <w:rsid w:val="00665AB6"/>
    <w:rsid w:val="00665B7F"/>
    <w:rsid w:val="00665BA1"/>
    <w:rsid w:val="00665D1C"/>
    <w:rsid w:val="00665D49"/>
    <w:rsid w:val="00665D79"/>
    <w:rsid w:val="00665D8E"/>
    <w:rsid w:val="00665D9F"/>
    <w:rsid w:val="00665E48"/>
    <w:rsid w:val="00665EA7"/>
    <w:rsid w:val="00665EB5"/>
    <w:rsid w:val="00665F3D"/>
    <w:rsid w:val="00665F4C"/>
    <w:rsid w:val="00665FB3"/>
    <w:rsid w:val="00666000"/>
    <w:rsid w:val="00666011"/>
    <w:rsid w:val="00666028"/>
    <w:rsid w:val="0066604B"/>
    <w:rsid w:val="0066605A"/>
    <w:rsid w:val="006660B1"/>
    <w:rsid w:val="006660F8"/>
    <w:rsid w:val="00666186"/>
    <w:rsid w:val="00666210"/>
    <w:rsid w:val="0066630A"/>
    <w:rsid w:val="00666317"/>
    <w:rsid w:val="00666390"/>
    <w:rsid w:val="006664B6"/>
    <w:rsid w:val="006665BF"/>
    <w:rsid w:val="006665FF"/>
    <w:rsid w:val="0066663B"/>
    <w:rsid w:val="00666672"/>
    <w:rsid w:val="006666DE"/>
    <w:rsid w:val="0066676C"/>
    <w:rsid w:val="0066676D"/>
    <w:rsid w:val="006667D2"/>
    <w:rsid w:val="006668AD"/>
    <w:rsid w:val="006668D5"/>
    <w:rsid w:val="0066697D"/>
    <w:rsid w:val="00666A23"/>
    <w:rsid w:val="00666AC9"/>
    <w:rsid w:val="00666BF9"/>
    <w:rsid w:val="00666C3A"/>
    <w:rsid w:val="00666C53"/>
    <w:rsid w:val="00666CC8"/>
    <w:rsid w:val="00666D41"/>
    <w:rsid w:val="00666D4B"/>
    <w:rsid w:val="00666DAD"/>
    <w:rsid w:val="00666E4B"/>
    <w:rsid w:val="00666E94"/>
    <w:rsid w:val="00666F1F"/>
    <w:rsid w:val="00666F69"/>
    <w:rsid w:val="00667025"/>
    <w:rsid w:val="006670A1"/>
    <w:rsid w:val="006670D9"/>
    <w:rsid w:val="006670DF"/>
    <w:rsid w:val="00667108"/>
    <w:rsid w:val="00667196"/>
    <w:rsid w:val="00667249"/>
    <w:rsid w:val="00667315"/>
    <w:rsid w:val="0066731D"/>
    <w:rsid w:val="00667343"/>
    <w:rsid w:val="006674FE"/>
    <w:rsid w:val="006675B0"/>
    <w:rsid w:val="00667657"/>
    <w:rsid w:val="0066774F"/>
    <w:rsid w:val="0066775C"/>
    <w:rsid w:val="0066777E"/>
    <w:rsid w:val="006677D3"/>
    <w:rsid w:val="00667805"/>
    <w:rsid w:val="00667867"/>
    <w:rsid w:val="0066792D"/>
    <w:rsid w:val="00667A97"/>
    <w:rsid w:val="00667B88"/>
    <w:rsid w:val="00667BEE"/>
    <w:rsid w:val="00667C2D"/>
    <w:rsid w:val="00667C6F"/>
    <w:rsid w:val="00667C85"/>
    <w:rsid w:val="00667C96"/>
    <w:rsid w:val="00667CA3"/>
    <w:rsid w:val="00667CCD"/>
    <w:rsid w:val="00667CF4"/>
    <w:rsid w:val="00667D10"/>
    <w:rsid w:val="00667DF8"/>
    <w:rsid w:val="00667E12"/>
    <w:rsid w:val="00667EB7"/>
    <w:rsid w:val="00667ED4"/>
    <w:rsid w:val="00670066"/>
    <w:rsid w:val="00670090"/>
    <w:rsid w:val="006700D7"/>
    <w:rsid w:val="00670102"/>
    <w:rsid w:val="00670172"/>
    <w:rsid w:val="006701F4"/>
    <w:rsid w:val="006702B3"/>
    <w:rsid w:val="006702D5"/>
    <w:rsid w:val="0067035A"/>
    <w:rsid w:val="00670360"/>
    <w:rsid w:val="0067038D"/>
    <w:rsid w:val="00670408"/>
    <w:rsid w:val="0067051F"/>
    <w:rsid w:val="00670672"/>
    <w:rsid w:val="0067069B"/>
    <w:rsid w:val="006706D0"/>
    <w:rsid w:val="006706D6"/>
    <w:rsid w:val="00670728"/>
    <w:rsid w:val="0067073D"/>
    <w:rsid w:val="00670841"/>
    <w:rsid w:val="00670856"/>
    <w:rsid w:val="0067086C"/>
    <w:rsid w:val="006708F6"/>
    <w:rsid w:val="00670A55"/>
    <w:rsid w:val="00670A9C"/>
    <w:rsid w:val="00670AEF"/>
    <w:rsid w:val="00670AFD"/>
    <w:rsid w:val="00670BA0"/>
    <w:rsid w:val="00670D10"/>
    <w:rsid w:val="00670D9C"/>
    <w:rsid w:val="00670E31"/>
    <w:rsid w:val="00670E59"/>
    <w:rsid w:val="00670EBA"/>
    <w:rsid w:val="00670ED4"/>
    <w:rsid w:val="00671087"/>
    <w:rsid w:val="006711AE"/>
    <w:rsid w:val="006711B3"/>
    <w:rsid w:val="006712BA"/>
    <w:rsid w:val="00671367"/>
    <w:rsid w:val="0067138D"/>
    <w:rsid w:val="006713A5"/>
    <w:rsid w:val="0067143A"/>
    <w:rsid w:val="00671445"/>
    <w:rsid w:val="0067144A"/>
    <w:rsid w:val="00671472"/>
    <w:rsid w:val="006714CA"/>
    <w:rsid w:val="00671556"/>
    <w:rsid w:val="00671572"/>
    <w:rsid w:val="0067158B"/>
    <w:rsid w:val="006715D0"/>
    <w:rsid w:val="00671651"/>
    <w:rsid w:val="0067169C"/>
    <w:rsid w:val="006716AC"/>
    <w:rsid w:val="0067173C"/>
    <w:rsid w:val="0067178E"/>
    <w:rsid w:val="006717EE"/>
    <w:rsid w:val="006718A7"/>
    <w:rsid w:val="006718D9"/>
    <w:rsid w:val="006718FD"/>
    <w:rsid w:val="00671928"/>
    <w:rsid w:val="00671999"/>
    <w:rsid w:val="00671B23"/>
    <w:rsid w:val="00671B25"/>
    <w:rsid w:val="00671B28"/>
    <w:rsid w:val="00671BE5"/>
    <w:rsid w:val="00671C26"/>
    <w:rsid w:val="00671D0C"/>
    <w:rsid w:val="00671DA1"/>
    <w:rsid w:val="00671F11"/>
    <w:rsid w:val="00671F85"/>
    <w:rsid w:val="00672018"/>
    <w:rsid w:val="00672093"/>
    <w:rsid w:val="00672299"/>
    <w:rsid w:val="006722BF"/>
    <w:rsid w:val="00672372"/>
    <w:rsid w:val="0067237B"/>
    <w:rsid w:val="006723B9"/>
    <w:rsid w:val="00672410"/>
    <w:rsid w:val="0067257B"/>
    <w:rsid w:val="00672613"/>
    <w:rsid w:val="00672731"/>
    <w:rsid w:val="00672736"/>
    <w:rsid w:val="006728A3"/>
    <w:rsid w:val="006728C1"/>
    <w:rsid w:val="00672A2D"/>
    <w:rsid w:val="00672A3F"/>
    <w:rsid w:val="00672AB3"/>
    <w:rsid w:val="00672B0C"/>
    <w:rsid w:val="00672B17"/>
    <w:rsid w:val="00672B58"/>
    <w:rsid w:val="00672B5D"/>
    <w:rsid w:val="00672BC8"/>
    <w:rsid w:val="00672C86"/>
    <w:rsid w:val="00672C95"/>
    <w:rsid w:val="00672CC8"/>
    <w:rsid w:val="00672DCD"/>
    <w:rsid w:val="00672E25"/>
    <w:rsid w:val="00672E72"/>
    <w:rsid w:val="00672E96"/>
    <w:rsid w:val="00672EAF"/>
    <w:rsid w:val="00672EBC"/>
    <w:rsid w:val="00672F4B"/>
    <w:rsid w:val="00672F8A"/>
    <w:rsid w:val="00672F9E"/>
    <w:rsid w:val="00672FD6"/>
    <w:rsid w:val="00673045"/>
    <w:rsid w:val="00673047"/>
    <w:rsid w:val="006730DB"/>
    <w:rsid w:val="00673184"/>
    <w:rsid w:val="0067321F"/>
    <w:rsid w:val="006732A8"/>
    <w:rsid w:val="00673305"/>
    <w:rsid w:val="00673308"/>
    <w:rsid w:val="006733F9"/>
    <w:rsid w:val="00673471"/>
    <w:rsid w:val="006734CD"/>
    <w:rsid w:val="00673537"/>
    <w:rsid w:val="00673579"/>
    <w:rsid w:val="006735C1"/>
    <w:rsid w:val="006736E4"/>
    <w:rsid w:val="00673703"/>
    <w:rsid w:val="006737B7"/>
    <w:rsid w:val="0067380D"/>
    <w:rsid w:val="0067386B"/>
    <w:rsid w:val="006738B2"/>
    <w:rsid w:val="00673906"/>
    <w:rsid w:val="0067391B"/>
    <w:rsid w:val="006739FC"/>
    <w:rsid w:val="00673AE5"/>
    <w:rsid w:val="00673B7E"/>
    <w:rsid w:val="00673C5C"/>
    <w:rsid w:val="00673E21"/>
    <w:rsid w:val="00673F46"/>
    <w:rsid w:val="00673FA2"/>
    <w:rsid w:val="0067406D"/>
    <w:rsid w:val="0067408E"/>
    <w:rsid w:val="006741BF"/>
    <w:rsid w:val="00674371"/>
    <w:rsid w:val="006743F6"/>
    <w:rsid w:val="00674446"/>
    <w:rsid w:val="00674577"/>
    <w:rsid w:val="00674586"/>
    <w:rsid w:val="00674628"/>
    <w:rsid w:val="00674639"/>
    <w:rsid w:val="00674698"/>
    <w:rsid w:val="006746A2"/>
    <w:rsid w:val="006746B8"/>
    <w:rsid w:val="006746B9"/>
    <w:rsid w:val="00674707"/>
    <w:rsid w:val="006747EB"/>
    <w:rsid w:val="0067481A"/>
    <w:rsid w:val="0067481E"/>
    <w:rsid w:val="00674823"/>
    <w:rsid w:val="0067483B"/>
    <w:rsid w:val="006748A2"/>
    <w:rsid w:val="006748D4"/>
    <w:rsid w:val="0067497C"/>
    <w:rsid w:val="006749D8"/>
    <w:rsid w:val="00674A1C"/>
    <w:rsid w:val="00674A82"/>
    <w:rsid w:val="00674AAF"/>
    <w:rsid w:val="00674AF6"/>
    <w:rsid w:val="00674B12"/>
    <w:rsid w:val="00674B61"/>
    <w:rsid w:val="00674BDA"/>
    <w:rsid w:val="00674BF3"/>
    <w:rsid w:val="00674C07"/>
    <w:rsid w:val="00674C95"/>
    <w:rsid w:val="00674D5E"/>
    <w:rsid w:val="00674E2C"/>
    <w:rsid w:val="00674E5B"/>
    <w:rsid w:val="00675084"/>
    <w:rsid w:val="0067518B"/>
    <w:rsid w:val="006751EE"/>
    <w:rsid w:val="00675249"/>
    <w:rsid w:val="006752B3"/>
    <w:rsid w:val="0067531D"/>
    <w:rsid w:val="00675459"/>
    <w:rsid w:val="00675471"/>
    <w:rsid w:val="0067547C"/>
    <w:rsid w:val="006755CC"/>
    <w:rsid w:val="006757DA"/>
    <w:rsid w:val="006757DF"/>
    <w:rsid w:val="00675810"/>
    <w:rsid w:val="00675927"/>
    <w:rsid w:val="00675A08"/>
    <w:rsid w:val="00675BA6"/>
    <w:rsid w:val="00675BF6"/>
    <w:rsid w:val="00675C7C"/>
    <w:rsid w:val="00675CC0"/>
    <w:rsid w:val="00675D04"/>
    <w:rsid w:val="00675DBD"/>
    <w:rsid w:val="00675EB0"/>
    <w:rsid w:val="00675EF4"/>
    <w:rsid w:val="00675F34"/>
    <w:rsid w:val="00675FB9"/>
    <w:rsid w:val="0067604C"/>
    <w:rsid w:val="00676188"/>
    <w:rsid w:val="0067622C"/>
    <w:rsid w:val="00676277"/>
    <w:rsid w:val="006762E7"/>
    <w:rsid w:val="0067633B"/>
    <w:rsid w:val="0067646C"/>
    <w:rsid w:val="006764A9"/>
    <w:rsid w:val="006764E6"/>
    <w:rsid w:val="00676546"/>
    <w:rsid w:val="00676565"/>
    <w:rsid w:val="00676596"/>
    <w:rsid w:val="0067662A"/>
    <w:rsid w:val="0067664A"/>
    <w:rsid w:val="00676683"/>
    <w:rsid w:val="0067669F"/>
    <w:rsid w:val="00676763"/>
    <w:rsid w:val="006767AF"/>
    <w:rsid w:val="006767D1"/>
    <w:rsid w:val="006768A7"/>
    <w:rsid w:val="006768FC"/>
    <w:rsid w:val="0067696B"/>
    <w:rsid w:val="006769D1"/>
    <w:rsid w:val="00676A72"/>
    <w:rsid w:val="00676A75"/>
    <w:rsid w:val="00676A88"/>
    <w:rsid w:val="00676B39"/>
    <w:rsid w:val="00676C06"/>
    <w:rsid w:val="00676C70"/>
    <w:rsid w:val="00676CA0"/>
    <w:rsid w:val="00676DD5"/>
    <w:rsid w:val="00676E0F"/>
    <w:rsid w:val="00676ECE"/>
    <w:rsid w:val="00676F64"/>
    <w:rsid w:val="00677003"/>
    <w:rsid w:val="00677020"/>
    <w:rsid w:val="006770F1"/>
    <w:rsid w:val="00677125"/>
    <w:rsid w:val="0067714F"/>
    <w:rsid w:val="00677158"/>
    <w:rsid w:val="006771F1"/>
    <w:rsid w:val="00677204"/>
    <w:rsid w:val="0067724E"/>
    <w:rsid w:val="0067727F"/>
    <w:rsid w:val="006772AC"/>
    <w:rsid w:val="0067733F"/>
    <w:rsid w:val="0067754B"/>
    <w:rsid w:val="00677588"/>
    <w:rsid w:val="006776B0"/>
    <w:rsid w:val="00677749"/>
    <w:rsid w:val="006778B4"/>
    <w:rsid w:val="006779C9"/>
    <w:rsid w:val="006779D8"/>
    <w:rsid w:val="00677AC6"/>
    <w:rsid w:val="00677B52"/>
    <w:rsid w:val="00677BBC"/>
    <w:rsid w:val="00677BC6"/>
    <w:rsid w:val="00677BCF"/>
    <w:rsid w:val="00677D3E"/>
    <w:rsid w:val="00677D46"/>
    <w:rsid w:val="00677ED8"/>
    <w:rsid w:val="00677EEB"/>
    <w:rsid w:val="00677F56"/>
    <w:rsid w:val="00680005"/>
    <w:rsid w:val="0068005D"/>
    <w:rsid w:val="00680184"/>
    <w:rsid w:val="00680198"/>
    <w:rsid w:val="006801B3"/>
    <w:rsid w:val="006801D0"/>
    <w:rsid w:val="006801F4"/>
    <w:rsid w:val="00680234"/>
    <w:rsid w:val="00680239"/>
    <w:rsid w:val="0068025F"/>
    <w:rsid w:val="0068036F"/>
    <w:rsid w:val="006803BA"/>
    <w:rsid w:val="006803FE"/>
    <w:rsid w:val="0068042B"/>
    <w:rsid w:val="00680460"/>
    <w:rsid w:val="0068046B"/>
    <w:rsid w:val="0068046C"/>
    <w:rsid w:val="0068053D"/>
    <w:rsid w:val="006805BD"/>
    <w:rsid w:val="006805CC"/>
    <w:rsid w:val="006805EA"/>
    <w:rsid w:val="0068060B"/>
    <w:rsid w:val="006807B9"/>
    <w:rsid w:val="00680827"/>
    <w:rsid w:val="0068087C"/>
    <w:rsid w:val="006808EC"/>
    <w:rsid w:val="0068098A"/>
    <w:rsid w:val="006809B9"/>
    <w:rsid w:val="00680A96"/>
    <w:rsid w:val="00680A97"/>
    <w:rsid w:val="00680AF2"/>
    <w:rsid w:val="00680BC0"/>
    <w:rsid w:val="00680BC3"/>
    <w:rsid w:val="00680C4D"/>
    <w:rsid w:val="00680C71"/>
    <w:rsid w:val="00680D31"/>
    <w:rsid w:val="00680D3E"/>
    <w:rsid w:val="00680D8F"/>
    <w:rsid w:val="00680D90"/>
    <w:rsid w:val="00680DA0"/>
    <w:rsid w:val="00680DA7"/>
    <w:rsid w:val="00680DE6"/>
    <w:rsid w:val="00680E46"/>
    <w:rsid w:val="00680E60"/>
    <w:rsid w:val="00680E99"/>
    <w:rsid w:val="00680F10"/>
    <w:rsid w:val="00680FA6"/>
    <w:rsid w:val="00680FFE"/>
    <w:rsid w:val="00681026"/>
    <w:rsid w:val="006810C0"/>
    <w:rsid w:val="0068117B"/>
    <w:rsid w:val="00681199"/>
    <w:rsid w:val="006811C9"/>
    <w:rsid w:val="00681225"/>
    <w:rsid w:val="00681226"/>
    <w:rsid w:val="0068132B"/>
    <w:rsid w:val="006813E1"/>
    <w:rsid w:val="00681494"/>
    <w:rsid w:val="006814A3"/>
    <w:rsid w:val="006814DB"/>
    <w:rsid w:val="00681590"/>
    <w:rsid w:val="006815AB"/>
    <w:rsid w:val="0068166C"/>
    <w:rsid w:val="0068166F"/>
    <w:rsid w:val="006816BA"/>
    <w:rsid w:val="00681707"/>
    <w:rsid w:val="00681769"/>
    <w:rsid w:val="00681970"/>
    <w:rsid w:val="006819F0"/>
    <w:rsid w:val="00681A22"/>
    <w:rsid w:val="00681A8F"/>
    <w:rsid w:val="00681B2A"/>
    <w:rsid w:val="00681B36"/>
    <w:rsid w:val="00681B49"/>
    <w:rsid w:val="00681BB9"/>
    <w:rsid w:val="00681C3B"/>
    <w:rsid w:val="00681CAC"/>
    <w:rsid w:val="00681DD6"/>
    <w:rsid w:val="00681E1B"/>
    <w:rsid w:val="00681E8A"/>
    <w:rsid w:val="00681F0B"/>
    <w:rsid w:val="00681F6F"/>
    <w:rsid w:val="00681FBE"/>
    <w:rsid w:val="006820C3"/>
    <w:rsid w:val="006820CD"/>
    <w:rsid w:val="006820FC"/>
    <w:rsid w:val="0068219C"/>
    <w:rsid w:val="006821E4"/>
    <w:rsid w:val="006821FD"/>
    <w:rsid w:val="00682249"/>
    <w:rsid w:val="00682430"/>
    <w:rsid w:val="006824DC"/>
    <w:rsid w:val="0068250E"/>
    <w:rsid w:val="0068252F"/>
    <w:rsid w:val="00682580"/>
    <w:rsid w:val="00682644"/>
    <w:rsid w:val="00682666"/>
    <w:rsid w:val="00682795"/>
    <w:rsid w:val="006827A5"/>
    <w:rsid w:val="006827A9"/>
    <w:rsid w:val="00682800"/>
    <w:rsid w:val="0068288E"/>
    <w:rsid w:val="00682906"/>
    <w:rsid w:val="00682993"/>
    <w:rsid w:val="00682A9D"/>
    <w:rsid w:val="00682AD6"/>
    <w:rsid w:val="00682BA7"/>
    <w:rsid w:val="00682BCA"/>
    <w:rsid w:val="00682E3C"/>
    <w:rsid w:val="00682E42"/>
    <w:rsid w:val="00682FCB"/>
    <w:rsid w:val="006830A3"/>
    <w:rsid w:val="00683382"/>
    <w:rsid w:val="006833B1"/>
    <w:rsid w:val="00683609"/>
    <w:rsid w:val="00683620"/>
    <w:rsid w:val="0068362A"/>
    <w:rsid w:val="006836CF"/>
    <w:rsid w:val="00683849"/>
    <w:rsid w:val="00683854"/>
    <w:rsid w:val="00683893"/>
    <w:rsid w:val="00683A92"/>
    <w:rsid w:val="00683B0D"/>
    <w:rsid w:val="00683C93"/>
    <w:rsid w:val="00683D16"/>
    <w:rsid w:val="00683DC2"/>
    <w:rsid w:val="00683FC8"/>
    <w:rsid w:val="00683FF7"/>
    <w:rsid w:val="006840D5"/>
    <w:rsid w:val="0068412E"/>
    <w:rsid w:val="00684155"/>
    <w:rsid w:val="0068423E"/>
    <w:rsid w:val="006842E9"/>
    <w:rsid w:val="006842F2"/>
    <w:rsid w:val="00684469"/>
    <w:rsid w:val="006845C4"/>
    <w:rsid w:val="00684639"/>
    <w:rsid w:val="006846E7"/>
    <w:rsid w:val="0068484D"/>
    <w:rsid w:val="0068486D"/>
    <w:rsid w:val="0068491A"/>
    <w:rsid w:val="006849F9"/>
    <w:rsid w:val="00684A01"/>
    <w:rsid w:val="00684A35"/>
    <w:rsid w:val="00684AD3"/>
    <w:rsid w:val="00684B12"/>
    <w:rsid w:val="00684B14"/>
    <w:rsid w:val="00684CEC"/>
    <w:rsid w:val="00684CF5"/>
    <w:rsid w:val="00684DD0"/>
    <w:rsid w:val="00684E45"/>
    <w:rsid w:val="00684EA4"/>
    <w:rsid w:val="00684FCB"/>
    <w:rsid w:val="0068505C"/>
    <w:rsid w:val="0068516D"/>
    <w:rsid w:val="00685203"/>
    <w:rsid w:val="00685261"/>
    <w:rsid w:val="0068532C"/>
    <w:rsid w:val="0068537F"/>
    <w:rsid w:val="00685441"/>
    <w:rsid w:val="0068550D"/>
    <w:rsid w:val="00685539"/>
    <w:rsid w:val="00685568"/>
    <w:rsid w:val="00685622"/>
    <w:rsid w:val="006856BA"/>
    <w:rsid w:val="006856CA"/>
    <w:rsid w:val="00685764"/>
    <w:rsid w:val="006857EC"/>
    <w:rsid w:val="0068580C"/>
    <w:rsid w:val="00685881"/>
    <w:rsid w:val="00685963"/>
    <w:rsid w:val="0068597F"/>
    <w:rsid w:val="006859A6"/>
    <w:rsid w:val="00685A3D"/>
    <w:rsid w:val="00685AA6"/>
    <w:rsid w:val="00685B0A"/>
    <w:rsid w:val="00685B51"/>
    <w:rsid w:val="00685C19"/>
    <w:rsid w:val="00685C4F"/>
    <w:rsid w:val="00685C69"/>
    <w:rsid w:val="00685C97"/>
    <w:rsid w:val="00685CA6"/>
    <w:rsid w:val="00685CF7"/>
    <w:rsid w:val="00685D1E"/>
    <w:rsid w:val="00685D4E"/>
    <w:rsid w:val="00685D56"/>
    <w:rsid w:val="00685DCF"/>
    <w:rsid w:val="00685DF3"/>
    <w:rsid w:val="00685E46"/>
    <w:rsid w:val="00685E68"/>
    <w:rsid w:val="00685E75"/>
    <w:rsid w:val="00685E96"/>
    <w:rsid w:val="00685EA7"/>
    <w:rsid w:val="00685FE8"/>
    <w:rsid w:val="0068600D"/>
    <w:rsid w:val="00686055"/>
    <w:rsid w:val="006860C8"/>
    <w:rsid w:val="00686165"/>
    <w:rsid w:val="006861E5"/>
    <w:rsid w:val="0068631F"/>
    <w:rsid w:val="0068632E"/>
    <w:rsid w:val="006863CC"/>
    <w:rsid w:val="00686407"/>
    <w:rsid w:val="00686485"/>
    <w:rsid w:val="006864C6"/>
    <w:rsid w:val="0068653A"/>
    <w:rsid w:val="00686579"/>
    <w:rsid w:val="00686582"/>
    <w:rsid w:val="0068659E"/>
    <w:rsid w:val="006865EE"/>
    <w:rsid w:val="0068668F"/>
    <w:rsid w:val="006866B3"/>
    <w:rsid w:val="00686729"/>
    <w:rsid w:val="00686748"/>
    <w:rsid w:val="00686795"/>
    <w:rsid w:val="006867C1"/>
    <w:rsid w:val="00686849"/>
    <w:rsid w:val="00686936"/>
    <w:rsid w:val="00686A0C"/>
    <w:rsid w:val="00686A77"/>
    <w:rsid w:val="00686AB8"/>
    <w:rsid w:val="00686C06"/>
    <w:rsid w:val="00686C55"/>
    <w:rsid w:val="00686C5D"/>
    <w:rsid w:val="00686DC8"/>
    <w:rsid w:val="00686E3B"/>
    <w:rsid w:val="006870E9"/>
    <w:rsid w:val="00687255"/>
    <w:rsid w:val="0068740C"/>
    <w:rsid w:val="00687448"/>
    <w:rsid w:val="00687468"/>
    <w:rsid w:val="006874CD"/>
    <w:rsid w:val="00687563"/>
    <w:rsid w:val="00687574"/>
    <w:rsid w:val="0068757E"/>
    <w:rsid w:val="00687580"/>
    <w:rsid w:val="006875BC"/>
    <w:rsid w:val="006876BD"/>
    <w:rsid w:val="0068776E"/>
    <w:rsid w:val="006877BB"/>
    <w:rsid w:val="0068780D"/>
    <w:rsid w:val="0068782A"/>
    <w:rsid w:val="00687836"/>
    <w:rsid w:val="0068787A"/>
    <w:rsid w:val="006878A7"/>
    <w:rsid w:val="006879AA"/>
    <w:rsid w:val="006879AD"/>
    <w:rsid w:val="006879B8"/>
    <w:rsid w:val="00687A51"/>
    <w:rsid w:val="00687B28"/>
    <w:rsid w:val="00687C69"/>
    <w:rsid w:val="00687C88"/>
    <w:rsid w:val="00687CD1"/>
    <w:rsid w:val="00687D3A"/>
    <w:rsid w:val="00687D4D"/>
    <w:rsid w:val="00687D79"/>
    <w:rsid w:val="00687DA2"/>
    <w:rsid w:val="00687E0B"/>
    <w:rsid w:val="00687E36"/>
    <w:rsid w:val="00687E37"/>
    <w:rsid w:val="00687E46"/>
    <w:rsid w:val="00687E4E"/>
    <w:rsid w:val="00687E6B"/>
    <w:rsid w:val="00687E82"/>
    <w:rsid w:val="00687E9A"/>
    <w:rsid w:val="00687EBA"/>
    <w:rsid w:val="00687FFE"/>
    <w:rsid w:val="00690047"/>
    <w:rsid w:val="00690067"/>
    <w:rsid w:val="00690068"/>
    <w:rsid w:val="00690113"/>
    <w:rsid w:val="0069014A"/>
    <w:rsid w:val="00690178"/>
    <w:rsid w:val="006901EA"/>
    <w:rsid w:val="00690310"/>
    <w:rsid w:val="006903A8"/>
    <w:rsid w:val="00690408"/>
    <w:rsid w:val="00690479"/>
    <w:rsid w:val="00690511"/>
    <w:rsid w:val="0069052F"/>
    <w:rsid w:val="006905C0"/>
    <w:rsid w:val="0069068D"/>
    <w:rsid w:val="006906D7"/>
    <w:rsid w:val="00690762"/>
    <w:rsid w:val="0069076E"/>
    <w:rsid w:val="00690780"/>
    <w:rsid w:val="00690918"/>
    <w:rsid w:val="00690A36"/>
    <w:rsid w:val="00690B2F"/>
    <w:rsid w:val="00690B32"/>
    <w:rsid w:val="00690B57"/>
    <w:rsid w:val="00690C09"/>
    <w:rsid w:val="00690C22"/>
    <w:rsid w:val="00690C7B"/>
    <w:rsid w:val="00690CCD"/>
    <w:rsid w:val="00690CFA"/>
    <w:rsid w:val="00690E5F"/>
    <w:rsid w:val="00690F00"/>
    <w:rsid w:val="006910E2"/>
    <w:rsid w:val="006910EE"/>
    <w:rsid w:val="00691153"/>
    <w:rsid w:val="0069117B"/>
    <w:rsid w:val="00691277"/>
    <w:rsid w:val="006912EA"/>
    <w:rsid w:val="00691468"/>
    <w:rsid w:val="00691469"/>
    <w:rsid w:val="006914E1"/>
    <w:rsid w:val="006915D6"/>
    <w:rsid w:val="00691687"/>
    <w:rsid w:val="006916AA"/>
    <w:rsid w:val="0069179E"/>
    <w:rsid w:val="006917E3"/>
    <w:rsid w:val="00691982"/>
    <w:rsid w:val="006919AF"/>
    <w:rsid w:val="006919C5"/>
    <w:rsid w:val="00691A11"/>
    <w:rsid w:val="00691B5B"/>
    <w:rsid w:val="00691B83"/>
    <w:rsid w:val="00691BB0"/>
    <w:rsid w:val="00691C26"/>
    <w:rsid w:val="00691C2C"/>
    <w:rsid w:val="00691C44"/>
    <w:rsid w:val="00691C45"/>
    <w:rsid w:val="00691CB5"/>
    <w:rsid w:val="00691D67"/>
    <w:rsid w:val="00691DBE"/>
    <w:rsid w:val="00691E07"/>
    <w:rsid w:val="00691E4D"/>
    <w:rsid w:val="00691FF2"/>
    <w:rsid w:val="00692022"/>
    <w:rsid w:val="006920B7"/>
    <w:rsid w:val="0069210A"/>
    <w:rsid w:val="00692155"/>
    <w:rsid w:val="006921D7"/>
    <w:rsid w:val="006921DD"/>
    <w:rsid w:val="0069221B"/>
    <w:rsid w:val="00692223"/>
    <w:rsid w:val="0069228C"/>
    <w:rsid w:val="006922CF"/>
    <w:rsid w:val="00692304"/>
    <w:rsid w:val="00692350"/>
    <w:rsid w:val="006923AC"/>
    <w:rsid w:val="006923DB"/>
    <w:rsid w:val="006923DF"/>
    <w:rsid w:val="0069245B"/>
    <w:rsid w:val="006924BD"/>
    <w:rsid w:val="006924D0"/>
    <w:rsid w:val="0069259E"/>
    <w:rsid w:val="006925C8"/>
    <w:rsid w:val="0069265B"/>
    <w:rsid w:val="006926B2"/>
    <w:rsid w:val="006926E7"/>
    <w:rsid w:val="006927EE"/>
    <w:rsid w:val="00692A15"/>
    <w:rsid w:val="00692A31"/>
    <w:rsid w:val="00692A47"/>
    <w:rsid w:val="00692A92"/>
    <w:rsid w:val="00692AD1"/>
    <w:rsid w:val="00692B57"/>
    <w:rsid w:val="00692B92"/>
    <w:rsid w:val="00692B94"/>
    <w:rsid w:val="00692BD4"/>
    <w:rsid w:val="00692C38"/>
    <w:rsid w:val="00692C47"/>
    <w:rsid w:val="00692C98"/>
    <w:rsid w:val="00692D0D"/>
    <w:rsid w:val="00692D40"/>
    <w:rsid w:val="00692D63"/>
    <w:rsid w:val="00692DC1"/>
    <w:rsid w:val="00692E41"/>
    <w:rsid w:val="00692E7E"/>
    <w:rsid w:val="00692EAD"/>
    <w:rsid w:val="00692F1B"/>
    <w:rsid w:val="00693000"/>
    <w:rsid w:val="006930E9"/>
    <w:rsid w:val="00693203"/>
    <w:rsid w:val="0069320D"/>
    <w:rsid w:val="0069326B"/>
    <w:rsid w:val="00693299"/>
    <w:rsid w:val="00693411"/>
    <w:rsid w:val="006934F5"/>
    <w:rsid w:val="0069354F"/>
    <w:rsid w:val="00693570"/>
    <w:rsid w:val="006935A7"/>
    <w:rsid w:val="0069361C"/>
    <w:rsid w:val="0069374E"/>
    <w:rsid w:val="006937F8"/>
    <w:rsid w:val="00693911"/>
    <w:rsid w:val="00693A68"/>
    <w:rsid w:val="00693AAB"/>
    <w:rsid w:val="00693BBC"/>
    <w:rsid w:val="00693BDD"/>
    <w:rsid w:val="00693C26"/>
    <w:rsid w:val="00693D05"/>
    <w:rsid w:val="00693DD9"/>
    <w:rsid w:val="00693E87"/>
    <w:rsid w:val="00693F61"/>
    <w:rsid w:val="00693FA8"/>
    <w:rsid w:val="00693FF9"/>
    <w:rsid w:val="00694020"/>
    <w:rsid w:val="006940DE"/>
    <w:rsid w:val="006940E8"/>
    <w:rsid w:val="006942C2"/>
    <w:rsid w:val="006942F2"/>
    <w:rsid w:val="006942FF"/>
    <w:rsid w:val="00694412"/>
    <w:rsid w:val="0069441B"/>
    <w:rsid w:val="00694437"/>
    <w:rsid w:val="006944C5"/>
    <w:rsid w:val="0069450B"/>
    <w:rsid w:val="00694586"/>
    <w:rsid w:val="006945AA"/>
    <w:rsid w:val="006945EA"/>
    <w:rsid w:val="0069462E"/>
    <w:rsid w:val="0069465C"/>
    <w:rsid w:val="00694742"/>
    <w:rsid w:val="00694746"/>
    <w:rsid w:val="006947F4"/>
    <w:rsid w:val="0069485D"/>
    <w:rsid w:val="00694941"/>
    <w:rsid w:val="0069494D"/>
    <w:rsid w:val="00694969"/>
    <w:rsid w:val="00694A2B"/>
    <w:rsid w:val="00694A9B"/>
    <w:rsid w:val="00694AED"/>
    <w:rsid w:val="00694B5A"/>
    <w:rsid w:val="00694B88"/>
    <w:rsid w:val="00694C36"/>
    <w:rsid w:val="00694E64"/>
    <w:rsid w:val="00694E9A"/>
    <w:rsid w:val="00694F23"/>
    <w:rsid w:val="00694F85"/>
    <w:rsid w:val="00694FA5"/>
    <w:rsid w:val="00694FCB"/>
    <w:rsid w:val="00695016"/>
    <w:rsid w:val="006950B7"/>
    <w:rsid w:val="00695146"/>
    <w:rsid w:val="0069536B"/>
    <w:rsid w:val="00695406"/>
    <w:rsid w:val="0069553B"/>
    <w:rsid w:val="00695567"/>
    <w:rsid w:val="006955E6"/>
    <w:rsid w:val="00695611"/>
    <w:rsid w:val="006956FA"/>
    <w:rsid w:val="006957B1"/>
    <w:rsid w:val="006957B5"/>
    <w:rsid w:val="006957DE"/>
    <w:rsid w:val="00695949"/>
    <w:rsid w:val="0069598F"/>
    <w:rsid w:val="006959A8"/>
    <w:rsid w:val="00695A50"/>
    <w:rsid w:val="00695B05"/>
    <w:rsid w:val="00695B19"/>
    <w:rsid w:val="00695B86"/>
    <w:rsid w:val="00695D4C"/>
    <w:rsid w:val="00695D65"/>
    <w:rsid w:val="00695D7B"/>
    <w:rsid w:val="00695D88"/>
    <w:rsid w:val="00695E40"/>
    <w:rsid w:val="00695E56"/>
    <w:rsid w:val="00695EF3"/>
    <w:rsid w:val="00695F63"/>
    <w:rsid w:val="00695F65"/>
    <w:rsid w:val="00695F82"/>
    <w:rsid w:val="00695FB9"/>
    <w:rsid w:val="00696030"/>
    <w:rsid w:val="00696163"/>
    <w:rsid w:val="006961FB"/>
    <w:rsid w:val="0069624F"/>
    <w:rsid w:val="0069625D"/>
    <w:rsid w:val="006963D5"/>
    <w:rsid w:val="0069645A"/>
    <w:rsid w:val="00696496"/>
    <w:rsid w:val="006964C1"/>
    <w:rsid w:val="006965BC"/>
    <w:rsid w:val="006965C2"/>
    <w:rsid w:val="006965D0"/>
    <w:rsid w:val="006966AD"/>
    <w:rsid w:val="006966FC"/>
    <w:rsid w:val="0069677F"/>
    <w:rsid w:val="006968E5"/>
    <w:rsid w:val="00696931"/>
    <w:rsid w:val="006969D1"/>
    <w:rsid w:val="00696BA6"/>
    <w:rsid w:val="00696BE8"/>
    <w:rsid w:val="00696CC2"/>
    <w:rsid w:val="00696D4B"/>
    <w:rsid w:val="00696DD8"/>
    <w:rsid w:val="00696FA9"/>
    <w:rsid w:val="00696FFA"/>
    <w:rsid w:val="00697037"/>
    <w:rsid w:val="0069703C"/>
    <w:rsid w:val="00697146"/>
    <w:rsid w:val="0069714C"/>
    <w:rsid w:val="006971AE"/>
    <w:rsid w:val="006971F8"/>
    <w:rsid w:val="00697262"/>
    <w:rsid w:val="006972BE"/>
    <w:rsid w:val="0069732B"/>
    <w:rsid w:val="0069739C"/>
    <w:rsid w:val="006973D5"/>
    <w:rsid w:val="006973E1"/>
    <w:rsid w:val="00697474"/>
    <w:rsid w:val="0069748B"/>
    <w:rsid w:val="0069748D"/>
    <w:rsid w:val="00697494"/>
    <w:rsid w:val="006974CE"/>
    <w:rsid w:val="00697535"/>
    <w:rsid w:val="00697560"/>
    <w:rsid w:val="00697574"/>
    <w:rsid w:val="00697587"/>
    <w:rsid w:val="006975D2"/>
    <w:rsid w:val="006975F8"/>
    <w:rsid w:val="00697622"/>
    <w:rsid w:val="0069765F"/>
    <w:rsid w:val="006976B1"/>
    <w:rsid w:val="006976E0"/>
    <w:rsid w:val="00697741"/>
    <w:rsid w:val="00697775"/>
    <w:rsid w:val="006977D4"/>
    <w:rsid w:val="006977FB"/>
    <w:rsid w:val="0069784A"/>
    <w:rsid w:val="0069791D"/>
    <w:rsid w:val="00697930"/>
    <w:rsid w:val="00697934"/>
    <w:rsid w:val="00697A99"/>
    <w:rsid w:val="00697AFF"/>
    <w:rsid w:val="00697B5E"/>
    <w:rsid w:val="00697BDF"/>
    <w:rsid w:val="00697C06"/>
    <w:rsid w:val="00697C25"/>
    <w:rsid w:val="00697C44"/>
    <w:rsid w:val="00697C99"/>
    <w:rsid w:val="00697D52"/>
    <w:rsid w:val="00697D6D"/>
    <w:rsid w:val="00697DCE"/>
    <w:rsid w:val="00697E9F"/>
    <w:rsid w:val="00697F66"/>
    <w:rsid w:val="00697FC8"/>
    <w:rsid w:val="006A0025"/>
    <w:rsid w:val="006A0054"/>
    <w:rsid w:val="006A00C6"/>
    <w:rsid w:val="006A017D"/>
    <w:rsid w:val="006A01BA"/>
    <w:rsid w:val="006A01C3"/>
    <w:rsid w:val="006A020C"/>
    <w:rsid w:val="006A0210"/>
    <w:rsid w:val="006A0285"/>
    <w:rsid w:val="006A0299"/>
    <w:rsid w:val="006A02C3"/>
    <w:rsid w:val="006A0363"/>
    <w:rsid w:val="006A03C8"/>
    <w:rsid w:val="006A03E7"/>
    <w:rsid w:val="006A041B"/>
    <w:rsid w:val="006A0460"/>
    <w:rsid w:val="006A0543"/>
    <w:rsid w:val="006A058B"/>
    <w:rsid w:val="006A05AA"/>
    <w:rsid w:val="006A05BF"/>
    <w:rsid w:val="006A0632"/>
    <w:rsid w:val="006A0633"/>
    <w:rsid w:val="006A0636"/>
    <w:rsid w:val="006A08C4"/>
    <w:rsid w:val="006A0942"/>
    <w:rsid w:val="006A0969"/>
    <w:rsid w:val="006A0A0B"/>
    <w:rsid w:val="006A0AB6"/>
    <w:rsid w:val="006A0ACE"/>
    <w:rsid w:val="006A0B13"/>
    <w:rsid w:val="006A0BAE"/>
    <w:rsid w:val="006A0BBF"/>
    <w:rsid w:val="006A0BC1"/>
    <w:rsid w:val="006A0C34"/>
    <w:rsid w:val="006A0CF7"/>
    <w:rsid w:val="006A0DAD"/>
    <w:rsid w:val="006A0E37"/>
    <w:rsid w:val="006A0E40"/>
    <w:rsid w:val="006A0E52"/>
    <w:rsid w:val="006A1032"/>
    <w:rsid w:val="006A1064"/>
    <w:rsid w:val="006A1065"/>
    <w:rsid w:val="006A10B2"/>
    <w:rsid w:val="006A1104"/>
    <w:rsid w:val="006A1165"/>
    <w:rsid w:val="006A1244"/>
    <w:rsid w:val="006A1293"/>
    <w:rsid w:val="006A12A1"/>
    <w:rsid w:val="006A137B"/>
    <w:rsid w:val="006A13A3"/>
    <w:rsid w:val="006A13E4"/>
    <w:rsid w:val="006A1480"/>
    <w:rsid w:val="006A148F"/>
    <w:rsid w:val="006A14C5"/>
    <w:rsid w:val="006A1583"/>
    <w:rsid w:val="006A15AD"/>
    <w:rsid w:val="006A160E"/>
    <w:rsid w:val="006A1622"/>
    <w:rsid w:val="006A165A"/>
    <w:rsid w:val="006A167A"/>
    <w:rsid w:val="006A16E4"/>
    <w:rsid w:val="006A173D"/>
    <w:rsid w:val="006A1798"/>
    <w:rsid w:val="006A17DE"/>
    <w:rsid w:val="006A1942"/>
    <w:rsid w:val="006A1AF6"/>
    <w:rsid w:val="006A1B4E"/>
    <w:rsid w:val="006A1BE6"/>
    <w:rsid w:val="006A1C85"/>
    <w:rsid w:val="006A1CBC"/>
    <w:rsid w:val="006A1CEA"/>
    <w:rsid w:val="006A1E25"/>
    <w:rsid w:val="006A1E47"/>
    <w:rsid w:val="006A1EB0"/>
    <w:rsid w:val="006A1FA5"/>
    <w:rsid w:val="006A1FB0"/>
    <w:rsid w:val="006A1FB3"/>
    <w:rsid w:val="006A2037"/>
    <w:rsid w:val="006A208F"/>
    <w:rsid w:val="006A21D4"/>
    <w:rsid w:val="006A21DF"/>
    <w:rsid w:val="006A2208"/>
    <w:rsid w:val="006A222D"/>
    <w:rsid w:val="006A2241"/>
    <w:rsid w:val="006A2245"/>
    <w:rsid w:val="006A2303"/>
    <w:rsid w:val="006A2341"/>
    <w:rsid w:val="006A23B9"/>
    <w:rsid w:val="006A2498"/>
    <w:rsid w:val="006A2556"/>
    <w:rsid w:val="006A25AC"/>
    <w:rsid w:val="006A2605"/>
    <w:rsid w:val="006A2678"/>
    <w:rsid w:val="006A26EE"/>
    <w:rsid w:val="006A273F"/>
    <w:rsid w:val="006A28AC"/>
    <w:rsid w:val="006A28E0"/>
    <w:rsid w:val="006A2964"/>
    <w:rsid w:val="006A2994"/>
    <w:rsid w:val="006A2A32"/>
    <w:rsid w:val="006A2AF8"/>
    <w:rsid w:val="006A2B9D"/>
    <w:rsid w:val="006A2BDD"/>
    <w:rsid w:val="006A2BE1"/>
    <w:rsid w:val="006A2C5A"/>
    <w:rsid w:val="006A2CA6"/>
    <w:rsid w:val="006A2CA7"/>
    <w:rsid w:val="006A2CEF"/>
    <w:rsid w:val="006A2D60"/>
    <w:rsid w:val="006A2DA7"/>
    <w:rsid w:val="006A2E83"/>
    <w:rsid w:val="006A2E88"/>
    <w:rsid w:val="006A2EB5"/>
    <w:rsid w:val="006A2EC3"/>
    <w:rsid w:val="006A2ED9"/>
    <w:rsid w:val="006A2EE0"/>
    <w:rsid w:val="006A2EF8"/>
    <w:rsid w:val="006A2F64"/>
    <w:rsid w:val="006A304B"/>
    <w:rsid w:val="006A3076"/>
    <w:rsid w:val="006A30B8"/>
    <w:rsid w:val="006A30F2"/>
    <w:rsid w:val="006A3148"/>
    <w:rsid w:val="006A31C0"/>
    <w:rsid w:val="006A327E"/>
    <w:rsid w:val="006A32D7"/>
    <w:rsid w:val="006A3464"/>
    <w:rsid w:val="006A34C9"/>
    <w:rsid w:val="006A34EF"/>
    <w:rsid w:val="006A3500"/>
    <w:rsid w:val="006A3529"/>
    <w:rsid w:val="006A3545"/>
    <w:rsid w:val="006A355C"/>
    <w:rsid w:val="006A3572"/>
    <w:rsid w:val="006A3750"/>
    <w:rsid w:val="006A375A"/>
    <w:rsid w:val="006A37BA"/>
    <w:rsid w:val="006A37F5"/>
    <w:rsid w:val="006A382C"/>
    <w:rsid w:val="006A386E"/>
    <w:rsid w:val="006A3940"/>
    <w:rsid w:val="006A39B6"/>
    <w:rsid w:val="006A39FD"/>
    <w:rsid w:val="006A3AC0"/>
    <w:rsid w:val="006A3C9D"/>
    <w:rsid w:val="006A3CA4"/>
    <w:rsid w:val="006A3CF9"/>
    <w:rsid w:val="006A3D14"/>
    <w:rsid w:val="006A3D65"/>
    <w:rsid w:val="006A3DE7"/>
    <w:rsid w:val="006A3DEC"/>
    <w:rsid w:val="006A3E16"/>
    <w:rsid w:val="006A3E75"/>
    <w:rsid w:val="006A3E8F"/>
    <w:rsid w:val="006A3F5D"/>
    <w:rsid w:val="006A4046"/>
    <w:rsid w:val="006A4116"/>
    <w:rsid w:val="006A4145"/>
    <w:rsid w:val="006A418C"/>
    <w:rsid w:val="006A41B0"/>
    <w:rsid w:val="006A420E"/>
    <w:rsid w:val="006A42C8"/>
    <w:rsid w:val="006A42E2"/>
    <w:rsid w:val="006A4344"/>
    <w:rsid w:val="006A442E"/>
    <w:rsid w:val="006A4456"/>
    <w:rsid w:val="006A45C6"/>
    <w:rsid w:val="006A4699"/>
    <w:rsid w:val="006A469E"/>
    <w:rsid w:val="006A46B0"/>
    <w:rsid w:val="006A46C1"/>
    <w:rsid w:val="006A46D3"/>
    <w:rsid w:val="006A46D7"/>
    <w:rsid w:val="006A4701"/>
    <w:rsid w:val="006A476A"/>
    <w:rsid w:val="006A47C9"/>
    <w:rsid w:val="006A47CD"/>
    <w:rsid w:val="006A47E8"/>
    <w:rsid w:val="006A4898"/>
    <w:rsid w:val="006A492D"/>
    <w:rsid w:val="006A4933"/>
    <w:rsid w:val="006A4951"/>
    <w:rsid w:val="006A4952"/>
    <w:rsid w:val="006A4995"/>
    <w:rsid w:val="006A4A05"/>
    <w:rsid w:val="006A4A20"/>
    <w:rsid w:val="006A4AB7"/>
    <w:rsid w:val="006A4B61"/>
    <w:rsid w:val="006A4C8B"/>
    <w:rsid w:val="006A4CB9"/>
    <w:rsid w:val="006A4DAB"/>
    <w:rsid w:val="006A4E5B"/>
    <w:rsid w:val="006A4F6C"/>
    <w:rsid w:val="006A4F7E"/>
    <w:rsid w:val="006A4FC7"/>
    <w:rsid w:val="006A50F1"/>
    <w:rsid w:val="006A5128"/>
    <w:rsid w:val="006A514B"/>
    <w:rsid w:val="006A520A"/>
    <w:rsid w:val="006A5232"/>
    <w:rsid w:val="006A525A"/>
    <w:rsid w:val="006A5328"/>
    <w:rsid w:val="006A532D"/>
    <w:rsid w:val="006A539C"/>
    <w:rsid w:val="006A5419"/>
    <w:rsid w:val="006A54CC"/>
    <w:rsid w:val="006A54DF"/>
    <w:rsid w:val="006A54F0"/>
    <w:rsid w:val="006A55EC"/>
    <w:rsid w:val="006A5631"/>
    <w:rsid w:val="006A564D"/>
    <w:rsid w:val="006A564F"/>
    <w:rsid w:val="006A566E"/>
    <w:rsid w:val="006A56B7"/>
    <w:rsid w:val="006A56CB"/>
    <w:rsid w:val="006A5725"/>
    <w:rsid w:val="006A57B4"/>
    <w:rsid w:val="006A585B"/>
    <w:rsid w:val="006A58C7"/>
    <w:rsid w:val="006A58F2"/>
    <w:rsid w:val="006A58F3"/>
    <w:rsid w:val="006A5B5D"/>
    <w:rsid w:val="006A5B98"/>
    <w:rsid w:val="006A5C6E"/>
    <w:rsid w:val="006A5C92"/>
    <w:rsid w:val="006A5DA9"/>
    <w:rsid w:val="006A5E53"/>
    <w:rsid w:val="006A5E97"/>
    <w:rsid w:val="006A60F8"/>
    <w:rsid w:val="006A6162"/>
    <w:rsid w:val="006A6190"/>
    <w:rsid w:val="006A61B3"/>
    <w:rsid w:val="006A61E1"/>
    <w:rsid w:val="006A6248"/>
    <w:rsid w:val="006A6284"/>
    <w:rsid w:val="006A634B"/>
    <w:rsid w:val="006A6416"/>
    <w:rsid w:val="006A6445"/>
    <w:rsid w:val="006A6465"/>
    <w:rsid w:val="006A6496"/>
    <w:rsid w:val="006A6537"/>
    <w:rsid w:val="006A656D"/>
    <w:rsid w:val="006A6586"/>
    <w:rsid w:val="006A659F"/>
    <w:rsid w:val="006A65AC"/>
    <w:rsid w:val="006A6804"/>
    <w:rsid w:val="006A683A"/>
    <w:rsid w:val="006A6865"/>
    <w:rsid w:val="006A6985"/>
    <w:rsid w:val="006A6A52"/>
    <w:rsid w:val="006A6AC0"/>
    <w:rsid w:val="006A6AF4"/>
    <w:rsid w:val="006A6AFF"/>
    <w:rsid w:val="006A6B98"/>
    <w:rsid w:val="006A6BB0"/>
    <w:rsid w:val="006A6BEF"/>
    <w:rsid w:val="006A6CD0"/>
    <w:rsid w:val="006A6E50"/>
    <w:rsid w:val="006A6E78"/>
    <w:rsid w:val="006A6F33"/>
    <w:rsid w:val="006A6F59"/>
    <w:rsid w:val="006A708B"/>
    <w:rsid w:val="006A70AE"/>
    <w:rsid w:val="006A71F9"/>
    <w:rsid w:val="006A72C2"/>
    <w:rsid w:val="006A730F"/>
    <w:rsid w:val="006A73A6"/>
    <w:rsid w:val="006A740B"/>
    <w:rsid w:val="006A74A4"/>
    <w:rsid w:val="006A7513"/>
    <w:rsid w:val="006A7611"/>
    <w:rsid w:val="006A76DF"/>
    <w:rsid w:val="006A76F6"/>
    <w:rsid w:val="006A77AB"/>
    <w:rsid w:val="006A77C5"/>
    <w:rsid w:val="006A7978"/>
    <w:rsid w:val="006A7983"/>
    <w:rsid w:val="006A79A3"/>
    <w:rsid w:val="006A79ED"/>
    <w:rsid w:val="006A7A11"/>
    <w:rsid w:val="006A7AF9"/>
    <w:rsid w:val="006A7B7E"/>
    <w:rsid w:val="006A7C2C"/>
    <w:rsid w:val="006A7CD8"/>
    <w:rsid w:val="006A7D31"/>
    <w:rsid w:val="006A7D86"/>
    <w:rsid w:val="006A7D91"/>
    <w:rsid w:val="006A7E51"/>
    <w:rsid w:val="006A7F8A"/>
    <w:rsid w:val="006A7FC3"/>
    <w:rsid w:val="006B00FB"/>
    <w:rsid w:val="006B015A"/>
    <w:rsid w:val="006B019A"/>
    <w:rsid w:val="006B0295"/>
    <w:rsid w:val="006B03D4"/>
    <w:rsid w:val="006B041B"/>
    <w:rsid w:val="006B0515"/>
    <w:rsid w:val="006B0544"/>
    <w:rsid w:val="006B0545"/>
    <w:rsid w:val="006B0560"/>
    <w:rsid w:val="006B05C2"/>
    <w:rsid w:val="006B0681"/>
    <w:rsid w:val="006B06DA"/>
    <w:rsid w:val="006B0756"/>
    <w:rsid w:val="006B0764"/>
    <w:rsid w:val="006B0790"/>
    <w:rsid w:val="006B07CE"/>
    <w:rsid w:val="006B0857"/>
    <w:rsid w:val="006B0898"/>
    <w:rsid w:val="006B08FC"/>
    <w:rsid w:val="006B09C3"/>
    <w:rsid w:val="006B09E4"/>
    <w:rsid w:val="006B0AE4"/>
    <w:rsid w:val="006B0AE9"/>
    <w:rsid w:val="006B0BC4"/>
    <w:rsid w:val="006B0BC8"/>
    <w:rsid w:val="006B0C17"/>
    <w:rsid w:val="006B0C19"/>
    <w:rsid w:val="006B0C4C"/>
    <w:rsid w:val="006B0C86"/>
    <w:rsid w:val="006B0CDD"/>
    <w:rsid w:val="006B0D59"/>
    <w:rsid w:val="006B0F45"/>
    <w:rsid w:val="006B0F59"/>
    <w:rsid w:val="006B0F7A"/>
    <w:rsid w:val="006B0F8A"/>
    <w:rsid w:val="006B0F8F"/>
    <w:rsid w:val="006B1015"/>
    <w:rsid w:val="006B108D"/>
    <w:rsid w:val="006B1177"/>
    <w:rsid w:val="006B11A2"/>
    <w:rsid w:val="006B12B1"/>
    <w:rsid w:val="006B12BC"/>
    <w:rsid w:val="006B1312"/>
    <w:rsid w:val="006B1388"/>
    <w:rsid w:val="006B14F6"/>
    <w:rsid w:val="006B1530"/>
    <w:rsid w:val="006B158F"/>
    <w:rsid w:val="006B1613"/>
    <w:rsid w:val="006B1624"/>
    <w:rsid w:val="006B167D"/>
    <w:rsid w:val="006B1708"/>
    <w:rsid w:val="006B177F"/>
    <w:rsid w:val="006B1787"/>
    <w:rsid w:val="006B1880"/>
    <w:rsid w:val="006B188E"/>
    <w:rsid w:val="006B1897"/>
    <w:rsid w:val="006B19C5"/>
    <w:rsid w:val="006B1A65"/>
    <w:rsid w:val="006B1A88"/>
    <w:rsid w:val="006B1AD1"/>
    <w:rsid w:val="006B1B61"/>
    <w:rsid w:val="006B1BF1"/>
    <w:rsid w:val="006B1C16"/>
    <w:rsid w:val="006B1C95"/>
    <w:rsid w:val="006B1CE2"/>
    <w:rsid w:val="006B1CFB"/>
    <w:rsid w:val="006B1D3C"/>
    <w:rsid w:val="006B1D65"/>
    <w:rsid w:val="006B1E09"/>
    <w:rsid w:val="006B1E64"/>
    <w:rsid w:val="006B1E92"/>
    <w:rsid w:val="006B1F45"/>
    <w:rsid w:val="006B2072"/>
    <w:rsid w:val="006B21CB"/>
    <w:rsid w:val="006B2307"/>
    <w:rsid w:val="006B23E8"/>
    <w:rsid w:val="006B2404"/>
    <w:rsid w:val="006B2507"/>
    <w:rsid w:val="006B2519"/>
    <w:rsid w:val="006B2556"/>
    <w:rsid w:val="006B25D6"/>
    <w:rsid w:val="006B267A"/>
    <w:rsid w:val="006B2701"/>
    <w:rsid w:val="006B28BF"/>
    <w:rsid w:val="006B294D"/>
    <w:rsid w:val="006B29A6"/>
    <w:rsid w:val="006B29D6"/>
    <w:rsid w:val="006B2BC3"/>
    <w:rsid w:val="006B2C0C"/>
    <w:rsid w:val="006B2CE4"/>
    <w:rsid w:val="006B2CE5"/>
    <w:rsid w:val="006B2D3E"/>
    <w:rsid w:val="006B2D4D"/>
    <w:rsid w:val="006B2EFD"/>
    <w:rsid w:val="006B2FCE"/>
    <w:rsid w:val="006B3062"/>
    <w:rsid w:val="006B3064"/>
    <w:rsid w:val="006B3090"/>
    <w:rsid w:val="006B3166"/>
    <w:rsid w:val="006B3171"/>
    <w:rsid w:val="006B31AF"/>
    <w:rsid w:val="006B31FA"/>
    <w:rsid w:val="006B328A"/>
    <w:rsid w:val="006B32BD"/>
    <w:rsid w:val="006B3381"/>
    <w:rsid w:val="006B33E7"/>
    <w:rsid w:val="006B343D"/>
    <w:rsid w:val="006B34D6"/>
    <w:rsid w:val="006B35F5"/>
    <w:rsid w:val="006B367D"/>
    <w:rsid w:val="006B37A4"/>
    <w:rsid w:val="006B37AA"/>
    <w:rsid w:val="006B389E"/>
    <w:rsid w:val="006B38E6"/>
    <w:rsid w:val="006B38FF"/>
    <w:rsid w:val="006B3930"/>
    <w:rsid w:val="006B3946"/>
    <w:rsid w:val="006B3993"/>
    <w:rsid w:val="006B39AB"/>
    <w:rsid w:val="006B3A07"/>
    <w:rsid w:val="006B3A96"/>
    <w:rsid w:val="006B3B2C"/>
    <w:rsid w:val="006B3B5C"/>
    <w:rsid w:val="006B3D69"/>
    <w:rsid w:val="006B3D7A"/>
    <w:rsid w:val="006B3DF4"/>
    <w:rsid w:val="006B3E4C"/>
    <w:rsid w:val="006B3F06"/>
    <w:rsid w:val="006B3F89"/>
    <w:rsid w:val="006B3F8B"/>
    <w:rsid w:val="006B3F93"/>
    <w:rsid w:val="006B3FC3"/>
    <w:rsid w:val="006B413D"/>
    <w:rsid w:val="006B4193"/>
    <w:rsid w:val="006B41C1"/>
    <w:rsid w:val="006B4245"/>
    <w:rsid w:val="006B42B4"/>
    <w:rsid w:val="006B42D6"/>
    <w:rsid w:val="006B433A"/>
    <w:rsid w:val="006B4354"/>
    <w:rsid w:val="006B43C4"/>
    <w:rsid w:val="006B446B"/>
    <w:rsid w:val="006B449C"/>
    <w:rsid w:val="006B459E"/>
    <w:rsid w:val="006B45A3"/>
    <w:rsid w:val="006B467E"/>
    <w:rsid w:val="006B4722"/>
    <w:rsid w:val="006B4732"/>
    <w:rsid w:val="006B4784"/>
    <w:rsid w:val="006B47AC"/>
    <w:rsid w:val="006B47C9"/>
    <w:rsid w:val="006B48E0"/>
    <w:rsid w:val="006B490D"/>
    <w:rsid w:val="006B498B"/>
    <w:rsid w:val="006B49E5"/>
    <w:rsid w:val="006B4AC9"/>
    <w:rsid w:val="006B4B3E"/>
    <w:rsid w:val="006B4BC8"/>
    <w:rsid w:val="006B4C48"/>
    <w:rsid w:val="006B4C7F"/>
    <w:rsid w:val="006B4D87"/>
    <w:rsid w:val="006B4DFF"/>
    <w:rsid w:val="006B4F80"/>
    <w:rsid w:val="006B4FF0"/>
    <w:rsid w:val="006B5034"/>
    <w:rsid w:val="006B50C9"/>
    <w:rsid w:val="006B511B"/>
    <w:rsid w:val="006B5158"/>
    <w:rsid w:val="006B5159"/>
    <w:rsid w:val="006B5160"/>
    <w:rsid w:val="006B5237"/>
    <w:rsid w:val="006B529D"/>
    <w:rsid w:val="006B5356"/>
    <w:rsid w:val="006B53AC"/>
    <w:rsid w:val="006B5432"/>
    <w:rsid w:val="006B5560"/>
    <w:rsid w:val="006B55CD"/>
    <w:rsid w:val="006B55D1"/>
    <w:rsid w:val="006B560A"/>
    <w:rsid w:val="006B5654"/>
    <w:rsid w:val="006B577B"/>
    <w:rsid w:val="006B57B7"/>
    <w:rsid w:val="006B5808"/>
    <w:rsid w:val="006B5846"/>
    <w:rsid w:val="006B588B"/>
    <w:rsid w:val="006B58CA"/>
    <w:rsid w:val="006B58F0"/>
    <w:rsid w:val="006B59C1"/>
    <w:rsid w:val="006B59DB"/>
    <w:rsid w:val="006B5A50"/>
    <w:rsid w:val="006B5AC4"/>
    <w:rsid w:val="006B5B08"/>
    <w:rsid w:val="006B5BD0"/>
    <w:rsid w:val="006B5BF0"/>
    <w:rsid w:val="006B5CB0"/>
    <w:rsid w:val="006B5D6D"/>
    <w:rsid w:val="006B5D88"/>
    <w:rsid w:val="006B5DC3"/>
    <w:rsid w:val="006B5E62"/>
    <w:rsid w:val="006B5EDC"/>
    <w:rsid w:val="006B5F57"/>
    <w:rsid w:val="006B6095"/>
    <w:rsid w:val="006B61E6"/>
    <w:rsid w:val="006B628D"/>
    <w:rsid w:val="006B62D0"/>
    <w:rsid w:val="006B62F6"/>
    <w:rsid w:val="006B632B"/>
    <w:rsid w:val="006B636B"/>
    <w:rsid w:val="006B63E1"/>
    <w:rsid w:val="006B6552"/>
    <w:rsid w:val="006B6619"/>
    <w:rsid w:val="006B66BA"/>
    <w:rsid w:val="006B66E4"/>
    <w:rsid w:val="006B6736"/>
    <w:rsid w:val="006B677C"/>
    <w:rsid w:val="006B683F"/>
    <w:rsid w:val="006B6901"/>
    <w:rsid w:val="006B695A"/>
    <w:rsid w:val="006B69C6"/>
    <w:rsid w:val="006B6A03"/>
    <w:rsid w:val="006B6A53"/>
    <w:rsid w:val="006B6A99"/>
    <w:rsid w:val="006B6AAF"/>
    <w:rsid w:val="006B6ADD"/>
    <w:rsid w:val="006B6B38"/>
    <w:rsid w:val="006B6D28"/>
    <w:rsid w:val="006B6F4C"/>
    <w:rsid w:val="006B6F63"/>
    <w:rsid w:val="006B70B0"/>
    <w:rsid w:val="006B7256"/>
    <w:rsid w:val="006B7292"/>
    <w:rsid w:val="006B72A9"/>
    <w:rsid w:val="006B72E1"/>
    <w:rsid w:val="006B7314"/>
    <w:rsid w:val="006B7356"/>
    <w:rsid w:val="006B7386"/>
    <w:rsid w:val="006B73FD"/>
    <w:rsid w:val="006B740A"/>
    <w:rsid w:val="006B7461"/>
    <w:rsid w:val="006B7577"/>
    <w:rsid w:val="006B7585"/>
    <w:rsid w:val="006B75D1"/>
    <w:rsid w:val="006B762E"/>
    <w:rsid w:val="006B7651"/>
    <w:rsid w:val="006B767F"/>
    <w:rsid w:val="006B76E0"/>
    <w:rsid w:val="006B77D8"/>
    <w:rsid w:val="006B7826"/>
    <w:rsid w:val="006B789C"/>
    <w:rsid w:val="006B78D2"/>
    <w:rsid w:val="006B78DE"/>
    <w:rsid w:val="006B7929"/>
    <w:rsid w:val="006B7940"/>
    <w:rsid w:val="006B7985"/>
    <w:rsid w:val="006B79DC"/>
    <w:rsid w:val="006B7A52"/>
    <w:rsid w:val="006B7A60"/>
    <w:rsid w:val="006B7A6B"/>
    <w:rsid w:val="006B7BDE"/>
    <w:rsid w:val="006B7BFE"/>
    <w:rsid w:val="006B7C55"/>
    <w:rsid w:val="006B7C9D"/>
    <w:rsid w:val="006B7E32"/>
    <w:rsid w:val="006B7E33"/>
    <w:rsid w:val="006B7EE7"/>
    <w:rsid w:val="006B7EF3"/>
    <w:rsid w:val="006B7EF8"/>
    <w:rsid w:val="006B7F70"/>
    <w:rsid w:val="006B7F72"/>
    <w:rsid w:val="006C0026"/>
    <w:rsid w:val="006C00C3"/>
    <w:rsid w:val="006C0237"/>
    <w:rsid w:val="006C024A"/>
    <w:rsid w:val="006C025F"/>
    <w:rsid w:val="006C0383"/>
    <w:rsid w:val="006C038D"/>
    <w:rsid w:val="006C03ED"/>
    <w:rsid w:val="006C0487"/>
    <w:rsid w:val="006C04AB"/>
    <w:rsid w:val="006C04EA"/>
    <w:rsid w:val="006C04EE"/>
    <w:rsid w:val="006C05AD"/>
    <w:rsid w:val="006C05E3"/>
    <w:rsid w:val="006C05EE"/>
    <w:rsid w:val="006C0670"/>
    <w:rsid w:val="006C0674"/>
    <w:rsid w:val="006C06B9"/>
    <w:rsid w:val="006C06FC"/>
    <w:rsid w:val="006C070E"/>
    <w:rsid w:val="006C07C1"/>
    <w:rsid w:val="006C0899"/>
    <w:rsid w:val="006C08D3"/>
    <w:rsid w:val="006C094C"/>
    <w:rsid w:val="006C09A8"/>
    <w:rsid w:val="006C09C7"/>
    <w:rsid w:val="006C0A29"/>
    <w:rsid w:val="006C0A9F"/>
    <w:rsid w:val="006C0AB5"/>
    <w:rsid w:val="006C0B2C"/>
    <w:rsid w:val="006C0B7F"/>
    <w:rsid w:val="006C0BD2"/>
    <w:rsid w:val="006C0CE9"/>
    <w:rsid w:val="006C0DCA"/>
    <w:rsid w:val="006C0E81"/>
    <w:rsid w:val="006C0ED5"/>
    <w:rsid w:val="006C0EDD"/>
    <w:rsid w:val="006C0F0B"/>
    <w:rsid w:val="006C0F3A"/>
    <w:rsid w:val="006C0F4B"/>
    <w:rsid w:val="006C0F5C"/>
    <w:rsid w:val="006C0F9B"/>
    <w:rsid w:val="006C0FBD"/>
    <w:rsid w:val="006C10D2"/>
    <w:rsid w:val="006C1111"/>
    <w:rsid w:val="006C1143"/>
    <w:rsid w:val="006C11A7"/>
    <w:rsid w:val="006C1291"/>
    <w:rsid w:val="006C12BD"/>
    <w:rsid w:val="006C14BC"/>
    <w:rsid w:val="006C14BE"/>
    <w:rsid w:val="006C1697"/>
    <w:rsid w:val="006C1714"/>
    <w:rsid w:val="006C186B"/>
    <w:rsid w:val="006C1892"/>
    <w:rsid w:val="006C18D2"/>
    <w:rsid w:val="006C18DD"/>
    <w:rsid w:val="006C18E4"/>
    <w:rsid w:val="006C195D"/>
    <w:rsid w:val="006C1A0F"/>
    <w:rsid w:val="006C1A7F"/>
    <w:rsid w:val="006C1B01"/>
    <w:rsid w:val="006C1B33"/>
    <w:rsid w:val="006C1B63"/>
    <w:rsid w:val="006C1BBC"/>
    <w:rsid w:val="006C1C8E"/>
    <w:rsid w:val="006C1D21"/>
    <w:rsid w:val="006C1D2A"/>
    <w:rsid w:val="006C1D80"/>
    <w:rsid w:val="006C1D95"/>
    <w:rsid w:val="006C1DBA"/>
    <w:rsid w:val="006C1DBC"/>
    <w:rsid w:val="006C1DF0"/>
    <w:rsid w:val="006C1E1C"/>
    <w:rsid w:val="006C1F21"/>
    <w:rsid w:val="006C2075"/>
    <w:rsid w:val="006C2098"/>
    <w:rsid w:val="006C20DC"/>
    <w:rsid w:val="006C210C"/>
    <w:rsid w:val="006C2124"/>
    <w:rsid w:val="006C226F"/>
    <w:rsid w:val="006C232F"/>
    <w:rsid w:val="006C23D0"/>
    <w:rsid w:val="006C247F"/>
    <w:rsid w:val="006C24FE"/>
    <w:rsid w:val="006C2554"/>
    <w:rsid w:val="006C25E4"/>
    <w:rsid w:val="006C265C"/>
    <w:rsid w:val="006C26AD"/>
    <w:rsid w:val="006C26BB"/>
    <w:rsid w:val="006C271D"/>
    <w:rsid w:val="006C27EB"/>
    <w:rsid w:val="006C2814"/>
    <w:rsid w:val="006C2815"/>
    <w:rsid w:val="006C290D"/>
    <w:rsid w:val="006C2933"/>
    <w:rsid w:val="006C298D"/>
    <w:rsid w:val="006C2999"/>
    <w:rsid w:val="006C2A06"/>
    <w:rsid w:val="006C2A73"/>
    <w:rsid w:val="006C2B89"/>
    <w:rsid w:val="006C2B9C"/>
    <w:rsid w:val="006C2BD6"/>
    <w:rsid w:val="006C2C6A"/>
    <w:rsid w:val="006C2CB8"/>
    <w:rsid w:val="006C2D58"/>
    <w:rsid w:val="006C2E05"/>
    <w:rsid w:val="006C2E8F"/>
    <w:rsid w:val="006C2EBC"/>
    <w:rsid w:val="006C2F6E"/>
    <w:rsid w:val="006C2FD9"/>
    <w:rsid w:val="006C308B"/>
    <w:rsid w:val="006C323A"/>
    <w:rsid w:val="006C330E"/>
    <w:rsid w:val="006C3345"/>
    <w:rsid w:val="006C336F"/>
    <w:rsid w:val="006C337F"/>
    <w:rsid w:val="006C3456"/>
    <w:rsid w:val="006C3479"/>
    <w:rsid w:val="006C3512"/>
    <w:rsid w:val="006C35E7"/>
    <w:rsid w:val="006C367E"/>
    <w:rsid w:val="006C37AF"/>
    <w:rsid w:val="006C37DA"/>
    <w:rsid w:val="006C3821"/>
    <w:rsid w:val="006C38E3"/>
    <w:rsid w:val="006C38E4"/>
    <w:rsid w:val="006C38EB"/>
    <w:rsid w:val="006C392C"/>
    <w:rsid w:val="006C3959"/>
    <w:rsid w:val="006C398C"/>
    <w:rsid w:val="006C39AF"/>
    <w:rsid w:val="006C39F7"/>
    <w:rsid w:val="006C3A3B"/>
    <w:rsid w:val="006C3B26"/>
    <w:rsid w:val="006C3B5F"/>
    <w:rsid w:val="006C3B7B"/>
    <w:rsid w:val="006C3B8B"/>
    <w:rsid w:val="006C3C78"/>
    <w:rsid w:val="006C3CB8"/>
    <w:rsid w:val="006C3D40"/>
    <w:rsid w:val="006C3E88"/>
    <w:rsid w:val="006C3E8B"/>
    <w:rsid w:val="006C3F7F"/>
    <w:rsid w:val="006C3FA1"/>
    <w:rsid w:val="006C4055"/>
    <w:rsid w:val="006C410F"/>
    <w:rsid w:val="006C4129"/>
    <w:rsid w:val="006C4188"/>
    <w:rsid w:val="006C4230"/>
    <w:rsid w:val="006C4255"/>
    <w:rsid w:val="006C42A7"/>
    <w:rsid w:val="006C4306"/>
    <w:rsid w:val="006C4341"/>
    <w:rsid w:val="006C44D0"/>
    <w:rsid w:val="006C44F4"/>
    <w:rsid w:val="006C44F8"/>
    <w:rsid w:val="006C46B5"/>
    <w:rsid w:val="006C46B8"/>
    <w:rsid w:val="006C46FC"/>
    <w:rsid w:val="006C4716"/>
    <w:rsid w:val="006C47BF"/>
    <w:rsid w:val="006C4882"/>
    <w:rsid w:val="006C48B4"/>
    <w:rsid w:val="006C4902"/>
    <w:rsid w:val="006C4907"/>
    <w:rsid w:val="006C4A11"/>
    <w:rsid w:val="006C4A68"/>
    <w:rsid w:val="006C4C5B"/>
    <w:rsid w:val="006C4C75"/>
    <w:rsid w:val="006C4CBA"/>
    <w:rsid w:val="006C4CE4"/>
    <w:rsid w:val="006C4F90"/>
    <w:rsid w:val="006C4FF0"/>
    <w:rsid w:val="006C5000"/>
    <w:rsid w:val="006C5085"/>
    <w:rsid w:val="006C5087"/>
    <w:rsid w:val="006C518F"/>
    <w:rsid w:val="006C51C1"/>
    <w:rsid w:val="006C51FD"/>
    <w:rsid w:val="006C5224"/>
    <w:rsid w:val="006C5287"/>
    <w:rsid w:val="006C5379"/>
    <w:rsid w:val="006C55B8"/>
    <w:rsid w:val="006C5614"/>
    <w:rsid w:val="006C5623"/>
    <w:rsid w:val="006C567B"/>
    <w:rsid w:val="006C570C"/>
    <w:rsid w:val="006C5724"/>
    <w:rsid w:val="006C590F"/>
    <w:rsid w:val="006C5911"/>
    <w:rsid w:val="006C59A8"/>
    <w:rsid w:val="006C5A91"/>
    <w:rsid w:val="006C5ACE"/>
    <w:rsid w:val="006C5AD6"/>
    <w:rsid w:val="006C5B4F"/>
    <w:rsid w:val="006C5B73"/>
    <w:rsid w:val="006C5B8C"/>
    <w:rsid w:val="006C5BA1"/>
    <w:rsid w:val="006C5BA8"/>
    <w:rsid w:val="006C5C36"/>
    <w:rsid w:val="006C5C38"/>
    <w:rsid w:val="006C5C5C"/>
    <w:rsid w:val="006C5CB9"/>
    <w:rsid w:val="006C5CF6"/>
    <w:rsid w:val="006C5D2D"/>
    <w:rsid w:val="006C5DBF"/>
    <w:rsid w:val="006C5DC2"/>
    <w:rsid w:val="006C5DF9"/>
    <w:rsid w:val="006C5EDB"/>
    <w:rsid w:val="006C5FB3"/>
    <w:rsid w:val="006C611C"/>
    <w:rsid w:val="006C618E"/>
    <w:rsid w:val="006C62DA"/>
    <w:rsid w:val="006C645D"/>
    <w:rsid w:val="006C64F6"/>
    <w:rsid w:val="006C6558"/>
    <w:rsid w:val="006C658F"/>
    <w:rsid w:val="006C6594"/>
    <w:rsid w:val="006C65A4"/>
    <w:rsid w:val="006C65C3"/>
    <w:rsid w:val="006C65CF"/>
    <w:rsid w:val="006C6618"/>
    <w:rsid w:val="006C6665"/>
    <w:rsid w:val="006C666E"/>
    <w:rsid w:val="006C6742"/>
    <w:rsid w:val="006C67B0"/>
    <w:rsid w:val="006C67E3"/>
    <w:rsid w:val="006C67E9"/>
    <w:rsid w:val="006C688F"/>
    <w:rsid w:val="006C6937"/>
    <w:rsid w:val="006C695D"/>
    <w:rsid w:val="006C69D7"/>
    <w:rsid w:val="006C6AC8"/>
    <w:rsid w:val="006C6BB9"/>
    <w:rsid w:val="006C6BDC"/>
    <w:rsid w:val="006C6BEA"/>
    <w:rsid w:val="006C6C6C"/>
    <w:rsid w:val="006C6CB2"/>
    <w:rsid w:val="006C6D16"/>
    <w:rsid w:val="006C6D4D"/>
    <w:rsid w:val="006C6DB3"/>
    <w:rsid w:val="006C6DC1"/>
    <w:rsid w:val="006C6DE6"/>
    <w:rsid w:val="006C6DFE"/>
    <w:rsid w:val="006C6E6C"/>
    <w:rsid w:val="006C6E80"/>
    <w:rsid w:val="006C6F47"/>
    <w:rsid w:val="006C6F83"/>
    <w:rsid w:val="006C6FDD"/>
    <w:rsid w:val="006C706E"/>
    <w:rsid w:val="006C7072"/>
    <w:rsid w:val="006C7217"/>
    <w:rsid w:val="006C72B2"/>
    <w:rsid w:val="006C74D8"/>
    <w:rsid w:val="006C74FE"/>
    <w:rsid w:val="006C767B"/>
    <w:rsid w:val="006C7828"/>
    <w:rsid w:val="006C7879"/>
    <w:rsid w:val="006C79C8"/>
    <w:rsid w:val="006C7BD1"/>
    <w:rsid w:val="006C7BFD"/>
    <w:rsid w:val="006C7C03"/>
    <w:rsid w:val="006C7C43"/>
    <w:rsid w:val="006C7C4A"/>
    <w:rsid w:val="006C7C50"/>
    <w:rsid w:val="006C7D92"/>
    <w:rsid w:val="006C7DB3"/>
    <w:rsid w:val="006C7E64"/>
    <w:rsid w:val="006C7F1F"/>
    <w:rsid w:val="006C7F63"/>
    <w:rsid w:val="006D00C5"/>
    <w:rsid w:val="006D0114"/>
    <w:rsid w:val="006D0120"/>
    <w:rsid w:val="006D01A9"/>
    <w:rsid w:val="006D0233"/>
    <w:rsid w:val="006D049B"/>
    <w:rsid w:val="006D0549"/>
    <w:rsid w:val="006D05FF"/>
    <w:rsid w:val="006D0634"/>
    <w:rsid w:val="006D0697"/>
    <w:rsid w:val="006D0707"/>
    <w:rsid w:val="006D072A"/>
    <w:rsid w:val="006D081B"/>
    <w:rsid w:val="006D096F"/>
    <w:rsid w:val="006D0986"/>
    <w:rsid w:val="006D09A8"/>
    <w:rsid w:val="006D09D8"/>
    <w:rsid w:val="006D09F4"/>
    <w:rsid w:val="006D0A28"/>
    <w:rsid w:val="006D0A3A"/>
    <w:rsid w:val="006D0A92"/>
    <w:rsid w:val="006D0AA1"/>
    <w:rsid w:val="006D0AD1"/>
    <w:rsid w:val="006D0ADD"/>
    <w:rsid w:val="006D0AE8"/>
    <w:rsid w:val="006D0BEE"/>
    <w:rsid w:val="006D0CB5"/>
    <w:rsid w:val="006D0CCD"/>
    <w:rsid w:val="006D0D36"/>
    <w:rsid w:val="006D0D97"/>
    <w:rsid w:val="006D0DE2"/>
    <w:rsid w:val="006D0E48"/>
    <w:rsid w:val="006D0ECD"/>
    <w:rsid w:val="006D0ED3"/>
    <w:rsid w:val="006D0F84"/>
    <w:rsid w:val="006D0F8D"/>
    <w:rsid w:val="006D0FFA"/>
    <w:rsid w:val="006D10C8"/>
    <w:rsid w:val="006D1120"/>
    <w:rsid w:val="006D114C"/>
    <w:rsid w:val="006D11B6"/>
    <w:rsid w:val="006D11D3"/>
    <w:rsid w:val="006D13BC"/>
    <w:rsid w:val="006D154A"/>
    <w:rsid w:val="006D1599"/>
    <w:rsid w:val="006D15B5"/>
    <w:rsid w:val="006D15B6"/>
    <w:rsid w:val="006D16B2"/>
    <w:rsid w:val="006D16B7"/>
    <w:rsid w:val="006D16F3"/>
    <w:rsid w:val="006D1732"/>
    <w:rsid w:val="006D175D"/>
    <w:rsid w:val="006D1794"/>
    <w:rsid w:val="006D1912"/>
    <w:rsid w:val="006D193B"/>
    <w:rsid w:val="006D19AA"/>
    <w:rsid w:val="006D1B04"/>
    <w:rsid w:val="006D1BEE"/>
    <w:rsid w:val="006D1CB5"/>
    <w:rsid w:val="006D1D5A"/>
    <w:rsid w:val="006D1D77"/>
    <w:rsid w:val="006D1E0F"/>
    <w:rsid w:val="006D1E28"/>
    <w:rsid w:val="006D1F62"/>
    <w:rsid w:val="006D1FEC"/>
    <w:rsid w:val="006D20A4"/>
    <w:rsid w:val="006D20AB"/>
    <w:rsid w:val="006D20FB"/>
    <w:rsid w:val="006D216C"/>
    <w:rsid w:val="006D2186"/>
    <w:rsid w:val="006D2202"/>
    <w:rsid w:val="006D221F"/>
    <w:rsid w:val="006D22BC"/>
    <w:rsid w:val="006D22F0"/>
    <w:rsid w:val="006D233C"/>
    <w:rsid w:val="006D2360"/>
    <w:rsid w:val="006D243E"/>
    <w:rsid w:val="006D2479"/>
    <w:rsid w:val="006D24B7"/>
    <w:rsid w:val="006D2586"/>
    <w:rsid w:val="006D2682"/>
    <w:rsid w:val="006D2686"/>
    <w:rsid w:val="006D26CA"/>
    <w:rsid w:val="006D272F"/>
    <w:rsid w:val="006D27E5"/>
    <w:rsid w:val="006D27E9"/>
    <w:rsid w:val="006D2837"/>
    <w:rsid w:val="006D298F"/>
    <w:rsid w:val="006D299A"/>
    <w:rsid w:val="006D2A25"/>
    <w:rsid w:val="006D2A3F"/>
    <w:rsid w:val="006D2B23"/>
    <w:rsid w:val="006D2BF9"/>
    <w:rsid w:val="006D2CF6"/>
    <w:rsid w:val="006D2D5A"/>
    <w:rsid w:val="006D2E09"/>
    <w:rsid w:val="006D2EA7"/>
    <w:rsid w:val="006D31CC"/>
    <w:rsid w:val="006D322B"/>
    <w:rsid w:val="006D325D"/>
    <w:rsid w:val="006D33D9"/>
    <w:rsid w:val="006D346E"/>
    <w:rsid w:val="006D34EB"/>
    <w:rsid w:val="006D34EF"/>
    <w:rsid w:val="006D3518"/>
    <w:rsid w:val="006D3528"/>
    <w:rsid w:val="006D37C9"/>
    <w:rsid w:val="006D3828"/>
    <w:rsid w:val="006D3880"/>
    <w:rsid w:val="006D38B8"/>
    <w:rsid w:val="006D38C9"/>
    <w:rsid w:val="006D38D9"/>
    <w:rsid w:val="006D394A"/>
    <w:rsid w:val="006D3A59"/>
    <w:rsid w:val="006D3A6D"/>
    <w:rsid w:val="006D3AC8"/>
    <w:rsid w:val="006D3B31"/>
    <w:rsid w:val="006D3B90"/>
    <w:rsid w:val="006D3BAF"/>
    <w:rsid w:val="006D3BFE"/>
    <w:rsid w:val="006D3E63"/>
    <w:rsid w:val="006D3F8E"/>
    <w:rsid w:val="006D4177"/>
    <w:rsid w:val="006D41D4"/>
    <w:rsid w:val="006D4353"/>
    <w:rsid w:val="006D439B"/>
    <w:rsid w:val="006D4404"/>
    <w:rsid w:val="006D440A"/>
    <w:rsid w:val="006D4485"/>
    <w:rsid w:val="006D44BF"/>
    <w:rsid w:val="006D4583"/>
    <w:rsid w:val="006D45DB"/>
    <w:rsid w:val="006D466A"/>
    <w:rsid w:val="006D46B2"/>
    <w:rsid w:val="006D46E0"/>
    <w:rsid w:val="006D47E6"/>
    <w:rsid w:val="006D4889"/>
    <w:rsid w:val="006D49BE"/>
    <w:rsid w:val="006D49D7"/>
    <w:rsid w:val="006D4A17"/>
    <w:rsid w:val="006D4A2E"/>
    <w:rsid w:val="006D4AD1"/>
    <w:rsid w:val="006D4BAC"/>
    <w:rsid w:val="006D4BD6"/>
    <w:rsid w:val="006D4C64"/>
    <w:rsid w:val="006D4D0F"/>
    <w:rsid w:val="006D4D29"/>
    <w:rsid w:val="006D4E46"/>
    <w:rsid w:val="006D4F4D"/>
    <w:rsid w:val="006D4F82"/>
    <w:rsid w:val="006D4F88"/>
    <w:rsid w:val="006D4FC6"/>
    <w:rsid w:val="006D5038"/>
    <w:rsid w:val="006D5107"/>
    <w:rsid w:val="006D512F"/>
    <w:rsid w:val="006D5131"/>
    <w:rsid w:val="006D513A"/>
    <w:rsid w:val="006D5193"/>
    <w:rsid w:val="006D519B"/>
    <w:rsid w:val="006D52BC"/>
    <w:rsid w:val="006D5318"/>
    <w:rsid w:val="006D535E"/>
    <w:rsid w:val="006D539C"/>
    <w:rsid w:val="006D53FC"/>
    <w:rsid w:val="006D5473"/>
    <w:rsid w:val="006D5583"/>
    <w:rsid w:val="006D5665"/>
    <w:rsid w:val="006D5666"/>
    <w:rsid w:val="006D567E"/>
    <w:rsid w:val="006D5698"/>
    <w:rsid w:val="006D572F"/>
    <w:rsid w:val="006D57D3"/>
    <w:rsid w:val="006D57FB"/>
    <w:rsid w:val="006D5963"/>
    <w:rsid w:val="006D597A"/>
    <w:rsid w:val="006D5A06"/>
    <w:rsid w:val="006D5AEA"/>
    <w:rsid w:val="006D5AEE"/>
    <w:rsid w:val="006D5B9D"/>
    <w:rsid w:val="006D5DD8"/>
    <w:rsid w:val="006D5DE6"/>
    <w:rsid w:val="006D5E27"/>
    <w:rsid w:val="006D5ECA"/>
    <w:rsid w:val="006D5EF4"/>
    <w:rsid w:val="006D5F38"/>
    <w:rsid w:val="006D6002"/>
    <w:rsid w:val="006D6093"/>
    <w:rsid w:val="006D6117"/>
    <w:rsid w:val="006D6137"/>
    <w:rsid w:val="006D618B"/>
    <w:rsid w:val="006D61B9"/>
    <w:rsid w:val="006D62D5"/>
    <w:rsid w:val="006D62DF"/>
    <w:rsid w:val="006D62F1"/>
    <w:rsid w:val="006D637A"/>
    <w:rsid w:val="006D63A6"/>
    <w:rsid w:val="006D6499"/>
    <w:rsid w:val="006D64A3"/>
    <w:rsid w:val="006D651C"/>
    <w:rsid w:val="006D6521"/>
    <w:rsid w:val="006D652D"/>
    <w:rsid w:val="006D653F"/>
    <w:rsid w:val="006D6553"/>
    <w:rsid w:val="006D6563"/>
    <w:rsid w:val="006D659A"/>
    <w:rsid w:val="006D6654"/>
    <w:rsid w:val="006D667F"/>
    <w:rsid w:val="006D6794"/>
    <w:rsid w:val="006D6899"/>
    <w:rsid w:val="006D68B2"/>
    <w:rsid w:val="006D69BC"/>
    <w:rsid w:val="006D69DD"/>
    <w:rsid w:val="006D6A5D"/>
    <w:rsid w:val="006D6A7D"/>
    <w:rsid w:val="006D6A83"/>
    <w:rsid w:val="006D6ABB"/>
    <w:rsid w:val="006D6B4B"/>
    <w:rsid w:val="006D6B53"/>
    <w:rsid w:val="006D6D0E"/>
    <w:rsid w:val="006D6D7A"/>
    <w:rsid w:val="006D6D8F"/>
    <w:rsid w:val="006D6E24"/>
    <w:rsid w:val="006D6ECC"/>
    <w:rsid w:val="006D6EEA"/>
    <w:rsid w:val="006D6FB0"/>
    <w:rsid w:val="006D6FEE"/>
    <w:rsid w:val="006D703A"/>
    <w:rsid w:val="006D7074"/>
    <w:rsid w:val="006D70D2"/>
    <w:rsid w:val="006D713A"/>
    <w:rsid w:val="006D7164"/>
    <w:rsid w:val="006D720C"/>
    <w:rsid w:val="006D726C"/>
    <w:rsid w:val="006D7278"/>
    <w:rsid w:val="006D7390"/>
    <w:rsid w:val="006D7424"/>
    <w:rsid w:val="006D75D5"/>
    <w:rsid w:val="006D761B"/>
    <w:rsid w:val="006D7631"/>
    <w:rsid w:val="006D7679"/>
    <w:rsid w:val="006D776B"/>
    <w:rsid w:val="006D77C9"/>
    <w:rsid w:val="006D780F"/>
    <w:rsid w:val="006D7875"/>
    <w:rsid w:val="006D790B"/>
    <w:rsid w:val="006D7961"/>
    <w:rsid w:val="006D796A"/>
    <w:rsid w:val="006D7A46"/>
    <w:rsid w:val="006D7AB8"/>
    <w:rsid w:val="006D7B0A"/>
    <w:rsid w:val="006D7B4F"/>
    <w:rsid w:val="006D7B88"/>
    <w:rsid w:val="006D7D31"/>
    <w:rsid w:val="006D7E16"/>
    <w:rsid w:val="006D7EA5"/>
    <w:rsid w:val="006D7EF0"/>
    <w:rsid w:val="006D7EF9"/>
    <w:rsid w:val="006D7F1D"/>
    <w:rsid w:val="006D7F4F"/>
    <w:rsid w:val="006D7F51"/>
    <w:rsid w:val="006D7FE6"/>
    <w:rsid w:val="006E00DA"/>
    <w:rsid w:val="006E0154"/>
    <w:rsid w:val="006E0274"/>
    <w:rsid w:val="006E02B5"/>
    <w:rsid w:val="006E030F"/>
    <w:rsid w:val="006E032A"/>
    <w:rsid w:val="006E033B"/>
    <w:rsid w:val="006E03B4"/>
    <w:rsid w:val="006E03ED"/>
    <w:rsid w:val="006E0443"/>
    <w:rsid w:val="006E0461"/>
    <w:rsid w:val="006E04A3"/>
    <w:rsid w:val="006E04ED"/>
    <w:rsid w:val="006E051C"/>
    <w:rsid w:val="006E052B"/>
    <w:rsid w:val="006E0535"/>
    <w:rsid w:val="006E054B"/>
    <w:rsid w:val="006E0588"/>
    <w:rsid w:val="006E077D"/>
    <w:rsid w:val="006E07D2"/>
    <w:rsid w:val="006E07DA"/>
    <w:rsid w:val="006E07E3"/>
    <w:rsid w:val="006E0819"/>
    <w:rsid w:val="006E08C2"/>
    <w:rsid w:val="006E08F6"/>
    <w:rsid w:val="006E0944"/>
    <w:rsid w:val="006E0948"/>
    <w:rsid w:val="006E09D8"/>
    <w:rsid w:val="006E09DA"/>
    <w:rsid w:val="006E0B1C"/>
    <w:rsid w:val="006E0B2E"/>
    <w:rsid w:val="006E0B31"/>
    <w:rsid w:val="006E0BDC"/>
    <w:rsid w:val="006E0C3F"/>
    <w:rsid w:val="006E0C43"/>
    <w:rsid w:val="006E0C53"/>
    <w:rsid w:val="006E0CB5"/>
    <w:rsid w:val="006E0CD1"/>
    <w:rsid w:val="006E0CFF"/>
    <w:rsid w:val="006E0D1A"/>
    <w:rsid w:val="006E0D3B"/>
    <w:rsid w:val="006E0E6A"/>
    <w:rsid w:val="006E0F76"/>
    <w:rsid w:val="006E1058"/>
    <w:rsid w:val="006E1082"/>
    <w:rsid w:val="006E11C3"/>
    <w:rsid w:val="006E11FC"/>
    <w:rsid w:val="006E12F9"/>
    <w:rsid w:val="006E1333"/>
    <w:rsid w:val="006E1368"/>
    <w:rsid w:val="006E13D3"/>
    <w:rsid w:val="006E147E"/>
    <w:rsid w:val="006E15C3"/>
    <w:rsid w:val="006E15E1"/>
    <w:rsid w:val="006E15E5"/>
    <w:rsid w:val="006E160D"/>
    <w:rsid w:val="006E16AF"/>
    <w:rsid w:val="006E18C6"/>
    <w:rsid w:val="006E1947"/>
    <w:rsid w:val="006E1A2D"/>
    <w:rsid w:val="006E1B71"/>
    <w:rsid w:val="006E1C3E"/>
    <w:rsid w:val="006E1CEC"/>
    <w:rsid w:val="006E1D46"/>
    <w:rsid w:val="006E1DC8"/>
    <w:rsid w:val="006E1E47"/>
    <w:rsid w:val="006E1E52"/>
    <w:rsid w:val="006E1ED0"/>
    <w:rsid w:val="006E1F60"/>
    <w:rsid w:val="006E1FEA"/>
    <w:rsid w:val="006E209E"/>
    <w:rsid w:val="006E20F0"/>
    <w:rsid w:val="006E217F"/>
    <w:rsid w:val="006E220B"/>
    <w:rsid w:val="006E2220"/>
    <w:rsid w:val="006E22B8"/>
    <w:rsid w:val="006E232A"/>
    <w:rsid w:val="006E2459"/>
    <w:rsid w:val="006E25BF"/>
    <w:rsid w:val="006E25C8"/>
    <w:rsid w:val="006E2640"/>
    <w:rsid w:val="006E2661"/>
    <w:rsid w:val="006E26CC"/>
    <w:rsid w:val="006E2747"/>
    <w:rsid w:val="006E274B"/>
    <w:rsid w:val="006E2795"/>
    <w:rsid w:val="006E27D1"/>
    <w:rsid w:val="006E285E"/>
    <w:rsid w:val="006E28B8"/>
    <w:rsid w:val="006E2A66"/>
    <w:rsid w:val="006E2A9A"/>
    <w:rsid w:val="006E2ACB"/>
    <w:rsid w:val="006E2AF7"/>
    <w:rsid w:val="006E2C6A"/>
    <w:rsid w:val="006E2C9A"/>
    <w:rsid w:val="006E2CB8"/>
    <w:rsid w:val="006E2CBD"/>
    <w:rsid w:val="006E2CD6"/>
    <w:rsid w:val="006E2D2A"/>
    <w:rsid w:val="006E2D9A"/>
    <w:rsid w:val="006E2DC6"/>
    <w:rsid w:val="006E2DCA"/>
    <w:rsid w:val="006E2EA8"/>
    <w:rsid w:val="006E2EB8"/>
    <w:rsid w:val="006E2ED7"/>
    <w:rsid w:val="006E2F91"/>
    <w:rsid w:val="006E3067"/>
    <w:rsid w:val="006E3073"/>
    <w:rsid w:val="006E3097"/>
    <w:rsid w:val="006E30D4"/>
    <w:rsid w:val="006E30D6"/>
    <w:rsid w:val="006E338A"/>
    <w:rsid w:val="006E341A"/>
    <w:rsid w:val="006E3542"/>
    <w:rsid w:val="006E35D2"/>
    <w:rsid w:val="006E360A"/>
    <w:rsid w:val="006E3642"/>
    <w:rsid w:val="006E3664"/>
    <w:rsid w:val="006E36E2"/>
    <w:rsid w:val="006E37B3"/>
    <w:rsid w:val="006E387C"/>
    <w:rsid w:val="006E38CF"/>
    <w:rsid w:val="006E390D"/>
    <w:rsid w:val="006E3AA6"/>
    <w:rsid w:val="006E3B92"/>
    <w:rsid w:val="006E3BC4"/>
    <w:rsid w:val="006E3BD2"/>
    <w:rsid w:val="006E3C1B"/>
    <w:rsid w:val="006E3C9F"/>
    <w:rsid w:val="006E3CC3"/>
    <w:rsid w:val="006E3D01"/>
    <w:rsid w:val="006E3D67"/>
    <w:rsid w:val="006E3D83"/>
    <w:rsid w:val="006E3EC5"/>
    <w:rsid w:val="006E3EE9"/>
    <w:rsid w:val="006E3F08"/>
    <w:rsid w:val="006E3F7F"/>
    <w:rsid w:val="006E401C"/>
    <w:rsid w:val="006E41C4"/>
    <w:rsid w:val="006E41CF"/>
    <w:rsid w:val="006E4253"/>
    <w:rsid w:val="006E426C"/>
    <w:rsid w:val="006E426F"/>
    <w:rsid w:val="006E42BA"/>
    <w:rsid w:val="006E42E9"/>
    <w:rsid w:val="006E4307"/>
    <w:rsid w:val="006E4394"/>
    <w:rsid w:val="006E43AC"/>
    <w:rsid w:val="006E43FB"/>
    <w:rsid w:val="006E443B"/>
    <w:rsid w:val="006E44F0"/>
    <w:rsid w:val="006E45E1"/>
    <w:rsid w:val="006E469B"/>
    <w:rsid w:val="006E4793"/>
    <w:rsid w:val="006E47A4"/>
    <w:rsid w:val="006E4815"/>
    <w:rsid w:val="006E48AA"/>
    <w:rsid w:val="006E494C"/>
    <w:rsid w:val="006E49C6"/>
    <w:rsid w:val="006E4A3F"/>
    <w:rsid w:val="006E4A4E"/>
    <w:rsid w:val="006E4AA4"/>
    <w:rsid w:val="006E4C50"/>
    <w:rsid w:val="006E4E1C"/>
    <w:rsid w:val="006E4E47"/>
    <w:rsid w:val="006E4E9E"/>
    <w:rsid w:val="006E505C"/>
    <w:rsid w:val="006E5064"/>
    <w:rsid w:val="006E50A3"/>
    <w:rsid w:val="006E5124"/>
    <w:rsid w:val="006E5154"/>
    <w:rsid w:val="006E519D"/>
    <w:rsid w:val="006E520D"/>
    <w:rsid w:val="006E5259"/>
    <w:rsid w:val="006E53B6"/>
    <w:rsid w:val="006E545C"/>
    <w:rsid w:val="006E5556"/>
    <w:rsid w:val="006E55B2"/>
    <w:rsid w:val="006E57ED"/>
    <w:rsid w:val="006E583C"/>
    <w:rsid w:val="006E5843"/>
    <w:rsid w:val="006E5B93"/>
    <w:rsid w:val="006E5C37"/>
    <w:rsid w:val="006E5CAE"/>
    <w:rsid w:val="006E5CE5"/>
    <w:rsid w:val="006E5D18"/>
    <w:rsid w:val="006E5D52"/>
    <w:rsid w:val="006E5E00"/>
    <w:rsid w:val="006E5EB6"/>
    <w:rsid w:val="006E5EF6"/>
    <w:rsid w:val="006E604C"/>
    <w:rsid w:val="006E614F"/>
    <w:rsid w:val="006E6234"/>
    <w:rsid w:val="006E6286"/>
    <w:rsid w:val="006E62C8"/>
    <w:rsid w:val="006E62EC"/>
    <w:rsid w:val="006E62FD"/>
    <w:rsid w:val="006E63F6"/>
    <w:rsid w:val="006E6447"/>
    <w:rsid w:val="006E655E"/>
    <w:rsid w:val="006E655F"/>
    <w:rsid w:val="006E6692"/>
    <w:rsid w:val="006E66A2"/>
    <w:rsid w:val="006E66F7"/>
    <w:rsid w:val="006E671E"/>
    <w:rsid w:val="006E680F"/>
    <w:rsid w:val="006E6864"/>
    <w:rsid w:val="006E6955"/>
    <w:rsid w:val="006E6973"/>
    <w:rsid w:val="006E69AD"/>
    <w:rsid w:val="006E69C0"/>
    <w:rsid w:val="006E69D9"/>
    <w:rsid w:val="006E69F4"/>
    <w:rsid w:val="006E6B5B"/>
    <w:rsid w:val="006E6BBE"/>
    <w:rsid w:val="006E6C33"/>
    <w:rsid w:val="006E6C36"/>
    <w:rsid w:val="006E6CD2"/>
    <w:rsid w:val="006E6CFB"/>
    <w:rsid w:val="006E6D0E"/>
    <w:rsid w:val="006E6D33"/>
    <w:rsid w:val="006E6D4D"/>
    <w:rsid w:val="006E6E40"/>
    <w:rsid w:val="006E6E55"/>
    <w:rsid w:val="006E6F8F"/>
    <w:rsid w:val="006E6F95"/>
    <w:rsid w:val="006E7013"/>
    <w:rsid w:val="006E707F"/>
    <w:rsid w:val="006E710E"/>
    <w:rsid w:val="006E731B"/>
    <w:rsid w:val="006E73C8"/>
    <w:rsid w:val="006E73E3"/>
    <w:rsid w:val="006E7465"/>
    <w:rsid w:val="006E748D"/>
    <w:rsid w:val="006E74CA"/>
    <w:rsid w:val="006E74F2"/>
    <w:rsid w:val="006E75ED"/>
    <w:rsid w:val="006E765B"/>
    <w:rsid w:val="006E76AE"/>
    <w:rsid w:val="006E76CC"/>
    <w:rsid w:val="006E773C"/>
    <w:rsid w:val="006E777A"/>
    <w:rsid w:val="006E77A5"/>
    <w:rsid w:val="006E77B0"/>
    <w:rsid w:val="006E787F"/>
    <w:rsid w:val="006E788B"/>
    <w:rsid w:val="006E789E"/>
    <w:rsid w:val="006E7915"/>
    <w:rsid w:val="006E7944"/>
    <w:rsid w:val="006E7B3E"/>
    <w:rsid w:val="006E7B90"/>
    <w:rsid w:val="006E7BB0"/>
    <w:rsid w:val="006E7C9F"/>
    <w:rsid w:val="006E7D76"/>
    <w:rsid w:val="006E7DA3"/>
    <w:rsid w:val="006E7DB1"/>
    <w:rsid w:val="006E7E47"/>
    <w:rsid w:val="006E7F57"/>
    <w:rsid w:val="006E7FF1"/>
    <w:rsid w:val="006F0012"/>
    <w:rsid w:val="006F00F1"/>
    <w:rsid w:val="006F00F8"/>
    <w:rsid w:val="006F0226"/>
    <w:rsid w:val="006F0243"/>
    <w:rsid w:val="006F0247"/>
    <w:rsid w:val="006F02C7"/>
    <w:rsid w:val="006F0307"/>
    <w:rsid w:val="006F0358"/>
    <w:rsid w:val="006F03C8"/>
    <w:rsid w:val="006F04EC"/>
    <w:rsid w:val="006F05E6"/>
    <w:rsid w:val="006F05F2"/>
    <w:rsid w:val="006F0769"/>
    <w:rsid w:val="006F076D"/>
    <w:rsid w:val="006F0774"/>
    <w:rsid w:val="006F0779"/>
    <w:rsid w:val="006F077B"/>
    <w:rsid w:val="006F0781"/>
    <w:rsid w:val="006F07E9"/>
    <w:rsid w:val="006F0807"/>
    <w:rsid w:val="006F09D0"/>
    <w:rsid w:val="006F09F0"/>
    <w:rsid w:val="006F0B06"/>
    <w:rsid w:val="006F0B71"/>
    <w:rsid w:val="006F0BCD"/>
    <w:rsid w:val="006F0BDA"/>
    <w:rsid w:val="006F0C56"/>
    <w:rsid w:val="006F0C9D"/>
    <w:rsid w:val="006F0CCE"/>
    <w:rsid w:val="006F0CFD"/>
    <w:rsid w:val="006F0D22"/>
    <w:rsid w:val="006F0D6C"/>
    <w:rsid w:val="006F0DC5"/>
    <w:rsid w:val="006F0ECE"/>
    <w:rsid w:val="006F0F33"/>
    <w:rsid w:val="006F0F3F"/>
    <w:rsid w:val="006F0F7D"/>
    <w:rsid w:val="006F1045"/>
    <w:rsid w:val="006F105A"/>
    <w:rsid w:val="006F10B8"/>
    <w:rsid w:val="006F1203"/>
    <w:rsid w:val="006F121A"/>
    <w:rsid w:val="006F1225"/>
    <w:rsid w:val="006F1229"/>
    <w:rsid w:val="006F1233"/>
    <w:rsid w:val="006F12A2"/>
    <w:rsid w:val="006F12B6"/>
    <w:rsid w:val="006F12CC"/>
    <w:rsid w:val="006F12FE"/>
    <w:rsid w:val="006F135B"/>
    <w:rsid w:val="006F13EE"/>
    <w:rsid w:val="006F14A6"/>
    <w:rsid w:val="006F14B1"/>
    <w:rsid w:val="006F1511"/>
    <w:rsid w:val="006F1575"/>
    <w:rsid w:val="006F157D"/>
    <w:rsid w:val="006F15F7"/>
    <w:rsid w:val="006F17C5"/>
    <w:rsid w:val="006F17F6"/>
    <w:rsid w:val="006F1807"/>
    <w:rsid w:val="006F18FB"/>
    <w:rsid w:val="006F1921"/>
    <w:rsid w:val="006F1A5E"/>
    <w:rsid w:val="006F1A87"/>
    <w:rsid w:val="006F1B7C"/>
    <w:rsid w:val="006F1C20"/>
    <w:rsid w:val="006F1C44"/>
    <w:rsid w:val="006F1CCF"/>
    <w:rsid w:val="006F1D21"/>
    <w:rsid w:val="006F1D94"/>
    <w:rsid w:val="006F1DAF"/>
    <w:rsid w:val="006F1F0C"/>
    <w:rsid w:val="006F2024"/>
    <w:rsid w:val="006F2045"/>
    <w:rsid w:val="006F20B4"/>
    <w:rsid w:val="006F20CE"/>
    <w:rsid w:val="006F217D"/>
    <w:rsid w:val="006F239C"/>
    <w:rsid w:val="006F2431"/>
    <w:rsid w:val="006F25FE"/>
    <w:rsid w:val="006F268E"/>
    <w:rsid w:val="006F26ED"/>
    <w:rsid w:val="006F2702"/>
    <w:rsid w:val="006F272D"/>
    <w:rsid w:val="006F28A6"/>
    <w:rsid w:val="006F28D5"/>
    <w:rsid w:val="006F28E4"/>
    <w:rsid w:val="006F2904"/>
    <w:rsid w:val="006F295F"/>
    <w:rsid w:val="006F2AD5"/>
    <w:rsid w:val="006F2AF6"/>
    <w:rsid w:val="006F2BB3"/>
    <w:rsid w:val="006F2BBE"/>
    <w:rsid w:val="006F2C0C"/>
    <w:rsid w:val="006F2C97"/>
    <w:rsid w:val="006F2CA5"/>
    <w:rsid w:val="006F2CE0"/>
    <w:rsid w:val="006F2D6C"/>
    <w:rsid w:val="006F2DFA"/>
    <w:rsid w:val="006F2E3A"/>
    <w:rsid w:val="006F2E60"/>
    <w:rsid w:val="006F2F99"/>
    <w:rsid w:val="006F2FC3"/>
    <w:rsid w:val="006F2FE5"/>
    <w:rsid w:val="006F3005"/>
    <w:rsid w:val="006F319A"/>
    <w:rsid w:val="006F31C6"/>
    <w:rsid w:val="006F3266"/>
    <w:rsid w:val="006F32C3"/>
    <w:rsid w:val="006F32FD"/>
    <w:rsid w:val="006F332C"/>
    <w:rsid w:val="006F33B7"/>
    <w:rsid w:val="006F33F9"/>
    <w:rsid w:val="006F3489"/>
    <w:rsid w:val="006F3543"/>
    <w:rsid w:val="006F35D5"/>
    <w:rsid w:val="006F3667"/>
    <w:rsid w:val="006F377A"/>
    <w:rsid w:val="006F37C2"/>
    <w:rsid w:val="006F37CB"/>
    <w:rsid w:val="006F38A4"/>
    <w:rsid w:val="006F38AF"/>
    <w:rsid w:val="006F3A3F"/>
    <w:rsid w:val="006F3A90"/>
    <w:rsid w:val="006F3AEC"/>
    <w:rsid w:val="006F3B5E"/>
    <w:rsid w:val="006F3DA0"/>
    <w:rsid w:val="006F3DB2"/>
    <w:rsid w:val="006F3EAF"/>
    <w:rsid w:val="006F3EEB"/>
    <w:rsid w:val="006F3FAB"/>
    <w:rsid w:val="006F407C"/>
    <w:rsid w:val="006F40AA"/>
    <w:rsid w:val="006F4219"/>
    <w:rsid w:val="006F4227"/>
    <w:rsid w:val="006F427D"/>
    <w:rsid w:val="006F42B2"/>
    <w:rsid w:val="006F42EE"/>
    <w:rsid w:val="006F435A"/>
    <w:rsid w:val="006F445C"/>
    <w:rsid w:val="006F44D0"/>
    <w:rsid w:val="006F453C"/>
    <w:rsid w:val="006F45B8"/>
    <w:rsid w:val="006F45CF"/>
    <w:rsid w:val="006F4622"/>
    <w:rsid w:val="006F4759"/>
    <w:rsid w:val="006F477F"/>
    <w:rsid w:val="006F4985"/>
    <w:rsid w:val="006F4A13"/>
    <w:rsid w:val="006F4A83"/>
    <w:rsid w:val="006F4AC7"/>
    <w:rsid w:val="006F4BAF"/>
    <w:rsid w:val="006F4CC3"/>
    <w:rsid w:val="006F4F14"/>
    <w:rsid w:val="006F4F84"/>
    <w:rsid w:val="006F508F"/>
    <w:rsid w:val="006F50BB"/>
    <w:rsid w:val="006F50DD"/>
    <w:rsid w:val="006F519E"/>
    <w:rsid w:val="006F51B4"/>
    <w:rsid w:val="006F5274"/>
    <w:rsid w:val="006F5364"/>
    <w:rsid w:val="006F5454"/>
    <w:rsid w:val="006F5465"/>
    <w:rsid w:val="006F549E"/>
    <w:rsid w:val="006F54BA"/>
    <w:rsid w:val="006F54CC"/>
    <w:rsid w:val="006F5573"/>
    <w:rsid w:val="006F55B3"/>
    <w:rsid w:val="006F55FD"/>
    <w:rsid w:val="006F569A"/>
    <w:rsid w:val="006F5753"/>
    <w:rsid w:val="006F58F1"/>
    <w:rsid w:val="006F592F"/>
    <w:rsid w:val="006F5992"/>
    <w:rsid w:val="006F5995"/>
    <w:rsid w:val="006F59B3"/>
    <w:rsid w:val="006F5A28"/>
    <w:rsid w:val="006F5A36"/>
    <w:rsid w:val="006F5A4B"/>
    <w:rsid w:val="006F5A88"/>
    <w:rsid w:val="006F5AB5"/>
    <w:rsid w:val="006F5AF9"/>
    <w:rsid w:val="006F5B16"/>
    <w:rsid w:val="006F5BA3"/>
    <w:rsid w:val="006F5C3E"/>
    <w:rsid w:val="006F5CC4"/>
    <w:rsid w:val="006F5E42"/>
    <w:rsid w:val="006F5EF6"/>
    <w:rsid w:val="006F5F2C"/>
    <w:rsid w:val="006F5FAB"/>
    <w:rsid w:val="006F6096"/>
    <w:rsid w:val="006F60F2"/>
    <w:rsid w:val="006F6168"/>
    <w:rsid w:val="006F61CB"/>
    <w:rsid w:val="006F63EB"/>
    <w:rsid w:val="006F6407"/>
    <w:rsid w:val="006F641F"/>
    <w:rsid w:val="006F6456"/>
    <w:rsid w:val="006F648C"/>
    <w:rsid w:val="006F64BA"/>
    <w:rsid w:val="006F64D6"/>
    <w:rsid w:val="006F651D"/>
    <w:rsid w:val="006F661E"/>
    <w:rsid w:val="006F6688"/>
    <w:rsid w:val="006F668C"/>
    <w:rsid w:val="006F677E"/>
    <w:rsid w:val="006F6786"/>
    <w:rsid w:val="006F67F7"/>
    <w:rsid w:val="006F68C4"/>
    <w:rsid w:val="006F69E5"/>
    <w:rsid w:val="006F6A6D"/>
    <w:rsid w:val="006F6AC2"/>
    <w:rsid w:val="006F6C17"/>
    <w:rsid w:val="006F6D15"/>
    <w:rsid w:val="006F6D75"/>
    <w:rsid w:val="006F6E44"/>
    <w:rsid w:val="006F6EB8"/>
    <w:rsid w:val="006F6F4D"/>
    <w:rsid w:val="006F6FF3"/>
    <w:rsid w:val="006F6FF8"/>
    <w:rsid w:val="006F7053"/>
    <w:rsid w:val="006F7097"/>
    <w:rsid w:val="006F72FA"/>
    <w:rsid w:val="006F7363"/>
    <w:rsid w:val="006F736E"/>
    <w:rsid w:val="006F737F"/>
    <w:rsid w:val="006F7392"/>
    <w:rsid w:val="006F7414"/>
    <w:rsid w:val="006F776A"/>
    <w:rsid w:val="006F77CC"/>
    <w:rsid w:val="006F78C0"/>
    <w:rsid w:val="006F78C7"/>
    <w:rsid w:val="006F78DB"/>
    <w:rsid w:val="006F793C"/>
    <w:rsid w:val="006F7940"/>
    <w:rsid w:val="006F7A4A"/>
    <w:rsid w:val="006F7CE2"/>
    <w:rsid w:val="006F7CE8"/>
    <w:rsid w:val="006F7D67"/>
    <w:rsid w:val="006F7D79"/>
    <w:rsid w:val="006F7D96"/>
    <w:rsid w:val="006F7DEA"/>
    <w:rsid w:val="006F7E3E"/>
    <w:rsid w:val="006F7E47"/>
    <w:rsid w:val="006F7F01"/>
    <w:rsid w:val="006F7F72"/>
    <w:rsid w:val="006F7F7C"/>
    <w:rsid w:val="006F7F8B"/>
    <w:rsid w:val="007000A3"/>
    <w:rsid w:val="0070011A"/>
    <w:rsid w:val="007001C8"/>
    <w:rsid w:val="0070034D"/>
    <w:rsid w:val="00700442"/>
    <w:rsid w:val="007004C5"/>
    <w:rsid w:val="007004E0"/>
    <w:rsid w:val="00700506"/>
    <w:rsid w:val="007005C1"/>
    <w:rsid w:val="007005EB"/>
    <w:rsid w:val="007006D7"/>
    <w:rsid w:val="00700760"/>
    <w:rsid w:val="0070077C"/>
    <w:rsid w:val="00700784"/>
    <w:rsid w:val="00700798"/>
    <w:rsid w:val="007008B9"/>
    <w:rsid w:val="0070092F"/>
    <w:rsid w:val="00700941"/>
    <w:rsid w:val="0070094F"/>
    <w:rsid w:val="00700A16"/>
    <w:rsid w:val="00700AB7"/>
    <w:rsid w:val="00700C81"/>
    <w:rsid w:val="00700D1D"/>
    <w:rsid w:val="00700E84"/>
    <w:rsid w:val="00700EBA"/>
    <w:rsid w:val="00700EF6"/>
    <w:rsid w:val="00700F28"/>
    <w:rsid w:val="00700F92"/>
    <w:rsid w:val="00700FC8"/>
    <w:rsid w:val="007010E4"/>
    <w:rsid w:val="00701124"/>
    <w:rsid w:val="007011D4"/>
    <w:rsid w:val="0070124A"/>
    <w:rsid w:val="00701256"/>
    <w:rsid w:val="0070127D"/>
    <w:rsid w:val="007012D3"/>
    <w:rsid w:val="00701325"/>
    <w:rsid w:val="0070138D"/>
    <w:rsid w:val="00701541"/>
    <w:rsid w:val="00701549"/>
    <w:rsid w:val="0070156C"/>
    <w:rsid w:val="007015EE"/>
    <w:rsid w:val="007015FE"/>
    <w:rsid w:val="00701605"/>
    <w:rsid w:val="00701659"/>
    <w:rsid w:val="00701671"/>
    <w:rsid w:val="007016A3"/>
    <w:rsid w:val="00701709"/>
    <w:rsid w:val="00701760"/>
    <w:rsid w:val="007017A7"/>
    <w:rsid w:val="007017DE"/>
    <w:rsid w:val="00701821"/>
    <w:rsid w:val="007018D8"/>
    <w:rsid w:val="007019BC"/>
    <w:rsid w:val="007019E2"/>
    <w:rsid w:val="00701A13"/>
    <w:rsid w:val="00701B40"/>
    <w:rsid w:val="00701BDC"/>
    <w:rsid w:val="00701BE6"/>
    <w:rsid w:val="00701C73"/>
    <w:rsid w:val="00701C8B"/>
    <w:rsid w:val="00701C8E"/>
    <w:rsid w:val="00701CF4"/>
    <w:rsid w:val="00701F7E"/>
    <w:rsid w:val="00701F84"/>
    <w:rsid w:val="00702021"/>
    <w:rsid w:val="00702035"/>
    <w:rsid w:val="0070205D"/>
    <w:rsid w:val="00702114"/>
    <w:rsid w:val="00702125"/>
    <w:rsid w:val="0070213A"/>
    <w:rsid w:val="00702159"/>
    <w:rsid w:val="007021B5"/>
    <w:rsid w:val="007021E8"/>
    <w:rsid w:val="00702233"/>
    <w:rsid w:val="00702238"/>
    <w:rsid w:val="007022BA"/>
    <w:rsid w:val="007022E6"/>
    <w:rsid w:val="00702367"/>
    <w:rsid w:val="00702393"/>
    <w:rsid w:val="00702551"/>
    <w:rsid w:val="0070260E"/>
    <w:rsid w:val="0070264D"/>
    <w:rsid w:val="007026B7"/>
    <w:rsid w:val="007026CA"/>
    <w:rsid w:val="00702727"/>
    <w:rsid w:val="007027C2"/>
    <w:rsid w:val="007027F0"/>
    <w:rsid w:val="007028A5"/>
    <w:rsid w:val="00702A01"/>
    <w:rsid w:val="00702A2A"/>
    <w:rsid w:val="00702AB9"/>
    <w:rsid w:val="00702C36"/>
    <w:rsid w:val="00702C7B"/>
    <w:rsid w:val="00702D65"/>
    <w:rsid w:val="00702DEE"/>
    <w:rsid w:val="00702EF9"/>
    <w:rsid w:val="0070305F"/>
    <w:rsid w:val="00703091"/>
    <w:rsid w:val="00703183"/>
    <w:rsid w:val="007031A9"/>
    <w:rsid w:val="00703278"/>
    <w:rsid w:val="0070337C"/>
    <w:rsid w:val="00703583"/>
    <w:rsid w:val="0070375D"/>
    <w:rsid w:val="007037A3"/>
    <w:rsid w:val="007037B3"/>
    <w:rsid w:val="00703804"/>
    <w:rsid w:val="00703911"/>
    <w:rsid w:val="007039E7"/>
    <w:rsid w:val="00703A4D"/>
    <w:rsid w:val="00703A58"/>
    <w:rsid w:val="00703A5C"/>
    <w:rsid w:val="00703AC6"/>
    <w:rsid w:val="00703B70"/>
    <w:rsid w:val="00703B99"/>
    <w:rsid w:val="00703BC1"/>
    <w:rsid w:val="00703BF5"/>
    <w:rsid w:val="00703BF6"/>
    <w:rsid w:val="00703C33"/>
    <w:rsid w:val="00703C56"/>
    <w:rsid w:val="00703CEE"/>
    <w:rsid w:val="00703D2F"/>
    <w:rsid w:val="00703D36"/>
    <w:rsid w:val="00703DEF"/>
    <w:rsid w:val="00703E0A"/>
    <w:rsid w:val="00703EA0"/>
    <w:rsid w:val="00703EBB"/>
    <w:rsid w:val="00703EBE"/>
    <w:rsid w:val="00703EC3"/>
    <w:rsid w:val="00703F12"/>
    <w:rsid w:val="00703FD7"/>
    <w:rsid w:val="0070402E"/>
    <w:rsid w:val="00704063"/>
    <w:rsid w:val="00704103"/>
    <w:rsid w:val="00704242"/>
    <w:rsid w:val="0070429E"/>
    <w:rsid w:val="007042A1"/>
    <w:rsid w:val="007042AC"/>
    <w:rsid w:val="00704344"/>
    <w:rsid w:val="00704403"/>
    <w:rsid w:val="007044C9"/>
    <w:rsid w:val="00704590"/>
    <w:rsid w:val="00704592"/>
    <w:rsid w:val="007045C6"/>
    <w:rsid w:val="00704796"/>
    <w:rsid w:val="007047CC"/>
    <w:rsid w:val="007048C0"/>
    <w:rsid w:val="007048C5"/>
    <w:rsid w:val="007048FD"/>
    <w:rsid w:val="00704932"/>
    <w:rsid w:val="007049AF"/>
    <w:rsid w:val="007049B4"/>
    <w:rsid w:val="007049CE"/>
    <w:rsid w:val="00704A1E"/>
    <w:rsid w:val="00704A4B"/>
    <w:rsid w:val="00704AF8"/>
    <w:rsid w:val="00704B2B"/>
    <w:rsid w:val="00704BF7"/>
    <w:rsid w:val="00704C31"/>
    <w:rsid w:val="00704E99"/>
    <w:rsid w:val="00704F08"/>
    <w:rsid w:val="00704F21"/>
    <w:rsid w:val="00704F5F"/>
    <w:rsid w:val="00704F7B"/>
    <w:rsid w:val="00704F80"/>
    <w:rsid w:val="00704FCC"/>
    <w:rsid w:val="00704FE4"/>
    <w:rsid w:val="00705044"/>
    <w:rsid w:val="00705126"/>
    <w:rsid w:val="007052C2"/>
    <w:rsid w:val="0070557A"/>
    <w:rsid w:val="00705627"/>
    <w:rsid w:val="0070565E"/>
    <w:rsid w:val="00705685"/>
    <w:rsid w:val="007056FA"/>
    <w:rsid w:val="007059D7"/>
    <w:rsid w:val="00705A98"/>
    <w:rsid w:val="00705ABA"/>
    <w:rsid w:val="00705B24"/>
    <w:rsid w:val="00705B7B"/>
    <w:rsid w:val="00705BA6"/>
    <w:rsid w:val="00705C15"/>
    <w:rsid w:val="00705C25"/>
    <w:rsid w:val="00705C69"/>
    <w:rsid w:val="00705CD0"/>
    <w:rsid w:val="00705CDB"/>
    <w:rsid w:val="00705D07"/>
    <w:rsid w:val="00705D73"/>
    <w:rsid w:val="00705DC9"/>
    <w:rsid w:val="00705DCB"/>
    <w:rsid w:val="00705DDE"/>
    <w:rsid w:val="00705E11"/>
    <w:rsid w:val="00705E99"/>
    <w:rsid w:val="00705EA9"/>
    <w:rsid w:val="00705EDB"/>
    <w:rsid w:val="00705EE2"/>
    <w:rsid w:val="00705FB0"/>
    <w:rsid w:val="00706017"/>
    <w:rsid w:val="0070601B"/>
    <w:rsid w:val="00706031"/>
    <w:rsid w:val="00706092"/>
    <w:rsid w:val="00706105"/>
    <w:rsid w:val="00706128"/>
    <w:rsid w:val="007061A1"/>
    <w:rsid w:val="007061E9"/>
    <w:rsid w:val="00706274"/>
    <w:rsid w:val="00706312"/>
    <w:rsid w:val="00706385"/>
    <w:rsid w:val="00706401"/>
    <w:rsid w:val="00706469"/>
    <w:rsid w:val="00706504"/>
    <w:rsid w:val="0070656B"/>
    <w:rsid w:val="007065AD"/>
    <w:rsid w:val="007065BF"/>
    <w:rsid w:val="007065C6"/>
    <w:rsid w:val="0070669C"/>
    <w:rsid w:val="007066A6"/>
    <w:rsid w:val="00706722"/>
    <w:rsid w:val="00706774"/>
    <w:rsid w:val="0070691F"/>
    <w:rsid w:val="00706961"/>
    <w:rsid w:val="00706A8A"/>
    <w:rsid w:val="00706A8D"/>
    <w:rsid w:val="00706AC0"/>
    <w:rsid w:val="00706B4B"/>
    <w:rsid w:val="00706CDC"/>
    <w:rsid w:val="00706D8B"/>
    <w:rsid w:val="00706DB9"/>
    <w:rsid w:val="00706E04"/>
    <w:rsid w:val="00706E8E"/>
    <w:rsid w:val="00706EF2"/>
    <w:rsid w:val="00706F5A"/>
    <w:rsid w:val="00706FEC"/>
    <w:rsid w:val="0070705C"/>
    <w:rsid w:val="007070E4"/>
    <w:rsid w:val="0070712D"/>
    <w:rsid w:val="0070720B"/>
    <w:rsid w:val="007072F4"/>
    <w:rsid w:val="007073D6"/>
    <w:rsid w:val="00707453"/>
    <w:rsid w:val="00707480"/>
    <w:rsid w:val="007074B8"/>
    <w:rsid w:val="0070750D"/>
    <w:rsid w:val="0070758B"/>
    <w:rsid w:val="007075EC"/>
    <w:rsid w:val="007076C8"/>
    <w:rsid w:val="00707773"/>
    <w:rsid w:val="007077BD"/>
    <w:rsid w:val="007078C4"/>
    <w:rsid w:val="00707911"/>
    <w:rsid w:val="00707A94"/>
    <w:rsid w:val="00707ABE"/>
    <w:rsid w:val="00707B2F"/>
    <w:rsid w:val="00707B35"/>
    <w:rsid w:val="00707BDD"/>
    <w:rsid w:val="00707D31"/>
    <w:rsid w:val="00707E1F"/>
    <w:rsid w:val="00707E85"/>
    <w:rsid w:val="0071000C"/>
    <w:rsid w:val="00710036"/>
    <w:rsid w:val="007100A5"/>
    <w:rsid w:val="007100E1"/>
    <w:rsid w:val="007100F1"/>
    <w:rsid w:val="0071010B"/>
    <w:rsid w:val="007101FD"/>
    <w:rsid w:val="00710208"/>
    <w:rsid w:val="007102A3"/>
    <w:rsid w:val="007103B7"/>
    <w:rsid w:val="00710423"/>
    <w:rsid w:val="0071047C"/>
    <w:rsid w:val="00710494"/>
    <w:rsid w:val="00710498"/>
    <w:rsid w:val="007104BE"/>
    <w:rsid w:val="00710603"/>
    <w:rsid w:val="00710686"/>
    <w:rsid w:val="0071077D"/>
    <w:rsid w:val="007108EA"/>
    <w:rsid w:val="0071096C"/>
    <w:rsid w:val="007109AF"/>
    <w:rsid w:val="007109C7"/>
    <w:rsid w:val="00710A5F"/>
    <w:rsid w:val="00710A71"/>
    <w:rsid w:val="00710AD3"/>
    <w:rsid w:val="00710B0F"/>
    <w:rsid w:val="00710B2F"/>
    <w:rsid w:val="00710CD7"/>
    <w:rsid w:val="00710CDA"/>
    <w:rsid w:val="00710CF2"/>
    <w:rsid w:val="00710D06"/>
    <w:rsid w:val="00710D82"/>
    <w:rsid w:val="00710D8E"/>
    <w:rsid w:val="00710EF4"/>
    <w:rsid w:val="00711016"/>
    <w:rsid w:val="00711022"/>
    <w:rsid w:val="0071105A"/>
    <w:rsid w:val="0071105C"/>
    <w:rsid w:val="00711101"/>
    <w:rsid w:val="00711226"/>
    <w:rsid w:val="007112C7"/>
    <w:rsid w:val="00711302"/>
    <w:rsid w:val="0071130D"/>
    <w:rsid w:val="00711313"/>
    <w:rsid w:val="0071133B"/>
    <w:rsid w:val="007113AC"/>
    <w:rsid w:val="007113B1"/>
    <w:rsid w:val="007113B9"/>
    <w:rsid w:val="007114BE"/>
    <w:rsid w:val="00711525"/>
    <w:rsid w:val="00711533"/>
    <w:rsid w:val="007115AA"/>
    <w:rsid w:val="007116CD"/>
    <w:rsid w:val="0071177C"/>
    <w:rsid w:val="00711806"/>
    <w:rsid w:val="00711814"/>
    <w:rsid w:val="0071183C"/>
    <w:rsid w:val="007118E3"/>
    <w:rsid w:val="00711A35"/>
    <w:rsid w:val="00711B0A"/>
    <w:rsid w:val="00711B37"/>
    <w:rsid w:val="00711B97"/>
    <w:rsid w:val="00711B9E"/>
    <w:rsid w:val="00711C18"/>
    <w:rsid w:val="00711C30"/>
    <w:rsid w:val="00711C39"/>
    <w:rsid w:val="00711CE2"/>
    <w:rsid w:val="00711E1C"/>
    <w:rsid w:val="00711E24"/>
    <w:rsid w:val="00711E63"/>
    <w:rsid w:val="00711E8B"/>
    <w:rsid w:val="00711E9E"/>
    <w:rsid w:val="00711F08"/>
    <w:rsid w:val="00711F62"/>
    <w:rsid w:val="00711F8A"/>
    <w:rsid w:val="00711FD7"/>
    <w:rsid w:val="007120CE"/>
    <w:rsid w:val="0071211E"/>
    <w:rsid w:val="0071213C"/>
    <w:rsid w:val="007121BF"/>
    <w:rsid w:val="0071220A"/>
    <w:rsid w:val="007123E5"/>
    <w:rsid w:val="00712427"/>
    <w:rsid w:val="007124EA"/>
    <w:rsid w:val="00712600"/>
    <w:rsid w:val="00712622"/>
    <w:rsid w:val="00712641"/>
    <w:rsid w:val="00712677"/>
    <w:rsid w:val="007126C0"/>
    <w:rsid w:val="007126E2"/>
    <w:rsid w:val="0071276B"/>
    <w:rsid w:val="00712777"/>
    <w:rsid w:val="007127A7"/>
    <w:rsid w:val="007127F7"/>
    <w:rsid w:val="007128F6"/>
    <w:rsid w:val="0071293A"/>
    <w:rsid w:val="0071293D"/>
    <w:rsid w:val="007129C8"/>
    <w:rsid w:val="007129D3"/>
    <w:rsid w:val="00712A6F"/>
    <w:rsid w:val="00712A97"/>
    <w:rsid w:val="00712B49"/>
    <w:rsid w:val="00712BBC"/>
    <w:rsid w:val="00712BCC"/>
    <w:rsid w:val="00712C75"/>
    <w:rsid w:val="00712DAB"/>
    <w:rsid w:val="00712DEB"/>
    <w:rsid w:val="00712E33"/>
    <w:rsid w:val="00712EFE"/>
    <w:rsid w:val="00712F94"/>
    <w:rsid w:val="00712FAF"/>
    <w:rsid w:val="007131F1"/>
    <w:rsid w:val="0071328F"/>
    <w:rsid w:val="00713351"/>
    <w:rsid w:val="007133C5"/>
    <w:rsid w:val="00713502"/>
    <w:rsid w:val="00713570"/>
    <w:rsid w:val="00713652"/>
    <w:rsid w:val="0071370E"/>
    <w:rsid w:val="0071374C"/>
    <w:rsid w:val="007137C8"/>
    <w:rsid w:val="00713807"/>
    <w:rsid w:val="0071380E"/>
    <w:rsid w:val="00713840"/>
    <w:rsid w:val="00713904"/>
    <w:rsid w:val="007139B8"/>
    <w:rsid w:val="007139C2"/>
    <w:rsid w:val="00713A1D"/>
    <w:rsid w:val="00713A33"/>
    <w:rsid w:val="00713A4C"/>
    <w:rsid w:val="00713A85"/>
    <w:rsid w:val="00713AA6"/>
    <w:rsid w:val="00713B22"/>
    <w:rsid w:val="00713B59"/>
    <w:rsid w:val="00713B87"/>
    <w:rsid w:val="00713C31"/>
    <w:rsid w:val="00713DDB"/>
    <w:rsid w:val="00713DED"/>
    <w:rsid w:val="00713EE7"/>
    <w:rsid w:val="00713F92"/>
    <w:rsid w:val="00713FA3"/>
    <w:rsid w:val="00713FE1"/>
    <w:rsid w:val="007140FA"/>
    <w:rsid w:val="00714180"/>
    <w:rsid w:val="0071419E"/>
    <w:rsid w:val="007141F4"/>
    <w:rsid w:val="007142EA"/>
    <w:rsid w:val="0071430A"/>
    <w:rsid w:val="00714386"/>
    <w:rsid w:val="007143C1"/>
    <w:rsid w:val="007144C3"/>
    <w:rsid w:val="0071450E"/>
    <w:rsid w:val="0071453B"/>
    <w:rsid w:val="00714611"/>
    <w:rsid w:val="0071463A"/>
    <w:rsid w:val="0071471E"/>
    <w:rsid w:val="00714788"/>
    <w:rsid w:val="0071489F"/>
    <w:rsid w:val="007148FF"/>
    <w:rsid w:val="00714986"/>
    <w:rsid w:val="007149B1"/>
    <w:rsid w:val="007149ED"/>
    <w:rsid w:val="00714A53"/>
    <w:rsid w:val="00714ABB"/>
    <w:rsid w:val="00714AF2"/>
    <w:rsid w:val="00714B19"/>
    <w:rsid w:val="00714BBD"/>
    <w:rsid w:val="00714C35"/>
    <w:rsid w:val="00714C37"/>
    <w:rsid w:val="00714C85"/>
    <w:rsid w:val="00714C9A"/>
    <w:rsid w:val="00714D4D"/>
    <w:rsid w:val="00714D66"/>
    <w:rsid w:val="00714D6F"/>
    <w:rsid w:val="00714D8A"/>
    <w:rsid w:val="00714E10"/>
    <w:rsid w:val="00714E34"/>
    <w:rsid w:val="00714E78"/>
    <w:rsid w:val="00714EF1"/>
    <w:rsid w:val="00714F7E"/>
    <w:rsid w:val="007150D9"/>
    <w:rsid w:val="00715154"/>
    <w:rsid w:val="007151BF"/>
    <w:rsid w:val="007151F6"/>
    <w:rsid w:val="007152C3"/>
    <w:rsid w:val="0071531A"/>
    <w:rsid w:val="00715358"/>
    <w:rsid w:val="00715371"/>
    <w:rsid w:val="0071539E"/>
    <w:rsid w:val="00715407"/>
    <w:rsid w:val="0071545F"/>
    <w:rsid w:val="007154EE"/>
    <w:rsid w:val="00715512"/>
    <w:rsid w:val="0071559A"/>
    <w:rsid w:val="00715659"/>
    <w:rsid w:val="0071566C"/>
    <w:rsid w:val="0071568C"/>
    <w:rsid w:val="00715697"/>
    <w:rsid w:val="0071577B"/>
    <w:rsid w:val="0071579B"/>
    <w:rsid w:val="00715862"/>
    <w:rsid w:val="00715872"/>
    <w:rsid w:val="007158A3"/>
    <w:rsid w:val="0071591E"/>
    <w:rsid w:val="0071599B"/>
    <w:rsid w:val="00715B64"/>
    <w:rsid w:val="00715BB7"/>
    <w:rsid w:val="00715BBA"/>
    <w:rsid w:val="00715C05"/>
    <w:rsid w:val="00715C6F"/>
    <w:rsid w:val="00715C93"/>
    <w:rsid w:val="00715D16"/>
    <w:rsid w:val="00715E04"/>
    <w:rsid w:val="00715EAC"/>
    <w:rsid w:val="00715EE8"/>
    <w:rsid w:val="00716069"/>
    <w:rsid w:val="007160A2"/>
    <w:rsid w:val="007161AA"/>
    <w:rsid w:val="007161FA"/>
    <w:rsid w:val="007162B7"/>
    <w:rsid w:val="007162E8"/>
    <w:rsid w:val="00716318"/>
    <w:rsid w:val="0071631E"/>
    <w:rsid w:val="00716322"/>
    <w:rsid w:val="007163CA"/>
    <w:rsid w:val="007163F2"/>
    <w:rsid w:val="00716495"/>
    <w:rsid w:val="007164EF"/>
    <w:rsid w:val="00716543"/>
    <w:rsid w:val="00716642"/>
    <w:rsid w:val="00716747"/>
    <w:rsid w:val="00716836"/>
    <w:rsid w:val="007168E7"/>
    <w:rsid w:val="0071694A"/>
    <w:rsid w:val="007169B7"/>
    <w:rsid w:val="00716A29"/>
    <w:rsid w:val="00716A67"/>
    <w:rsid w:val="00716B2A"/>
    <w:rsid w:val="00716BCD"/>
    <w:rsid w:val="00716C3D"/>
    <w:rsid w:val="00716D62"/>
    <w:rsid w:val="00716D76"/>
    <w:rsid w:val="00716DF1"/>
    <w:rsid w:val="00716F6F"/>
    <w:rsid w:val="0071706A"/>
    <w:rsid w:val="007170F0"/>
    <w:rsid w:val="007170F3"/>
    <w:rsid w:val="007170FF"/>
    <w:rsid w:val="0071710B"/>
    <w:rsid w:val="007171C7"/>
    <w:rsid w:val="00717322"/>
    <w:rsid w:val="00717401"/>
    <w:rsid w:val="00717537"/>
    <w:rsid w:val="00717615"/>
    <w:rsid w:val="00717623"/>
    <w:rsid w:val="0071764B"/>
    <w:rsid w:val="00717693"/>
    <w:rsid w:val="007176CE"/>
    <w:rsid w:val="0071772D"/>
    <w:rsid w:val="007177B9"/>
    <w:rsid w:val="00717827"/>
    <w:rsid w:val="00717976"/>
    <w:rsid w:val="007179FB"/>
    <w:rsid w:val="00717A4B"/>
    <w:rsid w:val="00717A5A"/>
    <w:rsid w:val="00717A73"/>
    <w:rsid w:val="00717B36"/>
    <w:rsid w:val="00717B3A"/>
    <w:rsid w:val="00717B66"/>
    <w:rsid w:val="00717C3A"/>
    <w:rsid w:val="00717C69"/>
    <w:rsid w:val="00717CCC"/>
    <w:rsid w:val="00717DFB"/>
    <w:rsid w:val="00717E0F"/>
    <w:rsid w:val="00717E79"/>
    <w:rsid w:val="00717F29"/>
    <w:rsid w:val="00717F35"/>
    <w:rsid w:val="00717F48"/>
    <w:rsid w:val="00717FDF"/>
    <w:rsid w:val="007200FB"/>
    <w:rsid w:val="00720170"/>
    <w:rsid w:val="007201A6"/>
    <w:rsid w:val="007201C9"/>
    <w:rsid w:val="00720201"/>
    <w:rsid w:val="0072030A"/>
    <w:rsid w:val="00720323"/>
    <w:rsid w:val="007203B0"/>
    <w:rsid w:val="007203FE"/>
    <w:rsid w:val="00720424"/>
    <w:rsid w:val="00720452"/>
    <w:rsid w:val="00720498"/>
    <w:rsid w:val="007204CC"/>
    <w:rsid w:val="007204D9"/>
    <w:rsid w:val="0072051F"/>
    <w:rsid w:val="00720524"/>
    <w:rsid w:val="00720549"/>
    <w:rsid w:val="00720610"/>
    <w:rsid w:val="00720653"/>
    <w:rsid w:val="00720686"/>
    <w:rsid w:val="007206BD"/>
    <w:rsid w:val="007206BF"/>
    <w:rsid w:val="007206E0"/>
    <w:rsid w:val="007206F0"/>
    <w:rsid w:val="00720802"/>
    <w:rsid w:val="007208D4"/>
    <w:rsid w:val="007208F9"/>
    <w:rsid w:val="00720A8A"/>
    <w:rsid w:val="00720AE4"/>
    <w:rsid w:val="00720BF9"/>
    <w:rsid w:val="00720D01"/>
    <w:rsid w:val="00720D75"/>
    <w:rsid w:val="00720DE7"/>
    <w:rsid w:val="00720F0E"/>
    <w:rsid w:val="00720F4F"/>
    <w:rsid w:val="00720FE6"/>
    <w:rsid w:val="0072103F"/>
    <w:rsid w:val="0072105D"/>
    <w:rsid w:val="00721089"/>
    <w:rsid w:val="00721095"/>
    <w:rsid w:val="00721194"/>
    <w:rsid w:val="007211B5"/>
    <w:rsid w:val="0072174F"/>
    <w:rsid w:val="0072179A"/>
    <w:rsid w:val="007217E4"/>
    <w:rsid w:val="00721812"/>
    <w:rsid w:val="00721836"/>
    <w:rsid w:val="007219F5"/>
    <w:rsid w:val="00721A89"/>
    <w:rsid w:val="00721ABC"/>
    <w:rsid w:val="00721ACB"/>
    <w:rsid w:val="00721AF1"/>
    <w:rsid w:val="00721B84"/>
    <w:rsid w:val="00721BFA"/>
    <w:rsid w:val="00721C17"/>
    <w:rsid w:val="00721D10"/>
    <w:rsid w:val="00721D21"/>
    <w:rsid w:val="00721E4D"/>
    <w:rsid w:val="00721E56"/>
    <w:rsid w:val="00721E76"/>
    <w:rsid w:val="00721EDF"/>
    <w:rsid w:val="00721F93"/>
    <w:rsid w:val="00721FA5"/>
    <w:rsid w:val="0072201E"/>
    <w:rsid w:val="007220B8"/>
    <w:rsid w:val="007220D4"/>
    <w:rsid w:val="007221B1"/>
    <w:rsid w:val="007221B8"/>
    <w:rsid w:val="00722336"/>
    <w:rsid w:val="00722407"/>
    <w:rsid w:val="00722408"/>
    <w:rsid w:val="00722483"/>
    <w:rsid w:val="007224A6"/>
    <w:rsid w:val="007224AB"/>
    <w:rsid w:val="00722569"/>
    <w:rsid w:val="007225A2"/>
    <w:rsid w:val="007226D9"/>
    <w:rsid w:val="00722716"/>
    <w:rsid w:val="00722740"/>
    <w:rsid w:val="007227B4"/>
    <w:rsid w:val="0072289E"/>
    <w:rsid w:val="00722989"/>
    <w:rsid w:val="00722A96"/>
    <w:rsid w:val="00722A9D"/>
    <w:rsid w:val="00722B41"/>
    <w:rsid w:val="00722B53"/>
    <w:rsid w:val="00722BDD"/>
    <w:rsid w:val="00722C51"/>
    <w:rsid w:val="00722CDF"/>
    <w:rsid w:val="00722D76"/>
    <w:rsid w:val="00722D89"/>
    <w:rsid w:val="00722DC8"/>
    <w:rsid w:val="00722DD2"/>
    <w:rsid w:val="00722DE1"/>
    <w:rsid w:val="00722E7D"/>
    <w:rsid w:val="00722F7E"/>
    <w:rsid w:val="0072306F"/>
    <w:rsid w:val="00723093"/>
    <w:rsid w:val="007230AE"/>
    <w:rsid w:val="007230F7"/>
    <w:rsid w:val="00723122"/>
    <w:rsid w:val="00723224"/>
    <w:rsid w:val="00723316"/>
    <w:rsid w:val="00723359"/>
    <w:rsid w:val="007233A7"/>
    <w:rsid w:val="0072356D"/>
    <w:rsid w:val="00723697"/>
    <w:rsid w:val="007236B6"/>
    <w:rsid w:val="007236C1"/>
    <w:rsid w:val="007237CA"/>
    <w:rsid w:val="007237EE"/>
    <w:rsid w:val="0072385A"/>
    <w:rsid w:val="007238A7"/>
    <w:rsid w:val="00723A3F"/>
    <w:rsid w:val="00723ADD"/>
    <w:rsid w:val="00723B25"/>
    <w:rsid w:val="00723B65"/>
    <w:rsid w:val="00723BFA"/>
    <w:rsid w:val="00723BFD"/>
    <w:rsid w:val="00723D23"/>
    <w:rsid w:val="00723E31"/>
    <w:rsid w:val="00723E49"/>
    <w:rsid w:val="00723E5E"/>
    <w:rsid w:val="00723E6B"/>
    <w:rsid w:val="00723EF2"/>
    <w:rsid w:val="00723EF4"/>
    <w:rsid w:val="00723F37"/>
    <w:rsid w:val="00723FDC"/>
    <w:rsid w:val="00724171"/>
    <w:rsid w:val="0072417E"/>
    <w:rsid w:val="0072426A"/>
    <w:rsid w:val="007242AD"/>
    <w:rsid w:val="00724330"/>
    <w:rsid w:val="00724368"/>
    <w:rsid w:val="00724391"/>
    <w:rsid w:val="007243C9"/>
    <w:rsid w:val="00724458"/>
    <w:rsid w:val="007245D4"/>
    <w:rsid w:val="00724680"/>
    <w:rsid w:val="00724694"/>
    <w:rsid w:val="007246F6"/>
    <w:rsid w:val="007247DA"/>
    <w:rsid w:val="007247E7"/>
    <w:rsid w:val="0072486A"/>
    <w:rsid w:val="007248C3"/>
    <w:rsid w:val="00724916"/>
    <w:rsid w:val="00724980"/>
    <w:rsid w:val="00724ADF"/>
    <w:rsid w:val="00724AEE"/>
    <w:rsid w:val="00724B83"/>
    <w:rsid w:val="00724D42"/>
    <w:rsid w:val="00724D77"/>
    <w:rsid w:val="00724F4D"/>
    <w:rsid w:val="00725061"/>
    <w:rsid w:val="00725084"/>
    <w:rsid w:val="007250A8"/>
    <w:rsid w:val="007250AC"/>
    <w:rsid w:val="0072514B"/>
    <w:rsid w:val="00725192"/>
    <w:rsid w:val="0072540A"/>
    <w:rsid w:val="0072544F"/>
    <w:rsid w:val="007255B1"/>
    <w:rsid w:val="00725611"/>
    <w:rsid w:val="0072577B"/>
    <w:rsid w:val="007257C7"/>
    <w:rsid w:val="007257E5"/>
    <w:rsid w:val="0072581B"/>
    <w:rsid w:val="0072585F"/>
    <w:rsid w:val="00725922"/>
    <w:rsid w:val="0072595E"/>
    <w:rsid w:val="00725A49"/>
    <w:rsid w:val="00725B07"/>
    <w:rsid w:val="00725B65"/>
    <w:rsid w:val="00725C32"/>
    <w:rsid w:val="00725C8E"/>
    <w:rsid w:val="00725C96"/>
    <w:rsid w:val="00725D15"/>
    <w:rsid w:val="00725D20"/>
    <w:rsid w:val="00725D89"/>
    <w:rsid w:val="00725EBD"/>
    <w:rsid w:val="00725F6B"/>
    <w:rsid w:val="00725F93"/>
    <w:rsid w:val="0072602C"/>
    <w:rsid w:val="0072603E"/>
    <w:rsid w:val="00726195"/>
    <w:rsid w:val="0072623E"/>
    <w:rsid w:val="00726285"/>
    <w:rsid w:val="0072628A"/>
    <w:rsid w:val="007262C9"/>
    <w:rsid w:val="007262F1"/>
    <w:rsid w:val="0072635B"/>
    <w:rsid w:val="00726395"/>
    <w:rsid w:val="007263AF"/>
    <w:rsid w:val="00726449"/>
    <w:rsid w:val="0072652B"/>
    <w:rsid w:val="007265BD"/>
    <w:rsid w:val="00726656"/>
    <w:rsid w:val="0072668D"/>
    <w:rsid w:val="007266E5"/>
    <w:rsid w:val="00726751"/>
    <w:rsid w:val="0072680D"/>
    <w:rsid w:val="00726818"/>
    <w:rsid w:val="0072686A"/>
    <w:rsid w:val="007268E7"/>
    <w:rsid w:val="00726A70"/>
    <w:rsid w:val="00726ACD"/>
    <w:rsid w:val="00726C65"/>
    <w:rsid w:val="00726C76"/>
    <w:rsid w:val="00726CF6"/>
    <w:rsid w:val="00726D8D"/>
    <w:rsid w:val="00726DD9"/>
    <w:rsid w:val="00726EFF"/>
    <w:rsid w:val="00726FE0"/>
    <w:rsid w:val="00726FE5"/>
    <w:rsid w:val="00727155"/>
    <w:rsid w:val="007271BF"/>
    <w:rsid w:val="00727263"/>
    <w:rsid w:val="00727331"/>
    <w:rsid w:val="00727566"/>
    <w:rsid w:val="007275CD"/>
    <w:rsid w:val="007275E3"/>
    <w:rsid w:val="00727657"/>
    <w:rsid w:val="00727721"/>
    <w:rsid w:val="007277A6"/>
    <w:rsid w:val="007277C9"/>
    <w:rsid w:val="0072786C"/>
    <w:rsid w:val="00727887"/>
    <w:rsid w:val="007278A5"/>
    <w:rsid w:val="007278EE"/>
    <w:rsid w:val="00727957"/>
    <w:rsid w:val="007279A2"/>
    <w:rsid w:val="007279BA"/>
    <w:rsid w:val="00727AB1"/>
    <w:rsid w:val="00727B48"/>
    <w:rsid w:val="00727CA0"/>
    <w:rsid w:val="00727CC2"/>
    <w:rsid w:val="00727CCC"/>
    <w:rsid w:val="00727E70"/>
    <w:rsid w:val="00727EB5"/>
    <w:rsid w:val="00727EFA"/>
    <w:rsid w:val="00727F4E"/>
    <w:rsid w:val="00727FD0"/>
    <w:rsid w:val="007301AF"/>
    <w:rsid w:val="007301DD"/>
    <w:rsid w:val="007303AC"/>
    <w:rsid w:val="007303B3"/>
    <w:rsid w:val="007303D7"/>
    <w:rsid w:val="0073067B"/>
    <w:rsid w:val="00730711"/>
    <w:rsid w:val="00730715"/>
    <w:rsid w:val="007307BF"/>
    <w:rsid w:val="00730843"/>
    <w:rsid w:val="007308F0"/>
    <w:rsid w:val="00730924"/>
    <w:rsid w:val="00730948"/>
    <w:rsid w:val="0073094A"/>
    <w:rsid w:val="00730A2A"/>
    <w:rsid w:val="00730B73"/>
    <w:rsid w:val="00730B87"/>
    <w:rsid w:val="00730C23"/>
    <w:rsid w:val="00730C4C"/>
    <w:rsid w:val="00730C61"/>
    <w:rsid w:val="00730D2E"/>
    <w:rsid w:val="00730E4E"/>
    <w:rsid w:val="00730E61"/>
    <w:rsid w:val="00730ED9"/>
    <w:rsid w:val="00730EE8"/>
    <w:rsid w:val="00731036"/>
    <w:rsid w:val="007310E3"/>
    <w:rsid w:val="00731123"/>
    <w:rsid w:val="00731153"/>
    <w:rsid w:val="007311F4"/>
    <w:rsid w:val="00731207"/>
    <w:rsid w:val="007312BB"/>
    <w:rsid w:val="0073131D"/>
    <w:rsid w:val="00731334"/>
    <w:rsid w:val="00731463"/>
    <w:rsid w:val="0073148A"/>
    <w:rsid w:val="0073158D"/>
    <w:rsid w:val="00731596"/>
    <w:rsid w:val="007315B1"/>
    <w:rsid w:val="007315B4"/>
    <w:rsid w:val="007315D5"/>
    <w:rsid w:val="00731630"/>
    <w:rsid w:val="0073169A"/>
    <w:rsid w:val="00731897"/>
    <w:rsid w:val="007318F8"/>
    <w:rsid w:val="0073192B"/>
    <w:rsid w:val="0073193A"/>
    <w:rsid w:val="00731994"/>
    <w:rsid w:val="00731A41"/>
    <w:rsid w:val="00731B9A"/>
    <w:rsid w:val="00731C73"/>
    <w:rsid w:val="00731D76"/>
    <w:rsid w:val="00731EF1"/>
    <w:rsid w:val="00731F0A"/>
    <w:rsid w:val="00731F36"/>
    <w:rsid w:val="00731F83"/>
    <w:rsid w:val="00732026"/>
    <w:rsid w:val="0073209A"/>
    <w:rsid w:val="0073218B"/>
    <w:rsid w:val="00732221"/>
    <w:rsid w:val="0073223F"/>
    <w:rsid w:val="0073226E"/>
    <w:rsid w:val="007322D8"/>
    <w:rsid w:val="007323C9"/>
    <w:rsid w:val="0073244B"/>
    <w:rsid w:val="007324DB"/>
    <w:rsid w:val="0073258A"/>
    <w:rsid w:val="0073259E"/>
    <w:rsid w:val="007325C5"/>
    <w:rsid w:val="007325CD"/>
    <w:rsid w:val="00732603"/>
    <w:rsid w:val="00732616"/>
    <w:rsid w:val="0073268D"/>
    <w:rsid w:val="007326B3"/>
    <w:rsid w:val="0073279A"/>
    <w:rsid w:val="007327F7"/>
    <w:rsid w:val="007327FF"/>
    <w:rsid w:val="00732820"/>
    <w:rsid w:val="0073287F"/>
    <w:rsid w:val="0073289D"/>
    <w:rsid w:val="007328E5"/>
    <w:rsid w:val="007329AD"/>
    <w:rsid w:val="00732AAB"/>
    <w:rsid w:val="00732AC4"/>
    <w:rsid w:val="00732B6C"/>
    <w:rsid w:val="00732B88"/>
    <w:rsid w:val="00732B8F"/>
    <w:rsid w:val="00732C1B"/>
    <w:rsid w:val="00732C72"/>
    <w:rsid w:val="00732C87"/>
    <w:rsid w:val="00732DEA"/>
    <w:rsid w:val="00732E26"/>
    <w:rsid w:val="00732E2A"/>
    <w:rsid w:val="00732E55"/>
    <w:rsid w:val="00732E86"/>
    <w:rsid w:val="00732EB5"/>
    <w:rsid w:val="00732FB2"/>
    <w:rsid w:val="00732FC6"/>
    <w:rsid w:val="00732FEF"/>
    <w:rsid w:val="0073302C"/>
    <w:rsid w:val="007330E2"/>
    <w:rsid w:val="00733173"/>
    <w:rsid w:val="0073318E"/>
    <w:rsid w:val="00733224"/>
    <w:rsid w:val="00733325"/>
    <w:rsid w:val="00733326"/>
    <w:rsid w:val="00733398"/>
    <w:rsid w:val="0073339E"/>
    <w:rsid w:val="007333EF"/>
    <w:rsid w:val="007334CD"/>
    <w:rsid w:val="0073361A"/>
    <w:rsid w:val="00733685"/>
    <w:rsid w:val="007336D1"/>
    <w:rsid w:val="00733700"/>
    <w:rsid w:val="007337CC"/>
    <w:rsid w:val="007338A0"/>
    <w:rsid w:val="00733949"/>
    <w:rsid w:val="0073398E"/>
    <w:rsid w:val="007339F1"/>
    <w:rsid w:val="00733AB8"/>
    <w:rsid w:val="00733B0E"/>
    <w:rsid w:val="00733B30"/>
    <w:rsid w:val="00733B71"/>
    <w:rsid w:val="00733B83"/>
    <w:rsid w:val="00733D0E"/>
    <w:rsid w:val="00733E3A"/>
    <w:rsid w:val="00733F8A"/>
    <w:rsid w:val="0073400B"/>
    <w:rsid w:val="00734026"/>
    <w:rsid w:val="0073404E"/>
    <w:rsid w:val="00734057"/>
    <w:rsid w:val="0073406C"/>
    <w:rsid w:val="00734095"/>
    <w:rsid w:val="00734150"/>
    <w:rsid w:val="00734171"/>
    <w:rsid w:val="007341BE"/>
    <w:rsid w:val="007341F4"/>
    <w:rsid w:val="00734220"/>
    <w:rsid w:val="007342C2"/>
    <w:rsid w:val="0073447B"/>
    <w:rsid w:val="007344AF"/>
    <w:rsid w:val="007344FA"/>
    <w:rsid w:val="0073450E"/>
    <w:rsid w:val="007346EA"/>
    <w:rsid w:val="007346F2"/>
    <w:rsid w:val="007347FF"/>
    <w:rsid w:val="00734823"/>
    <w:rsid w:val="0073482A"/>
    <w:rsid w:val="00734853"/>
    <w:rsid w:val="0073485F"/>
    <w:rsid w:val="00734862"/>
    <w:rsid w:val="0073489A"/>
    <w:rsid w:val="007348D9"/>
    <w:rsid w:val="0073490F"/>
    <w:rsid w:val="00734944"/>
    <w:rsid w:val="00734972"/>
    <w:rsid w:val="00734984"/>
    <w:rsid w:val="00734996"/>
    <w:rsid w:val="00734A78"/>
    <w:rsid w:val="00734B2D"/>
    <w:rsid w:val="00734B49"/>
    <w:rsid w:val="00734BB5"/>
    <w:rsid w:val="00734D3A"/>
    <w:rsid w:val="00734DDA"/>
    <w:rsid w:val="00734E8E"/>
    <w:rsid w:val="00734FA2"/>
    <w:rsid w:val="0073514C"/>
    <w:rsid w:val="00735167"/>
    <w:rsid w:val="00735199"/>
    <w:rsid w:val="007351BF"/>
    <w:rsid w:val="00735313"/>
    <w:rsid w:val="00735351"/>
    <w:rsid w:val="007353F8"/>
    <w:rsid w:val="007354A6"/>
    <w:rsid w:val="007354F7"/>
    <w:rsid w:val="007355D2"/>
    <w:rsid w:val="00735658"/>
    <w:rsid w:val="0073570C"/>
    <w:rsid w:val="0073573B"/>
    <w:rsid w:val="00735793"/>
    <w:rsid w:val="007357B8"/>
    <w:rsid w:val="0073585E"/>
    <w:rsid w:val="00735884"/>
    <w:rsid w:val="00735958"/>
    <w:rsid w:val="0073596E"/>
    <w:rsid w:val="007359B2"/>
    <w:rsid w:val="007359B3"/>
    <w:rsid w:val="007359CE"/>
    <w:rsid w:val="007359E2"/>
    <w:rsid w:val="00735A27"/>
    <w:rsid w:val="00735B68"/>
    <w:rsid w:val="00735BAB"/>
    <w:rsid w:val="00735BC8"/>
    <w:rsid w:val="00735BFC"/>
    <w:rsid w:val="00735CD3"/>
    <w:rsid w:val="00735D10"/>
    <w:rsid w:val="00735D30"/>
    <w:rsid w:val="00735DE1"/>
    <w:rsid w:val="00735EDA"/>
    <w:rsid w:val="00735EE0"/>
    <w:rsid w:val="00735FFB"/>
    <w:rsid w:val="00736079"/>
    <w:rsid w:val="007360DE"/>
    <w:rsid w:val="00736262"/>
    <w:rsid w:val="00736276"/>
    <w:rsid w:val="007362C9"/>
    <w:rsid w:val="00736301"/>
    <w:rsid w:val="007364B4"/>
    <w:rsid w:val="007364CB"/>
    <w:rsid w:val="00736536"/>
    <w:rsid w:val="00736599"/>
    <w:rsid w:val="00736687"/>
    <w:rsid w:val="007366F1"/>
    <w:rsid w:val="0073674A"/>
    <w:rsid w:val="00736766"/>
    <w:rsid w:val="007367F8"/>
    <w:rsid w:val="00736869"/>
    <w:rsid w:val="007368E1"/>
    <w:rsid w:val="00736912"/>
    <w:rsid w:val="0073695E"/>
    <w:rsid w:val="0073697B"/>
    <w:rsid w:val="00736A6C"/>
    <w:rsid w:val="00736A87"/>
    <w:rsid w:val="00736B85"/>
    <w:rsid w:val="00736C56"/>
    <w:rsid w:val="00736C72"/>
    <w:rsid w:val="00736CCA"/>
    <w:rsid w:val="00736D3D"/>
    <w:rsid w:val="00736D60"/>
    <w:rsid w:val="00736D85"/>
    <w:rsid w:val="00736DB3"/>
    <w:rsid w:val="00736DC1"/>
    <w:rsid w:val="00736E82"/>
    <w:rsid w:val="00736EAD"/>
    <w:rsid w:val="00736F25"/>
    <w:rsid w:val="00736F68"/>
    <w:rsid w:val="0073709B"/>
    <w:rsid w:val="00737112"/>
    <w:rsid w:val="0073711A"/>
    <w:rsid w:val="0073723B"/>
    <w:rsid w:val="007374DE"/>
    <w:rsid w:val="007375BC"/>
    <w:rsid w:val="0073761E"/>
    <w:rsid w:val="0073765B"/>
    <w:rsid w:val="00737746"/>
    <w:rsid w:val="0073774E"/>
    <w:rsid w:val="00737771"/>
    <w:rsid w:val="00737896"/>
    <w:rsid w:val="007378C9"/>
    <w:rsid w:val="00737908"/>
    <w:rsid w:val="00737A7D"/>
    <w:rsid w:val="00737AAD"/>
    <w:rsid w:val="00737AF6"/>
    <w:rsid w:val="00737BEE"/>
    <w:rsid w:val="00737C3C"/>
    <w:rsid w:val="00737D20"/>
    <w:rsid w:val="00737D39"/>
    <w:rsid w:val="00737DB3"/>
    <w:rsid w:val="00737E45"/>
    <w:rsid w:val="00737E68"/>
    <w:rsid w:val="00737EAA"/>
    <w:rsid w:val="00737FDA"/>
    <w:rsid w:val="0074010F"/>
    <w:rsid w:val="00740137"/>
    <w:rsid w:val="00740185"/>
    <w:rsid w:val="007401AB"/>
    <w:rsid w:val="007401CE"/>
    <w:rsid w:val="00740221"/>
    <w:rsid w:val="0074025F"/>
    <w:rsid w:val="00740295"/>
    <w:rsid w:val="0074035E"/>
    <w:rsid w:val="007404B8"/>
    <w:rsid w:val="007404D0"/>
    <w:rsid w:val="00740507"/>
    <w:rsid w:val="00740522"/>
    <w:rsid w:val="0074055E"/>
    <w:rsid w:val="0074056A"/>
    <w:rsid w:val="0074058A"/>
    <w:rsid w:val="00740599"/>
    <w:rsid w:val="00740667"/>
    <w:rsid w:val="007406A3"/>
    <w:rsid w:val="007406C0"/>
    <w:rsid w:val="00740790"/>
    <w:rsid w:val="00740900"/>
    <w:rsid w:val="00740922"/>
    <w:rsid w:val="00740951"/>
    <w:rsid w:val="00740981"/>
    <w:rsid w:val="00740997"/>
    <w:rsid w:val="007409F8"/>
    <w:rsid w:val="007409FE"/>
    <w:rsid w:val="00740A6C"/>
    <w:rsid w:val="00740B0B"/>
    <w:rsid w:val="00740B22"/>
    <w:rsid w:val="00740BA0"/>
    <w:rsid w:val="00740BB1"/>
    <w:rsid w:val="00740BB9"/>
    <w:rsid w:val="00740BC9"/>
    <w:rsid w:val="00740C80"/>
    <w:rsid w:val="00740C91"/>
    <w:rsid w:val="00740D3E"/>
    <w:rsid w:val="00740D62"/>
    <w:rsid w:val="00740D7A"/>
    <w:rsid w:val="00740DD9"/>
    <w:rsid w:val="00740DF7"/>
    <w:rsid w:val="00740E91"/>
    <w:rsid w:val="00740EDA"/>
    <w:rsid w:val="00740EE3"/>
    <w:rsid w:val="00740F30"/>
    <w:rsid w:val="00740F8B"/>
    <w:rsid w:val="00740F90"/>
    <w:rsid w:val="00740FD8"/>
    <w:rsid w:val="00741070"/>
    <w:rsid w:val="00741099"/>
    <w:rsid w:val="007412BB"/>
    <w:rsid w:val="007412DA"/>
    <w:rsid w:val="00741342"/>
    <w:rsid w:val="00741395"/>
    <w:rsid w:val="007413E3"/>
    <w:rsid w:val="007414B7"/>
    <w:rsid w:val="007414C5"/>
    <w:rsid w:val="007414D5"/>
    <w:rsid w:val="007414D8"/>
    <w:rsid w:val="00741525"/>
    <w:rsid w:val="0074153E"/>
    <w:rsid w:val="007415AD"/>
    <w:rsid w:val="007415AF"/>
    <w:rsid w:val="007415FA"/>
    <w:rsid w:val="00741848"/>
    <w:rsid w:val="007418B3"/>
    <w:rsid w:val="007418B7"/>
    <w:rsid w:val="00741947"/>
    <w:rsid w:val="00741A07"/>
    <w:rsid w:val="00741A17"/>
    <w:rsid w:val="00741A2B"/>
    <w:rsid w:val="00741A39"/>
    <w:rsid w:val="00741A4E"/>
    <w:rsid w:val="00741D17"/>
    <w:rsid w:val="00741D1F"/>
    <w:rsid w:val="00741D64"/>
    <w:rsid w:val="00741F36"/>
    <w:rsid w:val="00741F6C"/>
    <w:rsid w:val="007420B9"/>
    <w:rsid w:val="007420BB"/>
    <w:rsid w:val="0074214B"/>
    <w:rsid w:val="0074219E"/>
    <w:rsid w:val="007422AA"/>
    <w:rsid w:val="007422E1"/>
    <w:rsid w:val="00742366"/>
    <w:rsid w:val="00742369"/>
    <w:rsid w:val="0074243E"/>
    <w:rsid w:val="007424C2"/>
    <w:rsid w:val="007424D0"/>
    <w:rsid w:val="007424D8"/>
    <w:rsid w:val="007424F0"/>
    <w:rsid w:val="0074251A"/>
    <w:rsid w:val="0074253D"/>
    <w:rsid w:val="00742590"/>
    <w:rsid w:val="0074260E"/>
    <w:rsid w:val="007426A5"/>
    <w:rsid w:val="007426F3"/>
    <w:rsid w:val="007426FF"/>
    <w:rsid w:val="00742764"/>
    <w:rsid w:val="0074282A"/>
    <w:rsid w:val="00742871"/>
    <w:rsid w:val="00742A2B"/>
    <w:rsid w:val="00742AD3"/>
    <w:rsid w:val="00742AE3"/>
    <w:rsid w:val="00742BE4"/>
    <w:rsid w:val="00742CE3"/>
    <w:rsid w:val="00742D28"/>
    <w:rsid w:val="00742DB3"/>
    <w:rsid w:val="00742F55"/>
    <w:rsid w:val="00742F57"/>
    <w:rsid w:val="00743071"/>
    <w:rsid w:val="0074308F"/>
    <w:rsid w:val="00743187"/>
    <w:rsid w:val="007432E1"/>
    <w:rsid w:val="00743320"/>
    <w:rsid w:val="007433E2"/>
    <w:rsid w:val="007433E5"/>
    <w:rsid w:val="0074347D"/>
    <w:rsid w:val="00743535"/>
    <w:rsid w:val="00743563"/>
    <w:rsid w:val="007435EA"/>
    <w:rsid w:val="00743625"/>
    <w:rsid w:val="0074365E"/>
    <w:rsid w:val="007436B8"/>
    <w:rsid w:val="007436D6"/>
    <w:rsid w:val="007436EE"/>
    <w:rsid w:val="0074370E"/>
    <w:rsid w:val="00743786"/>
    <w:rsid w:val="00743798"/>
    <w:rsid w:val="007437A9"/>
    <w:rsid w:val="007437E2"/>
    <w:rsid w:val="007438B0"/>
    <w:rsid w:val="007438F4"/>
    <w:rsid w:val="0074391E"/>
    <w:rsid w:val="00743934"/>
    <w:rsid w:val="00743A73"/>
    <w:rsid w:val="00743B1B"/>
    <w:rsid w:val="00743B66"/>
    <w:rsid w:val="00743C49"/>
    <w:rsid w:val="00743C74"/>
    <w:rsid w:val="00743E94"/>
    <w:rsid w:val="00743ED9"/>
    <w:rsid w:val="00743F71"/>
    <w:rsid w:val="00744046"/>
    <w:rsid w:val="007440CE"/>
    <w:rsid w:val="007440D4"/>
    <w:rsid w:val="00744361"/>
    <w:rsid w:val="007443D5"/>
    <w:rsid w:val="00744484"/>
    <w:rsid w:val="007444D4"/>
    <w:rsid w:val="0074459B"/>
    <w:rsid w:val="007445FC"/>
    <w:rsid w:val="007446AD"/>
    <w:rsid w:val="00744771"/>
    <w:rsid w:val="00744802"/>
    <w:rsid w:val="00744810"/>
    <w:rsid w:val="0074490F"/>
    <w:rsid w:val="0074494E"/>
    <w:rsid w:val="00744986"/>
    <w:rsid w:val="00744A18"/>
    <w:rsid w:val="00744A3D"/>
    <w:rsid w:val="00744AD0"/>
    <w:rsid w:val="00744B04"/>
    <w:rsid w:val="00744BC2"/>
    <w:rsid w:val="00744BC4"/>
    <w:rsid w:val="00744BDA"/>
    <w:rsid w:val="00744C50"/>
    <w:rsid w:val="00744D86"/>
    <w:rsid w:val="00744DE5"/>
    <w:rsid w:val="00744F73"/>
    <w:rsid w:val="00744FF0"/>
    <w:rsid w:val="00745005"/>
    <w:rsid w:val="00745078"/>
    <w:rsid w:val="007450C1"/>
    <w:rsid w:val="007450E8"/>
    <w:rsid w:val="0074525C"/>
    <w:rsid w:val="007452E9"/>
    <w:rsid w:val="00745307"/>
    <w:rsid w:val="0074535E"/>
    <w:rsid w:val="00745414"/>
    <w:rsid w:val="0074543A"/>
    <w:rsid w:val="0074547E"/>
    <w:rsid w:val="007454E7"/>
    <w:rsid w:val="00745530"/>
    <w:rsid w:val="007455AE"/>
    <w:rsid w:val="0074560F"/>
    <w:rsid w:val="0074563C"/>
    <w:rsid w:val="00745687"/>
    <w:rsid w:val="007456BA"/>
    <w:rsid w:val="007456D4"/>
    <w:rsid w:val="007456DE"/>
    <w:rsid w:val="00745734"/>
    <w:rsid w:val="0074587F"/>
    <w:rsid w:val="007458E3"/>
    <w:rsid w:val="00745901"/>
    <w:rsid w:val="00745981"/>
    <w:rsid w:val="007459BC"/>
    <w:rsid w:val="007459D1"/>
    <w:rsid w:val="00745A18"/>
    <w:rsid w:val="00745AB5"/>
    <w:rsid w:val="00745AF2"/>
    <w:rsid w:val="00745B20"/>
    <w:rsid w:val="00745BBE"/>
    <w:rsid w:val="00745BC3"/>
    <w:rsid w:val="00745C3B"/>
    <w:rsid w:val="00745CCC"/>
    <w:rsid w:val="00745CE0"/>
    <w:rsid w:val="00745CF8"/>
    <w:rsid w:val="00745CFC"/>
    <w:rsid w:val="00746039"/>
    <w:rsid w:val="00746124"/>
    <w:rsid w:val="00746368"/>
    <w:rsid w:val="00746389"/>
    <w:rsid w:val="007463F4"/>
    <w:rsid w:val="00746407"/>
    <w:rsid w:val="0074640F"/>
    <w:rsid w:val="00746473"/>
    <w:rsid w:val="007464B8"/>
    <w:rsid w:val="007464C9"/>
    <w:rsid w:val="00746551"/>
    <w:rsid w:val="0074660A"/>
    <w:rsid w:val="00746655"/>
    <w:rsid w:val="007466BD"/>
    <w:rsid w:val="0074677F"/>
    <w:rsid w:val="0074681D"/>
    <w:rsid w:val="007468F8"/>
    <w:rsid w:val="007469D9"/>
    <w:rsid w:val="007469E6"/>
    <w:rsid w:val="00746A8A"/>
    <w:rsid w:val="00746B0F"/>
    <w:rsid w:val="00746CBB"/>
    <w:rsid w:val="00746D23"/>
    <w:rsid w:val="00746D96"/>
    <w:rsid w:val="00746E1F"/>
    <w:rsid w:val="00746FA6"/>
    <w:rsid w:val="00746FDF"/>
    <w:rsid w:val="00746FF9"/>
    <w:rsid w:val="00747026"/>
    <w:rsid w:val="007470A6"/>
    <w:rsid w:val="0074710D"/>
    <w:rsid w:val="0074712B"/>
    <w:rsid w:val="007471EB"/>
    <w:rsid w:val="0074720C"/>
    <w:rsid w:val="00747224"/>
    <w:rsid w:val="00747232"/>
    <w:rsid w:val="0074736D"/>
    <w:rsid w:val="00747377"/>
    <w:rsid w:val="00747416"/>
    <w:rsid w:val="00747434"/>
    <w:rsid w:val="0074743D"/>
    <w:rsid w:val="0074745C"/>
    <w:rsid w:val="00747652"/>
    <w:rsid w:val="00747686"/>
    <w:rsid w:val="007476C5"/>
    <w:rsid w:val="00747719"/>
    <w:rsid w:val="007477CA"/>
    <w:rsid w:val="00747818"/>
    <w:rsid w:val="007478A5"/>
    <w:rsid w:val="007479CB"/>
    <w:rsid w:val="00747A33"/>
    <w:rsid w:val="00747A64"/>
    <w:rsid w:val="00747AF6"/>
    <w:rsid w:val="00747BBA"/>
    <w:rsid w:val="00747CB2"/>
    <w:rsid w:val="00747DC3"/>
    <w:rsid w:val="00747DDB"/>
    <w:rsid w:val="00747E00"/>
    <w:rsid w:val="00747E25"/>
    <w:rsid w:val="00747E50"/>
    <w:rsid w:val="00747E7C"/>
    <w:rsid w:val="00747EC2"/>
    <w:rsid w:val="00747F03"/>
    <w:rsid w:val="00747F8B"/>
    <w:rsid w:val="00747FC1"/>
    <w:rsid w:val="00747FE0"/>
    <w:rsid w:val="00750105"/>
    <w:rsid w:val="0075013D"/>
    <w:rsid w:val="00750150"/>
    <w:rsid w:val="007501B3"/>
    <w:rsid w:val="007502CE"/>
    <w:rsid w:val="00750371"/>
    <w:rsid w:val="00750372"/>
    <w:rsid w:val="00750386"/>
    <w:rsid w:val="007503C1"/>
    <w:rsid w:val="00750436"/>
    <w:rsid w:val="007504B4"/>
    <w:rsid w:val="007504EB"/>
    <w:rsid w:val="0075051D"/>
    <w:rsid w:val="0075053E"/>
    <w:rsid w:val="0075061D"/>
    <w:rsid w:val="00750655"/>
    <w:rsid w:val="007508DC"/>
    <w:rsid w:val="0075090F"/>
    <w:rsid w:val="007509DD"/>
    <w:rsid w:val="00750A1A"/>
    <w:rsid w:val="00750A1F"/>
    <w:rsid w:val="00750A90"/>
    <w:rsid w:val="00750B19"/>
    <w:rsid w:val="00750B59"/>
    <w:rsid w:val="00750BE5"/>
    <w:rsid w:val="00750BE7"/>
    <w:rsid w:val="00750CF1"/>
    <w:rsid w:val="00750DD2"/>
    <w:rsid w:val="00750E05"/>
    <w:rsid w:val="00750EAC"/>
    <w:rsid w:val="007510C1"/>
    <w:rsid w:val="007510F5"/>
    <w:rsid w:val="007511AD"/>
    <w:rsid w:val="00751278"/>
    <w:rsid w:val="007512D9"/>
    <w:rsid w:val="007512E4"/>
    <w:rsid w:val="0075132C"/>
    <w:rsid w:val="00751455"/>
    <w:rsid w:val="007514D1"/>
    <w:rsid w:val="00751532"/>
    <w:rsid w:val="00751597"/>
    <w:rsid w:val="00751602"/>
    <w:rsid w:val="0075166B"/>
    <w:rsid w:val="007516A0"/>
    <w:rsid w:val="007516A9"/>
    <w:rsid w:val="007517AC"/>
    <w:rsid w:val="007517B3"/>
    <w:rsid w:val="007517C4"/>
    <w:rsid w:val="00751935"/>
    <w:rsid w:val="00751A8F"/>
    <w:rsid w:val="00751ACA"/>
    <w:rsid w:val="00751B3A"/>
    <w:rsid w:val="00751D4E"/>
    <w:rsid w:val="00751DD9"/>
    <w:rsid w:val="00751DDC"/>
    <w:rsid w:val="00751DE8"/>
    <w:rsid w:val="00751E1B"/>
    <w:rsid w:val="00751F04"/>
    <w:rsid w:val="00751F23"/>
    <w:rsid w:val="00751F57"/>
    <w:rsid w:val="00751F5C"/>
    <w:rsid w:val="00751F60"/>
    <w:rsid w:val="00751FED"/>
    <w:rsid w:val="00752041"/>
    <w:rsid w:val="00752052"/>
    <w:rsid w:val="007521CB"/>
    <w:rsid w:val="0075227C"/>
    <w:rsid w:val="007522B9"/>
    <w:rsid w:val="007522FA"/>
    <w:rsid w:val="00752309"/>
    <w:rsid w:val="00752311"/>
    <w:rsid w:val="007523BD"/>
    <w:rsid w:val="007523CB"/>
    <w:rsid w:val="007523F5"/>
    <w:rsid w:val="00752437"/>
    <w:rsid w:val="0075243C"/>
    <w:rsid w:val="007524C5"/>
    <w:rsid w:val="007525B7"/>
    <w:rsid w:val="007525C9"/>
    <w:rsid w:val="007525DA"/>
    <w:rsid w:val="00752600"/>
    <w:rsid w:val="0075266D"/>
    <w:rsid w:val="007526C4"/>
    <w:rsid w:val="007526EB"/>
    <w:rsid w:val="0075270E"/>
    <w:rsid w:val="00752746"/>
    <w:rsid w:val="007527DA"/>
    <w:rsid w:val="00752844"/>
    <w:rsid w:val="00752941"/>
    <w:rsid w:val="00752A3B"/>
    <w:rsid w:val="00752C5F"/>
    <w:rsid w:val="00752D2F"/>
    <w:rsid w:val="00752D5F"/>
    <w:rsid w:val="00752E86"/>
    <w:rsid w:val="00752EB8"/>
    <w:rsid w:val="00752F98"/>
    <w:rsid w:val="0075300B"/>
    <w:rsid w:val="00753107"/>
    <w:rsid w:val="00753141"/>
    <w:rsid w:val="007531BD"/>
    <w:rsid w:val="007531F6"/>
    <w:rsid w:val="007531FF"/>
    <w:rsid w:val="00753214"/>
    <w:rsid w:val="0075324E"/>
    <w:rsid w:val="00753260"/>
    <w:rsid w:val="007532B2"/>
    <w:rsid w:val="007532CB"/>
    <w:rsid w:val="00753357"/>
    <w:rsid w:val="0075335E"/>
    <w:rsid w:val="00753400"/>
    <w:rsid w:val="00753441"/>
    <w:rsid w:val="00753518"/>
    <w:rsid w:val="00753588"/>
    <w:rsid w:val="007535A3"/>
    <w:rsid w:val="007535D5"/>
    <w:rsid w:val="00753647"/>
    <w:rsid w:val="0075368A"/>
    <w:rsid w:val="0075368C"/>
    <w:rsid w:val="007536C4"/>
    <w:rsid w:val="007536DB"/>
    <w:rsid w:val="00753707"/>
    <w:rsid w:val="007537E4"/>
    <w:rsid w:val="007538E3"/>
    <w:rsid w:val="007538E5"/>
    <w:rsid w:val="00753982"/>
    <w:rsid w:val="007539E6"/>
    <w:rsid w:val="00753A11"/>
    <w:rsid w:val="00753A8F"/>
    <w:rsid w:val="00753A99"/>
    <w:rsid w:val="00753AB7"/>
    <w:rsid w:val="00753B27"/>
    <w:rsid w:val="00753B64"/>
    <w:rsid w:val="00753B6E"/>
    <w:rsid w:val="00753B85"/>
    <w:rsid w:val="00753B95"/>
    <w:rsid w:val="00753BBF"/>
    <w:rsid w:val="00753BC9"/>
    <w:rsid w:val="00753C30"/>
    <w:rsid w:val="00753C76"/>
    <w:rsid w:val="00753C7C"/>
    <w:rsid w:val="00753C8F"/>
    <w:rsid w:val="00753DA1"/>
    <w:rsid w:val="00753DF3"/>
    <w:rsid w:val="00753F32"/>
    <w:rsid w:val="00753FA0"/>
    <w:rsid w:val="00754072"/>
    <w:rsid w:val="00754258"/>
    <w:rsid w:val="0075434E"/>
    <w:rsid w:val="00754355"/>
    <w:rsid w:val="007543C0"/>
    <w:rsid w:val="007543DE"/>
    <w:rsid w:val="00754425"/>
    <w:rsid w:val="0075445F"/>
    <w:rsid w:val="007544AF"/>
    <w:rsid w:val="007544C8"/>
    <w:rsid w:val="00754510"/>
    <w:rsid w:val="00754635"/>
    <w:rsid w:val="0075463C"/>
    <w:rsid w:val="00754668"/>
    <w:rsid w:val="007546C1"/>
    <w:rsid w:val="007547A3"/>
    <w:rsid w:val="00754953"/>
    <w:rsid w:val="007549F0"/>
    <w:rsid w:val="00754A9C"/>
    <w:rsid w:val="00754ADB"/>
    <w:rsid w:val="00754AEF"/>
    <w:rsid w:val="00754B57"/>
    <w:rsid w:val="00754BD4"/>
    <w:rsid w:val="00754C60"/>
    <w:rsid w:val="00754C8F"/>
    <w:rsid w:val="00754CEA"/>
    <w:rsid w:val="00754D1F"/>
    <w:rsid w:val="00754D3E"/>
    <w:rsid w:val="00754DDD"/>
    <w:rsid w:val="00754E0D"/>
    <w:rsid w:val="00754F1F"/>
    <w:rsid w:val="00755043"/>
    <w:rsid w:val="007550A9"/>
    <w:rsid w:val="0075513F"/>
    <w:rsid w:val="00755257"/>
    <w:rsid w:val="00755277"/>
    <w:rsid w:val="007552A0"/>
    <w:rsid w:val="007552E1"/>
    <w:rsid w:val="0075542C"/>
    <w:rsid w:val="00755488"/>
    <w:rsid w:val="0075558D"/>
    <w:rsid w:val="00755597"/>
    <w:rsid w:val="007555E4"/>
    <w:rsid w:val="007557BA"/>
    <w:rsid w:val="007557F4"/>
    <w:rsid w:val="007558EA"/>
    <w:rsid w:val="0075598D"/>
    <w:rsid w:val="007559B7"/>
    <w:rsid w:val="00755A41"/>
    <w:rsid w:val="00755AA3"/>
    <w:rsid w:val="00755AB7"/>
    <w:rsid w:val="00755AF2"/>
    <w:rsid w:val="00755BD2"/>
    <w:rsid w:val="00755BE2"/>
    <w:rsid w:val="00755BFB"/>
    <w:rsid w:val="00755C45"/>
    <w:rsid w:val="00755C4B"/>
    <w:rsid w:val="00755C8F"/>
    <w:rsid w:val="00755CF2"/>
    <w:rsid w:val="00755D5D"/>
    <w:rsid w:val="00755DA7"/>
    <w:rsid w:val="00755EA1"/>
    <w:rsid w:val="00755EA5"/>
    <w:rsid w:val="00755F2D"/>
    <w:rsid w:val="00755F6F"/>
    <w:rsid w:val="00755F8B"/>
    <w:rsid w:val="00755FCD"/>
    <w:rsid w:val="00756093"/>
    <w:rsid w:val="00756158"/>
    <w:rsid w:val="00756176"/>
    <w:rsid w:val="00756206"/>
    <w:rsid w:val="0075624B"/>
    <w:rsid w:val="007562A2"/>
    <w:rsid w:val="00756572"/>
    <w:rsid w:val="00756579"/>
    <w:rsid w:val="0075657F"/>
    <w:rsid w:val="00756676"/>
    <w:rsid w:val="007566C1"/>
    <w:rsid w:val="007567A1"/>
    <w:rsid w:val="00756901"/>
    <w:rsid w:val="00756A46"/>
    <w:rsid w:val="00756A48"/>
    <w:rsid w:val="00756AEE"/>
    <w:rsid w:val="00756AFC"/>
    <w:rsid w:val="00756B3A"/>
    <w:rsid w:val="00756BA1"/>
    <w:rsid w:val="00756BDA"/>
    <w:rsid w:val="00756C10"/>
    <w:rsid w:val="00756C94"/>
    <w:rsid w:val="00756D16"/>
    <w:rsid w:val="00756D40"/>
    <w:rsid w:val="00756D50"/>
    <w:rsid w:val="00756DB0"/>
    <w:rsid w:val="00756DB6"/>
    <w:rsid w:val="00756DE9"/>
    <w:rsid w:val="00756E4D"/>
    <w:rsid w:val="00756EAB"/>
    <w:rsid w:val="00756FCB"/>
    <w:rsid w:val="00756FCF"/>
    <w:rsid w:val="00757002"/>
    <w:rsid w:val="0075708A"/>
    <w:rsid w:val="007570AD"/>
    <w:rsid w:val="007570D8"/>
    <w:rsid w:val="00757125"/>
    <w:rsid w:val="0075712E"/>
    <w:rsid w:val="0075716F"/>
    <w:rsid w:val="00757192"/>
    <w:rsid w:val="00757357"/>
    <w:rsid w:val="0075735B"/>
    <w:rsid w:val="007573E0"/>
    <w:rsid w:val="00757440"/>
    <w:rsid w:val="00757506"/>
    <w:rsid w:val="0075765E"/>
    <w:rsid w:val="0075769B"/>
    <w:rsid w:val="0075782F"/>
    <w:rsid w:val="007578A5"/>
    <w:rsid w:val="0075792B"/>
    <w:rsid w:val="0075795A"/>
    <w:rsid w:val="007579EB"/>
    <w:rsid w:val="00757A3B"/>
    <w:rsid w:val="00757AA1"/>
    <w:rsid w:val="00757AC1"/>
    <w:rsid w:val="00757AEF"/>
    <w:rsid w:val="00757B63"/>
    <w:rsid w:val="00757BF9"/>
    <w:rsid w:val="00757C11"/>
    <w:rsid w:val="00757C59"/>
    <w:rsid w:val="00757CA4"/>
    <w:rsid w:val="00757CA6"/>
    <w:rsid w:val="00757CAB"/>
    <w:rsid w:val="00757D0D"/>
    <w:rsid w:val="00757E35"/>
    <w:rsid w:val="00757E51"/>
    <w:rsid w:val="00757EA9"/>
    <w:rsid w:val="00757F1A"/>
    <w:rsid w:val="00757F76"/>
    <w:rsid w:val="00757F8F"/>
    <w:rsid w:val="00760066"/>
    <w:rsid w:val="007600D4"/>
    <w:rsid w:val="007601B6"/>
    <w:rsid w:val="00760201"/>
    <w:rsid w:val="007602E4"/>
    <w:rsid w:val="00760355"/>
    <w:rsid w:val="0076035B"/>
    <w:rsid w:val="00760373"/>
    <w:rsid w:val="007603B3"/>
    <w:rsid w:val="007604A6"/>
    <w:rsid w:val="00760525"/>
    <w:rsid w:val="0076059A"/>
    <w:rsid w:val="007605B9"/>
    <w:rsid w:val="0076068F"/>
    <w:rsid w:val="007606CA"/>
    <w:rsid w:val="007606D3"/>
    <w:rsid w:val="007607A4"/>
    <w:rsid w:val="00760829"/>
    <w:rsid w:val="0076090D"/>
    <w:rsid w:val="00760924"/>
    <w:rsid w:val="00760938"/>
    <w:rsid w:val="0076093D"/>
    <w:rsid w:val="0076093F"/>
    <w:rsid w:val="007609AD"/>
    <w:rsid w:val="00760A73"/>
    <w:rsid w:val="00760A94"/>
    <w:rsid w:val="00760B1F"/>
    <w:rsid w:val="00760B22"/>
    <w:rsid w:val="00760B8F"/>
    <w:rsid w:val="00760C82"/>
    <w:rsid w:val="00760DA3"/>
    <w:rsid w:val="00760E18"/>
    <w:rsid w:val="00760E5E"/>
    <w:rsid w:val="00760E96"/>
    <w:rsid w:val="00760FAC"/>
    <w:rsid w:val="00761107"/>
    <w:rsid w:val="007611B2"/>
    <w:rsid w:val="00761221"/>
    <w:rsid w:val="0076122D"/>
    <w:rsid w:val="00761275"/>
    <w:rsid w:val="0076127B"/>
    <w:rsid w:val="007612C8"/>
    <w:rsid w:val="007612C9"/>
    <w:rsid w:val="007612E1"/>
    <w:rsid w:val="007612EF"/>
    <w:rsid w:val="00761367"/>
    <w:rsid w:val="00761402"/>
    <w:rsid w:val="007614A2"/>
    <w:rsid w:val="00761544"/>
    <w:rsid w:val="00761571"/>
    <w:rsid w:val="0076158E"/>
    <w:rsid w:val="0076172C"/>
    <w:rsid w:val="007618CF"/>
    <w:rsid w:val="007618EE"/>
    <w:rsid w:val="00761933"/>
    <w:rsid w:val="00761960"/>
    <w:rsid w:val="007619A4"/>
    <w:rsid w:val="007619BE"/>
    <w:rsid w:val="007619C9"/>
    <w:rsid w:val="007619CC"/>
    <w:rsid w:val="00761A63"/>
    <w:rsid w:val="00761B08"/>
    <w:rsid w:val="00761B33"/>
    <w:rsid w:val="00761C0E"/>
    <w:rsid w:val="00761C4E"/>
    <w:rsid w:val="00761C7E"/>
    <w:rsid w:val="00761D1E"/>
    <w:rsid w:val="00761D41"/>
    <w:rsid w:val="00761E77"/>
    <w:rsid w:val="00761E78"/>
    <w:rsid w:val="00761EC9"/>
    <w:rsid w:val="00761F25"/>
    <w:rsid w:val="00761F42"/>
    <w:rsid w:val="00762069"/>
    <w:rsid w:val="007620D4"/>
    <w:rsid w:val="00762111"/>
    <w:rsid w:val="00762122"/>
    <w:rsid w:val="007621B8"/>
    <w:rsid w:val="0076224C"/>
    <w:rsid w:val="007623A1"/>
    <w:rsid w:val="007623EB"/>
    <w:rsid w:val="0076241E"/>
    <w:rsid w:val="007624A8"/>
    <w:rsid w:val="007624EC"/>
    <w:rsid w:val="00762525"/>
    <w:rsid w:val="00762599"/>
    <w:rsid w:val="0076261A"/>
    <w:rsid w:val="007626D4"/>
    <w:rsid w:val="007626EB"/>
    <w:rsid w:val="00762879"/>
    <w:rsid w:val="007628AB"/>
    <w:rsid w:val="0076294F"/>
    <w:rsid w:val="0076295E"/>
    <w:rsid w:val="00762960"/>
    <w:rsid w:val="007629A0"/>
    <w:rsid w:val="007629AA"/>
    <w:rsid w:val="007629FF"/>
    <w:rsid w:val="00762A19"/>
    <w:rsid w:val="00762A85"/>
    <w:rsid w:val="00762AF2"/>
    <w:rsid w:val="00762B36"/>
    <w:rsid w:val="00762CEC"/>
    <w:rsid w:val="00762D14"/>
    <w:rsid w:val="00762D89"/>
    <w:rsid w:val="00762EF6"/>
    <w:rsid w:val="00762F1E"/>
    <w:rsid w:val="00762F28"/>
    <w:rsid w:val="00762FF5"/>
    <w:rsid w:val="00763017"/>
    <w:rsid w:val="00763058"/>
    <w:rsid w:val="007630A3"/>
    <w:rsid w:val="00763100"/>
    <w:rsid w:val="007631DD"/>
    <w:rsid w:val="007632E7"/>
    <w:rsid w:val="00763305"/>
    <w:rsid w:val="007633BE"/>
    <w:rsid w:val="007633DE"/>
    <w:rsid w:val="00763434"/>
    <w:rsid w:val="00763474"/>
    <w:rsid w:val="00763477"/>
    <w:rsid w:val="007634BB"/>
    <w:rsid w:val="0076354D"/>
    <w:rsid w:val="00763768"/>
    <w:rsid w:val="007637DA"/>
    <w:rsid w:val="007638E8"/>
    <w:rsid w:val="00763903"/>
    <w:rsid w:val="00763918"/>
    <w:rsid w:val="0076399C"/>
    <w:rsid w:val="007639F5"/>
    <w:rsid w:val="00763A96"/>
    <w:rsid w:val="00763AF5"/>
    <w:rsid w:val="00763B3D"/>
    <w:rsid w:val="00763B82"/>
    <w:rsid w:val="00763B9F"/>
    <w:rsid w:val="00763BE1"/>
    <w:rsid w:val="00763C38"/>
    <w:rsid w:val="00763CF1"/>
    <w:rsid w:val="00763D11"/>
    <w:rsid w:val="00763D22"/>
    <w:rsid w:val="00763D88"/>
    <w:rsid w:val="00763FAC"/>
    <w:rsid w:val="00763FC0"/>
    <w:rsid w:val="0076415C"/>
    <w:rsid w:val="00764184"/>
    <w:rsid w:val="00764213"/>
    <w:rsid w:val="00764226"/>
    <w:rsid w:val="00764266"/>
    <w:rsid w:val="007642A7"/>
    <w:rsid w:val="007643BD"/>
    <w:rsid w:val="007643D9"/>
    <w:rsid w:val="007644C7"/>
    <w:rsid w:val="0076453A"/>
    <w:rsid w:val="0076453B"/>
    <w:rsid w:val="0076456B"/>
    <w:rsid w:val="00764575"/>
    <w:rsid w:val="00764651"/>
    <w:rsid w:val="007646C8"/>
    <w:rsid w:val="007646DD"/>
    <w:rsid w:val="00764701"/>
    <w:rsid w:val="0076470B"/>
    <w:rsid w:val="00764856"/>
    <w:rsid w:val="007648B8"/>
    <w:rsid w:val="0076491E"/>
    <w:rsid w:val="00764A3A"/>
    <w:rsid w:val="00764A6E"/>
    <w:rsid w:val="00764A7C"/>
    <w:rsid w:val="00764AC0"/>
    <w:rsid w:val="00764AC9"/>
    <w:rsid w:val="00764B16"/>
    <w:rsid w:val="00764B90"/>
    <w:rsid w:val="00764C9F"/>
    <w:rsid w:val="00764CC7"/>
    <w:rsid w:val="00764D3F"/>
    <w:rsid w:val="00764D74"/>
    <w:rsid w:val="00764D78"/>
    <w:rsid w:val="00765003"/>
    <w:rsid w:val="00765035"/>
    <w:rsid w:val="007650EF"/>
    <w:rsid w:val="00765243"/>
    <w:rsid w:val="0076528B"/>
    <w:rsid w:val="007652AB"/>
    <w:rsid w:val="00765497"/>
    <w:rsid w:val="00765498"/>
    <w:rsid w:val="007654D1"/>
    <w:rsid w:val="00765577"/>
    <w:rsid w:val="00765608"/>
    <w:rsid w:val="00765641"/>
    <w:rsid w:val="00765655"/>
    <w:rsid w:val="0076566F"/>
    <w:rsid w:val="00765680"/>
    <w:rsid w:val="00765697"/>
    <w:rsid w:val="0076571D"/>
    <w:rsid w:val="00765724"/>
    <w:rsid w:val="00765745"/>
    <w:rsid w:val="00765779"/>
    <w:rsid w:val="007657F8"/>
    <w:rsid w:val="00765804"/>
    <w:rsid w:val="00765816"/>
    <w:rsid w:val="00765878"/>
    <w:rsid w:val="007658CA"/>
    <w:rsid w:val="007658E2"/>
    <w:rsid w:val="00765967"/>
    <w:rsid w:val="00765A1A"/>
    <w:rsid w:val="00765ACF"/>
    <w:rsid w:val="00765B78"/>
    <w:rsid w:val="00765B86"/>
    <w:rsid w:val="00765C02"/>
    <w:rsid w:val="00765C57"/>
    <w:rsid w:val="00765D0E"/>
    <w:rsid w:val="00765DEA"/>
    <w:rsid w:val="00765E0B"/>
    <w:rsid w:val="00765F69"/>
    <w:rsid w:val="00765FFE"/>
    <w:rsid w:val="00766016"/>
    <w:rsid w:val="0076604E"/>
    <w:rsid w:val="00766161"/>
    <w:rsid w:val="00766164"/>
    <w:rsid w:val="00766184"/>
    <w:rsid w:val="007661A6"/>
    <w:rsid w:val="007663B9"/>
    <w:rsid w:val="007663E5"/>
    <w:rsid w:val="00766480"/>
    <w:rsid w:val="007664AB"/>
    <w:rsid w:val="0076654D"/>
    <w:rsid w:val="007665E7"/>
    <w:rsid w:val="007665F3"/>
    <w:rsid w:val="00766636"/>
    <w:rsid w:val="0076663E"/>
    <w:rsid w:val="00766772"/>
    <w:rsid w:val="007667CB"/>
    <w:rsid w:val="007667D4"/>
    <w:rsid w:val="0076696B"/>
    <w:rsid w:val="00766982"/>
    <w:rsid w:val="007669F2"/>
    <w:rsid w:val="00766A53"/>
    <w:rsid w:val="00766B45"/>
    <w:rsid w:val="00766B6B"/>
    <w:rsid w:val="00766BC2"/>
    <w:rsid w:val="00766BE1"/>
    <w:rsid w:val="00766C9C"/>
    <w:rsid w:val="00766D5C"/>
    <w:rsid w:val="00766E39"/>
    <w:rsid w:val="00766E56"/>
    <w:rsid w:val="00766EA9"/>
    <w:rsid w:val="00766EAC"/>
    <w:rsid w:val="00766ED4"/>
    <w:rsid w:val="00766F7E"/>
    <w:rsid w:val="00767127"/>
    <w:rsid w:val="007671A4"/>
    <w:rsid w:val="007671A5"/>
    <w:rsid w:val="007671BB"/>
    <w:rsid w:val="00767213"/>
    <w:rsid w:val="00767228"/>
    <w:rsid w:val="007672B6"/>
    <w:rsid w:val="0076732E"/>
    <w:rsid w:val="00767398"/>
    <w:rsid w:val="00767518"/>
    <w:rsid w:val="00767663"/>
    <w:rsid w:val="0076770D"/>
    <w:rsid w:val="0076785C"/>
    <w:rsid w:val="00767868"/>
    <w:rsid w:val="0076789E"/>
    <w:rsid w:val="0076793B"/>
    <w:rsid w:val="00767A0C"/>
    <w:rsid w:val="00767A95"/>
    <w:rsid w:val="00767C1C"/>
    <w:rsid w:val="00767C69"/>
    <w:rsid w:val="00767DB4"/>
    <w:rsid w:val="00767E26"/>
    <w:rsid w:val="00767E7F"/>
    <w:rsid w:val="00767E86"/>
    <w:rsid w:val="00767EC6"/>
    <w:rsid w:val="00767F0D"/>
    <w:rsid w:val="00767F3C"/>
    <w:rsid w:val="00767F82"/>
    <w:rsid w:val="0077000C"/>
    <w:rsid w:val="0077000F"/>
    <w:rsid w:val="00770085"/>
    <w:rsid w:val="007700C2"/>
    <w:rsid w:val="007701DA"/>
    <w:rsid w:val="0077020C"/>
    <w:rsid w:val="007702E4"/>
    <w:rsid w:val="007703F5"/>
    <w:rsid w:val="0077042C"/>
    <w:rsid w:val="007704E6"/>
    <w:rsid w:val="00770521"/>
    <w:rsid w:val="0077055B"/>
    <w:rsid w:val="0077057F"/>
    <w:rsid w:val="00770662"/>
    <w:rsid w:val="00770667"/>
    <w:rsid w:val="00770710"/>
    <w:rsid w:val="00770712"/>
    <w:rsid w:val="0077075D"/>
    <w:rsid w:val="007707FA"/>
    <w:rsid w:val="007708A4"/>
    <w:rsid w:val="007708C3"/>
    <w:rsid w:val="00770914"/>
    <w:rsid w:val="00770A1A"/>
    <w:rsid w:val="00770A29"/>
    <w:rsid w:val="00770A2C"/>
    <w:rsid w:val="00770A58"/>
    <w:rsid w:val="00770AD4"/>
    <w:rsid w:val="00770ADA"/>
    <w:rsid w:val="00770B65"/>
    <w:rsid w:val="00770BC5"/>
    <w:rsid w:val="00770BFF"/>
    <w:rsid w:val="00770C6C"/>
    <w:rsid w:val="00770CE0"/>
    <w:rsid w:val="00770CFA"/>
    <w:rsid w:val="00770D1A"/>
    <w:rsid w:val="00770D8C"/>
    <w:rsid w:val="00770E72"/>
    <w:rsid w:val="00770FE8"/>
    <w:rsid w:val="0077108C"/>
    <w:rsid w:val="007711C0"/>
    <w:rsid w:val="0077123C"/>
    <w:rsid w:val="007712AF"/>
    <w:rsid w:val="0077133F"/>
    <w:rsid w:val="007713DB"/>
    <w:rsid w:val="00771493"/>
    <w:rsid w:val="0077155E"/>
    <w:rsid w:val="007715C1"/>
    <w:rsid w:val="007715C4"/>
    <w:rsid w:val="0077171D"/>
    <w:rsid w:val="00771859"/>
    <w:rsid w:val="0077185E"/>
    <w:rsid w:val="00771886"/>
    <w:rsid w:val="007718AA"/>
    <w:rsid w:val="007718C1"/>
    <w:rsid w:val="00771945"/>
    <w:rsid w:val="00771A1D"/>
    <w:rsid w:val="00771AC4"/>
    <w:rsid w:val="00771BE0"/>
    <w:rsid w:val="00771BFB"/>
    <w:rsid w:val="00771C4F"/>
    <w:rsid w:val="00771C70"/>
    <w:rsid w:val="00771CA0"/>
    <w:rsid w:val="00771CF3"/>
    <w:rsid w:val="00771D07"/>
    <w:rsid w:val="00771D65"/>
    <w:rsid w:val="00771D9D"/>
    <w:rsid w:val="00771DD2"/>
    <w:rsid w:val="00771E2A"/>
    <w:rsid w:val="00771E5A"/>
    <w:rsid w:val="00771E9C"/>
    <w:rsid w:val="00771F0A"/>
    <w:rsid w:val="007720B3"/>
    <w:rsid w:val="007720FB"/>
    <w:rsid w:val="0077212E"/>
    <w:rsid w:val="00772196"/>
    <w:rsid w:val="007721A4"/>
    <w:rsid w:val="00772202"/>
    <w:rsid w:val="0077227E"/>
    <w:rsid w:val="00772295"/>
    <w:rsid w:val="007722D2"/>
    <w:rsid w:val="007722EF"/>
    <w:rsid w:val="007722F5"/>
    <w:rsid w:val="00772321"/>
    <w:rsid w:val="0077244A"/>
    <w:rsid w:val="00772660"/>
    <w:rsid w:val="0077267D"/>
    <w:rsid w:val="007726E6"/>
    <w:rsid w:val="007727B4"/>
    <w:rsid w:val="007727CA"/>
    <w:rsid w:val="007727D4"/>
    <w:rsid w:val="00772837"/>
    <w:rsid w:val="0077298C"/>
    <w:rsid w:val="007729AA"/>
    <w:rsid w:val="00772A39"/>
    <w:rsid w:val="00772A81"/>
    <w:rsid w:val="00772B6A"/>
    <w:rsid w:val="00772B95"/>
    <w:rsid w:val="00772C63"/>
    <w:rsid w:val="00772CF8"/>
    <w:rsid w:val="00772D57"/>
    <w:rsid w:val="00772D6A"/>
    <w:rsid w:val="00772D9A"/>
    <w:rsid w:val="00772E4C"/>
    <w:rsid w:val="00772EDB"/>
    <w:rsid w:val="00772F10"/>
    <w:rsid w:val="00772F62"/>
    <w:rsid w:val="00772F6C"/>
    <w:rsid w:val="00772FE6"/>
    <w:rsid w:val="00773023"/>
    <w:rsid w:val="007730AC"/>
    <w:rsid w:val="00773193"/>
    <w:rsid w:val="00773278"/>
    <w:rsid w:val="0077328D"/>
    <w:rsid w:val="007732F2"/>
    <w:rsid w:val="0077335C"/>
    <w:rsid w:val="0077335D"/>
    <w:rsid w:val="007733E4"/>
    <w:rsid w:val="0077347F"/>
    <w:rsid w:val="007734A0"/>
    <w:rsid w:val="007734A4"/>
    <w:rsid w:val="007734AA"/>
    <w:rsid w:val="007734CF"/>
    <w:rsid w:val="0077353E"/>
    <w:rsid w:val="00773620"/>
    <w:rsid w:val="00773706"/>
    <w:rsid w:val="0077370C"/>
    <w:rsid w:val="00773734"/>
    <w:rsid w:val="007737C7"/>
    <w:rsid w:val="007738D8"/>
    <w:rsid w:val="00773927"/>
    <w:rsid w:val="0077399B"/>
    <w:rsid w:val="00773ABB"/>
    <w:rsid w:val="00773AE6"/>
    <w:rsid w:val="00773B20"/>
    <w:rsid w:val="00773B2F"/>
    <w:rsid w:val="00773B63"/>
    <w:rsid w:val="00773B82"/>
    <w:rsid w:val="00773C3E"/>
    <w:rsid w:val="00773CEF"/>
    <w:rsid w:val="00773E0D"/>
    <w:rsid w:val="00773EB2"/>
    <w:rsid w:val="00774052"/>
    <w:rsid w:val="007740A9"/>
    <w:rsid w:val="00774399"/>
    <w:rsid w:val="007745EC"/>
    <w:rsid w:val="007746A6"/>
    <w:rsid w:val="00774750"/>
    <w:rsid w:val="0077485C"/>
    <w:rsid w:val="007748C9"/>
    <w:rsid w:val="00774B07"/>
    <w:rsid w:val="00774B69"/>
    <w:rsid w:val="00774BA8"/>
    <w:rsid w:val="00774BE4"/>
    <w:rsid w:val="00774C10"/>
    <w:rsid w:val="00774C2D"/>
    <w:rsid w:val="00774CBC"/>
    <w:rsid w:val="00774CC1"/>
    <w:rsid w:val="00774CD8"/>
    <w:rsid w:val="00774E17"/>
    <w:rsid w:val="00774F82"/>
    <w:rsid w:val="00774F85"/>
    <w:rsid w:val="007750FE"/>
    <w:rsid w:val="00775173"/>
    <w:rsid w:val="007751FB"/>
    <w:rsid w:val="0077520B"/>
    <w:rsid w:val="0077522E"/>
    <w:rsid w:val="00775295"/>
    <w:rsid w:val="007752FB"/>
    <w:rsid w:val="007753EB"/>
    <w:rsid w:val="007753F7"/>
    <w:rsid w:val="00775442"/>
    <w:rsid w:val="007754CB"/>
    <w:rsid w:val="0077556F"/>
    <w:rsid w:val="0077560A"/>
    <w:rsid w:val="007756A9"/>
    <w:rsid w:val="007757B8"/>
    <w:rsid w:val="0077580E"/>
    <w:rsid w:val="0077585C"/>
    <w:rsid w:val="0077586A"/>
    <w:rsid w:val="007758FA"/>
    <w:rsid w:val="00775A59"/>
    <w:rsid w:val="00775A89"/>
    <w:rsid w:val="00775B86"/>
    <w:rsid w:val="00775BD0"/>
    <w:rsid w:val="00775C44"/>
    <w:rsid w:val="00775CC1"/>
    <w:rsid w:val="00775D29"/>
    <w:rsid w:val="00775D8F"/>
    <w:rsid w:val="00775DC5"/>
    <w:rsid w:val="00775E17"/>
    <w:rsid w:val="00775E20"/>
    <w:rsid w:val="00775E48"/>
    <w:rsid w:val="00775F5B"/>
    <w:rsid w:val="00776022"/>
    <w:rsid w:val="00776122"/>
    <w:rsid w:val="0077626A"/>
    <w:rsid w:val="007763E4"/>
    <w:rsid w:val="00776406"/>
    <w:rsid w:val="00776418"/>
    <w:rsid w:val="0077646B"/>
    <w:rsid w:val="007765B7"/>
    <w:rsid w:val="007765E8"/>
    <w:rsid w:val="0077662E"/>
    <w:rsid w:val="007766D0"/>
    <w:rsid w:val="007766F9"/>
    <w:rsid w:val="007767AF"/>
    <w:rsid w:val="007767E9"/>
    <w:rsid w:val="00776806"/>
    <w:rsid w:val="00776999"/>
    <w:rsid w:val="007769DE"/>
    <w:rsid w:val="00776A26"/>
    <w:rsid w:val="00776AC1"/>
    <w:rsid w:val="00776B70"/>
    <w:rsid w:val="00776BAE"/>
    <w:rsid w:val="00776BD9"/>
    <w:rsid w:val="00776BF6"/>
    <w:rsid w:val="00776C36"/>
    <w:rsid w:val="00776C4A"/>
    <w:rsid w:val="00776C5D"/>
    <w:rsid w:val="00776C8F"/>
    <w:rsid w:val="00776CA2"/>
    <w:rsid w:val="00776CC0"/>
    <w:rsid w:val="00776D19"/>
    <w:rsid w:val="00776D2E"/>
    <w:rsid w:val="00776D42"/>
    <w:rsid w:val="00776D92"/>
    <w:rsid w:val="00776E12"/>
    <w:rsid w:val="00776E17"/>
    <w:rsid w:val="00776EDD"/>
    <w:rsid w:val="00776F5C"/>
    <w:rsid w:val="007770E1"/>
    <w:rsid w:val="007770E7"/>
    <w:rsid w:val="007770F6"/>
    <w:rsid w:val="0077718B"/>
    <w:rsid w:val="0077721A"/>
    <w:rsid w:val="00777243"/>
    <w:rsid w:val="0077725F"/>
    <w:rsid w:val="00777267"/>
    <w:rsid w:val="0077736C"/>
    <w:rsid w:val="00777396"/>
    <w:rsid w:val="007773A8"/>
    <w:rsid w:val="00777440"/>
    <w:rsid w:val="00777453"/>
    <w:rsid w:val="0077761E"/>
    <w:rsid w:val="007776C7"/>
    <w:rsid w:val="007777E7"/>
    <w:rsid w:val="00777810"/>
    <w:rsid w:val="00777854"/>
    <w:rsid w:val="007778BD"/>
    <w:rsid w:val="0077795D"/>
    <w:rsid w:val="007779FB"/>
    <w:rsid w:val="00777AA6"/>
    <w:rsid w:val="00777AF5"/>
    <w:rsid w:val="00777BB8"/>
    <w:rsid w:val="00777BC3"/>
    <w:rsid w:val="00777BD9"/>
    <w:rsid w:val="00777CDD"/>
    <w:rsid w:val="00777D9C"/>
    <w:rsid w:val="00777DD9"/>
    <w:rsid w:val="00777E20"/>
    <w:rsid w:val="00777E9A"/>
    <w:rsid w:val="00777EB8"/>
    <w:rsid w:val="00777F65"/>
    <w:rsid w:val="00777F73"/>
    <w:rsid w:val="00777F76"/>
    <w:rsid w:val="00780083"/>
    <w:rsid w:val="007802D8"/>
    <w:rsid w:val="007802F3"/>
    <w:rsid w:val="00780321"/>
    <w:rsid w:val="0078036C"/>
    <w:rsid w:val="00780373"/>
    <w:rsid w:val="0078037C"/>
    <w:rsid w:val="007804BB"/>
    <w:rsid w:val="0078054A"/>
    <w:rsid w:val="0078057C"/>
    <w:rsid w:val="007805B8"/>
    <w:rsid w:val="00780634"/>
    <w:rsid w:val="00780644"/>
    <w:rsid w:val="0078066A"/>
    <w:rsid w:val="007806C2"/>
    <w:rsid w:val="0078074E"/>
    <w:rsid w:val="00780752"/>
    <w:rsid w:val="00780765"/>
    <w:rsid w:val="0078076D"/>
    <w:rsid w:val="00780787"/>
    <w:rsid w:val="007808B1"/>
    <w:rsid w:val="0078090B"/>
    <w:rsid w:val="00780915"/>
    <w:rsid w:val="00780970"/>
    <w:rsid w:val="00780A1B"/>
    <w:rsid w:val="00780AC7"/>
    <w:rsid w:val="00780B17"/>
    <w:rsid w:val="00780BC2"/>
    <w:rsid w:val="00780BEF"/>
    <w:rsid w:val="00780BF2"/>
    <w:rsid w:val="00780BF8"/>
    <w:rsid w:val="00780C83"/>
    <w:rsid w:val="00780CE8"/>
    <w:rsid w:val="00780CFD"/>
    <w:rsid w:val="00780D2B"/>
    <w:rsid w:val="00780DA4"/>
    <w:rsid w:val="00780DCF"/>
    <w:rsid w:val="00780E26"/>
    <w:rsid w:val="00780FC5"/>
    <w:rsid w:val="00781193"/>
    <w:rsid w:val="00781235"/>
    <w:rsid w:val="00781298"/>
    <w:rsid w:val="007812C6"/>
    <w:rsid w:val="00781301"/>
    <w:rsid w:val="00781319"/>
    <w:rsid w:val="0078133D"/>
    <w:rsid w:val="0078134B"/>
    <w:rsid w:val="00781365"/>
    <w:rsid w:val="007813AE"/>
    <w:rsid w:val="00781415"/>
    <w:rsid w:val="007814F5"/>
    <w:rsid w:val="007815A7"/>
    <w:rsid w:val="007816E4"/>
    <w:rsid w:val="0078173F"/>
    <w:rsid w:val="00781772"/>
    <w:rsid w:val="00781832"/>
    <w:rsid w:val="0078187D"/>
    <w:rsid w:val="00781893"/>
    <w:rsid w:val="007818A0"/>
    <w:rsid w:val="007818A8"/>
    <w:rsid w:val="007818F0"/>
    <w:rsid w:val="00781938"/>
    <w:rsid w:val="00781A9E"/>
    <w:rsid w:val="00781B21"/>
    <w:rsid w:val="00781B43"/>
    <w:rsid w:val="00781B9C"/>
    <w:rsid w:val="00781D1B"/>
    <w:rsid w:val="00781DC5"/>
    <w:rsid w:val="00781E19"/>
    <w:rsid w:val="00781E29"/>
    <w:rsid w:val="00781E33"/>
    <w:rsid w:val="00781EEC"/>
    <w:rsid w:val="00781F13"/>
    <w:rsid w:val="00781FC3"/>
    <w:rsid w:val="0078203C"/>
    <w:rsid w:val="00782086"/>
    <w:rsid w:val="007820E3"/>
    <w:rsid w:val="00782131"/>
    <w:rsid w:val="0078216F"/>
    <w:rsid w:val="0078230A"/>
    <w:rsid w:val="007823D3"/>
    <w:rsid w:val="0078243B"/>
    <w:rsid w:val="0078246A"/>
    <w:rsid w:val="007824B7"/>
    <w:rsid w:val="007824F4"/>
    <w:rsid w:val="00782524"/>
    <w:rsid w:val="0078257B"/>
    <w:rsid w:val="0078257F"/>
    <w:rsid w:val="007825A4"/>
    <w:rsid w:val="007825DF"/>
    <w:rsid w:val="00782741"/>
    <w:rsid w:val="007827A3"/>
    <w:rsid w:val="00782806"/>
    <w:rsid w:val="00782807"/>
    <w:rsid w:val="0078280D"/>
    <w:rsid w:val="00782818"/>
    <w:rsid w:val="00782832"/>
    <w:rsid w:val="0078293B"/>
    <w:rsid w:val="00782990"/>
    <w:rsid w:val="007829DB"/>
    <w:rsid w:val="00782B04"/>
    <w:rsid w:val="00782C29"/>
    <w:rsid w:val="00782CCF"/>
    <w:rsid w:val="00782D1C"/>
    <w:rsid w:val="00782DC9"/>
    <w:rsid w:val="00782E30"/>
    <w:rsid w:val="00782EA5"/>
    <w:rsid w:val="00782F93"/>
    <w:rsid w:val="00783033"/>
    <w:rsid w:val="00783067"/>
    <w:rsid w:val="0078306B"/>
    <w:rsid w:val="0078309B"/>
    <w:rsid w:val="007830D3"/>
    <w:rsid w:val="007831BA"/>
    <w:rsid w:val="007831FF"/>
    <w:rsid w:val="00783266"/>
    <w:rsid w:val="007832D1"/>
    <w:rsid w:val="007832EC"/>
    <w:rsid w:val="00783348"/>
    <w:rsid w:val="007833A5"/>
    <w:rsid w:val="007833EF"/>
    <w:rsid w:val="00783421"/>
    <w:rsid w:val="00783481"/>
    <w:rsid w:val="00783492"/>
    <w:rsid w:val="007834B7"/>
    <w:rsid w:val="0078354D"/>
    <w:rsid w:val="00783632"/>
    <w:rsid w:val="00783693"/>
    <w:rsid w:val="00783781"/>
    <w:rsid w:val="0078378E"/>
    <w:rsid w:val="007839DE"/>
    <w:rsid w:val="007839F4"/>
    <w:rsid w:val="00783AA3"/>
    <w:rsid w:val="00783B91"/>
    <w:rsid w:val="00783D75"/>
    <w:rsid w:val="00783D84"/>
    <w:rsid w:val="00783DD2"/>
    <w:rsid w:val="00783DEC"/>
    <w:rsid w:val="00783DF7"/>
    <w:rsid w:val="00783E13"/>
    <w:rsid w:val="00783E43"/>
    <w:rsid w:val="00783E8C"/>
    <w:rsid w:val="00783EA6"/>
    <w:rsid w:val="00784258"/>
    <w:rsid w:val="00784284"/>
    <w:rsid w:val="00784373"/>
    <w:rsid w:val="0078440A"/>
    <w:rsid w:val="0078443C"/>
    <w:rsid w:val="007844B4"/>
    <w:rsid w:val="00784562"/>
    <w:rsid w:val="007846B4"/>
    <w:rsid w:val="00784763"/>
    <w:rsid w:val="0078478C"/>
    <w:rsid w:val="007847B2"/>
    <w:rsid w:val="007847B6"/>
    <w:rsid w:val="00784848"/>
    <w:rsid w:val="00784A15"/>
    <w:rsid w:val="00784A7A"/>
    <w:rsid w:val="00784AC8"/>
    <w:rsid w:val="00784AD7"/>
    <w:rsid w:val="00784B38"/>
    <w:rsid w:val="00784B83"/>
    <w:rsid w:val="00784B84"/>
    <w:rsid w:val="00784BE1"/>
    <w:rsid w:val="00784C0A"/>
    <w:rsid w:val="00784C23"/>
    <w:rsid w:val="00784CB0"/>
    <w:rsid w:val="00784CB2"/>
    <w:rsid w:val="00784CBD"/>
    <w:rsid w:val="00784CE2"/>
    <w:rsid w:val="00784D29"/>
    <w:rsid w:val="00784DB7"/>
    <w:rsid w:val="00784E22"/>
    <w:rsid w:val="00784E93"/>
    <w:rsid w:val="00784F1C"/>
    <w:rsid w:val="00784F3F"/>
    <w:rsid w:val="00784F66"/>
    <w:rsid w:val="00784FBF"/>
    <w:rsid w:val="007850A7"/>
    <w:rsid w:val="007850AF"/>
    <w:rsid w:val="007850E6"/>
    <w:rsid w:val="007850F7"/>
    <w:rsid w:val="007851DA"/>
    <w:rsid w:val="007851FF"/>
    <w:rsid w:val="0078522A"/>
    <w:rsid w:val="007853FF"/>
    <w:rsid w:val="00785408"/>
    <w:rsid w:val="00785464"/>
    <w:rsid w:val="00785519"/>
    <w:rsid w:val="00785522"/>
    <w:rsid w:val="00785553"/>
    <w:rsid w:val="0078559B"/>
    <w:rsid w:val="007855A1"/>
    <w:rsid w:val="007855B6"/>
    <w:rsid w:val="0078560D"/>
    <w:rsid w:val="00785640"/>
    <w:rsid w:val="00785667"/>
    <w:rsid w:val="0078570A"/>
    <w:rsid w:val="0078575F"/>
    <w:rsid w:val="0078585A"/>
    <w:rsid w:val="00785870"/>
    <w:rsid w:val="00785873"/>
    <w:rsid w:val="0078588D"/>
    <w:rsid w:val="007858C2"/>
    <w:rsid w:val="007858D7"/>
    <w:rsid w:val="00785905"/>
    <w:rsid w:val="00785932"/>
    <w:rsid w:val="00785967"/>
    <w:rsid w:val="00785AF1"/>
    <w:rsid w:val="00785C8E"/>
    <w:rsid w:val="00785D43"/>
    <w:rsid w:val="00785DE4"/>
    <w:rsid w:val="00785E49"/>
    <w:rsid w:val="00785E8A"/>
    <w:rsid w:val="00785F70"/>
    <w:rsid w:val="00785F9A"/>
    <w:rsid w:val="00785FEE"/>
    <w:rsid w:val="00785FEF"/>
    <w:rsid w:val="00786124"/>
    <w:rsid w:val="0078618F"/>
    <w:rsid w:val="0078627D"/>
    <w:rsid w:val="007862D8"/>
    <w:rsid w:val="00786390"/>
    <w:rsid w:val="007863C6"/>
    <w:rsid w:val="00786473"/>
    <w:rsid w:val="00786526"/>
    <w:rsid w:val="00786678"/>
    <w:rsid w:val="00786699"/>
    <w:rsid w:val="007867D2"/>
    <w:rsid w:val="007867FA"/>
    <w:rsid w:val="00786814"/>
    <w:rsid w:val="0078685C"/>
    <w:rsid w:val="00786890"/>
    <w:rsid w:val="007868FA"/>
    <w:rsid w:val="0078696C"/>
    <w:rsid w:val="00786996"/>
    <w:rsid w:val="007869ED"/>
    <w:rsid w:val="00786A71"/>
    <w:rsid w:val="00786AE9"/>
    <w:rsid w:val="00786BA0"/>
    <w:rsid w:val="00786DFD"/>
    <w:rsid w:val="00786E02"/>
    <w:rsid w:val="00786E31"/>
    <w:rsid w:val="00786E54"/>
    <w:rsid w:val="00786E7D"/>
    <w:rsid w:val="00786F45"/>
    <w:rsid w:val="00786F5A"/>
    <w:rsid w:val="00786FCF"/>
    <w:rsid w:val="00786FD7"/>
    <w:rsid w:val="00786FF6"/>
    <w:rsid w:val="0078700E"/>
    <w:rsid w:val="00787084"/>
    <w:rsid w:val="00787131"/>
    <w:rsid w:val="007871CD"/>
    <w:rsid w:val="00787338"/>
    <w:rsid w:val="00787517"/>
    <w:rsid w:val="0078756D"/>
    <w:rsid w:val="00787582"/>
    <w:rsid w:val="00787700"/>
    <w:rsid w:val="0078774B"/>
    <w:rsid w:val="007877A1"/>
    <w:rsid w:val="007877D3"/>
    <w:rsid w:val="007877F7"/>
    <w:rsid w:val="0078781D"/>
    <w:rsid w:val="0078791D"/>
    <w:rsid w:val="00787957"/>
    <w:rsid w:val="00787959"/>
    <w:rsid w:val="00787963"/>
    <w:rsid w:val="0078799E"/>
    <w:rsid w:val="007879B3"/>
    <w:rsid w:val="00787BB0"/>
    <w:rsid w:val="00787C49"/>
    <w:rsid w:val="00787C62"/>
    <w:rsid w:val="00787D82"/>
    <w:rsid w:val="00787E14"/>
    <w:rsid w:val="00787E39"/>
    <w:rsid w:val="00787EDC"/>
    <w:rsid w:val="00787F1D"/>
    <w:rsid w:val="00787F25"/>
    <w:rsid w:val="00787F51"/>
    <w:rsid w:val="00787F65"/>
    <w:rsid w:val="00787FBA"/>
    <w:rsid w:val="00790103"/>
    <w:rsid w:val="00790121"/>
    <w:rsid w:val="00790236"/>
    <w:rsid w:val="00790259"/>
    <w:rsid w:val="00790273"/>
    <w:rsid w:val="007902D5"/>
    <w:rsid w:val="007903AB"/>
    <w:rsid w:val="00790447"/>
    <w:rsid w:val="00790449"/>
    <w:rsid w:val="007904A5"/>
    <w:rsid w:val="007904A7"/>
    <w:rsid w:val="007904AE"/>
    <w:rsid w:val="007904B4"/>
    <w:rsid w:val="0079059E"/>
    <w:rsid w:val="007906CB"/>
    <w:rsid w:val="00790715"/>
    <w:rsid w:val="00790759"/>
    <w:rsid w:val="007907CC"/>
    <w:rsid w:val="007907F0"/>
    <w:rsid w:val="007908DF"/>
    <w:rsid w:val="00790996"/>
    <w:rsid w:val="007909C0"/>
    <w:rsid w:val="00790B62"/>
    <w:rsid w:val="00790C2A"/>
    <w:rsid w:val="00790C4B"/>
    <w:rsid w:val="00790C94"/>
    <w:rsid w:val="00790CD3"/>
    <w:rsid w:val="00790CF1"/>
    <w:rsid w:val="00790DF9"/>
    <w:rsid w:val="00790E95"/>
    <w:rsid w:val="00790FF0"/>
    <w:rsid w:val="00791033"/>
    <w:rsid w:val="0079104C"/>
    <w:rsid w:val="00791081"/>
    <w:rsid w:val="0079109F"/>
    <w:rsid w:val="007910AE"/>
    <w:rsid w:val="00791161"/>
    <w:rsid w:val="00791179"/>
    <w:rsid w:val="00791294"/>
    <w:rsid w:val="007912A3"/>
    <w:rsid w:val="007912B2"/>
    <w:rsid w:val="007912EE"/>
    <w:rsid w:val="0079130B"/>
    <w:rsid w:val="00791338"/>
    <w:rsid w:val="00791383"/>
    <w:rsid w:val="00791385"/>
    <w:rsid w:val="0079138A"/>
    <w:rsid w:val="0079140B"/>
    <w:rsid w:val="007914DA"/>
    <w:rsid w:val="00791557"/>
    <w:rsid w:val="007915B9"/>
    <w:rsid w:val="0079161F"/>
    <w:rsid w:val="007916B9"/>
    <w:rsid w:val="007917BE"/>
    <w:rsid w:val="00791866"/>
    <w:rsid w:val="0079188B"/>
    <w:rsid w:val="007918A8"/>
    <w:rsid w:val="007918DA"/>
    <w:rsid w:val="00791939"/>
    <w:rsid w:val="00791A72"/>
    <w:rsid w:val="00791AB6"/>
    <w:rsid w:val="00791B51"/>
    <w:rsid w:val="00791C45"/>
    <w:rsid w:val="00791C69"/>
    <w:rsid w:val="00791D9F"/>
    <w:rsid w:val="00791E20"/>
    <w:rsid w:val="00791E28"/>
    <w:rsid w:val="00791E68"/>
    <w:rsid w:val="00791E8D"/>
    <w:rsid w:val="00791ECE"/>
    <w:rsid w:val="00791F2E"/>
    <w:rsid w:val="0079205D"/>
    <w:rsid w:val="0079206B"/>
    <w:rsid w:val="00792156"/>
    <w:rsid w:val="007921DE"/>
    <w:rsid w:val="00792272"/>
    <w:rsid w:val="00792296"/>
    <w:rsid w:val="00792299"/>
    <w:rsid w:val="007922CB"/>
    <w:rsid w:val="0079239D"/>
    <w:rsid w:val="007923AB"/>
    <w:rsid w:val="007923FF"/>
    <w:rsid w:val="007924E5"/>
    <w:rsid w:val="00792636"/>
    <w:rsid w:val="0079269A"/>
    <w:rsid w:val="007926B1"/>
    <w:rsid w:val="007926EC"/>
    <w:rsid w:val="007927BA"/>
    <w:rsid w:val="007927F8"/>
    <w:rsid w:val="00792898"/>
    <w:rsid w:val="007928E6"/>
    <w:rsid w:val="00792A62"/>
    <w:rsid w:val="00792BC4"/>
    <w:rsid w:val="00792BF7"/>
    <w:rsid w:val="00792C25"/>
    <w:rsid w:val="00792C49"/>
    <w:rsid w:val="00792C68"/>
    <w:rsid w:val="00792CE4"/>
    <w:rsid w:val="00792D37"/>
    <w:rsid w:val="00792DAF"/>
    <w:rsid w:val="00792E22"/>
    <w:rsid w:val="00792E2D"/>
    <w:rsid w:val="00792E6B"/>
    <w:rsid w:val="00792ED1"/>
    <w:rsid w:val="00792ED7"/>
    <w:rsid w:val="00792F2A"/>
    <w:rsid w:val="00792F98"/>
    <w:rsid w:val="0079311D"/>
    <w:rsid w:val="0079324D"/>
    <w:rsid w:val="00793259"/>
    <w:rsid w:val="00793283"/>
    <w:rsid w:val="0079328D"/>
    <w:rsid w:val="0079329D"/>
    <w:rsid w:val="00793362"/>
    <w:rsid w:val="007933C0"/>
    <w:rsid w:val="0079346D"/>
    <w:rsid w:val="0079347A"/>
    <w:rsid w:val="00793682"/>
    <w:rsid w:val="007936F3"/>
    <w:rsid w:val="00793711"/>
    <w:rsid w:val="0079371A"/>
    <w:rsid w:val="00793771"/>
    <w:rsid w:val="0079389F"/>
    <w:rsid w:val="007939DD"/>
    <w:rsid w:val="00793A01"/>
    <w:rsid w:val="00793AA4"/>
    <w:rsid w:val="00793AD5"/>
    <w:rsid w:val="00793C54"/>
    <w:rsid w:val="00793C69"/>
    <w:rsid w:val="00793D4C"/>
    <w:rsid w:val="00793D6F"/>
    <w:rsid w:val="00793DDB"/>
    <w:rsid w:val="00793E15"/>
    <w:rsid w:val="00793E6E"/>
    <w:rsid w:val="00793F6B"/>
    <w:rsid w:val="00793FC0"/>
    <w:rsid w:val="00793FEE"/>
    <w:rsid w:val="00794000"/>
    <w:rsid w:val="0079406E"/>
    <w:rsid w:val="0079413F"/>
    <w:rsid w:val="0079419E"/>
    <w:rsid w:val="0079419F"/>
    <w:rsid w:val="00794230"/>
    <w:rsid w:val="0079446E"/>
    <w:rsid w:val="0079452E"/>
    <w:rsid w:val="0079458C"/>
    <w:rsid w:val="007945E3"/>
    <w:rsid w:val="00794621"/>
    <w:rsid w:val="0079467C"/>
    <w:rsid w:val="007946E0"/>
    <w:rsid w:val="007946F6"/>
    <w:rsid w:val="00794707"/>
    <w:rsid w:val="00794718"/>
    <w:rsid w:val="007947CC"/>
    <w:rsid w:val="0079486A"/>
    <w:rsid w:val="007948ED"/>
    <w:rsid w:val="0079493E"/>
    <w:rsid w:val="00794984"/>
    <w:rsid w:val="00794A36"/>
    <w:rsid w:val="00794A69"/>
    <w:rsid w:val="00794AE5"/>
    <w:rsid w:val="00794B2D"/>
    <w:rsid w:val="00794B40"/>
    <w:rsid w:val="00794B5C"/>
    <w:rsid w:val="00794C6A"/>
    <w:rsid w:val="00794CBE"/>
    <w:rsid w:val="00794D86"/>
    <w:rsid w:val="00794DF0"/>
    <w:rsid w:val="00794DF9"/>
    <w:rsid w:val="00794E39"/>
    <w:rsid w:val="00794E4B"/>
    <w:rsid w:val="00794E67"/>
    <w:rsid w:val="00794EC3"/>
    <w:rsid w:val="00794F01"/>
    <w:rsid w:val="00794F0B"/>
    <w:rsid w:val="00794F0C"/>
    <w:rsid w:val="00794F9C"/>
    <w:rsid w:val="00794FA8"/>
    <w:rsid w:val="00795063"/>
    <w:rsid w:val="00795146"/>
    <w:rsid w:val="0079517C"/>
    <w:rsid w:val="007951CE"/>
    <w:rsid w:val="00795268"/>
    <w:rsid w:val="007952A0"/>
    <w:rsid w:val="007952B2"/>
    <w:rsid w:val="007952F0"/>
    <w:rsid w:val="00795322"/>
    <w:rsid w:val="00795327"/>
    <w:rsid w:val="00795387"/>
    <w:rsid w:val="007953B7"/>
    <w:rsid w:val="00795420"/>
    <w:rsid w:val="007954DE"/>
    <w:rsid w:val="007954E5"/>
    <w:rsid w:val="00795534"/>
    <w:rsid w:val="007955C4"/>
    <w:rsid w:val="00795654"/>
    <w:rsid w:val="007956C8"/>
    <w:rsid w:val="00795731"/>
    <w:rsid w:val="0079578B"/>
    <w:rsid w:val="007958CE"/>
    <w:rsid w:val="007958D6"/>
    <w:rsid w:val="007959E9"/>
    <w:rsid w:val="00795A34"/>
    <w:rsid w:val="00795A4F"/>
    <w:rsid w:val="00795A73"/>
    <w:rsid w:val="00795AEA"/>
    <w:rsid w:val="00795B4D"/>
    <w:rsid w:val="00795C9D"/>
    <w:rsid w:val="00795CF5"/>
    <w:rsid w:val="00795E31"/>
    <w:rsid w:val="00795F01"/>
    <w:rsid w:val="00795F15"/>
    <w:rsid w:val="00795F35"/>
    <w:rsid w:val="00795F68"/>
    <w:rsid w:val="00795F8E"/>
    <w:rsid w:val="00796066"/>
    <w:rsid w:val="00796084"/>
    <w:rsid w:val="00796127"/>
    <w:rsid w:val="00796142"/>
    <w:rsid w:val="0079617D"/>
    <w:rsid w:val="007961CB"/>
    <w:rsid w:val="007962EF"/>
    <w:rsid w:val="00796350"/>
    <w:rsid w:val="0079637A"/>
    <w:rsid w:val="007963AB"/>
    <w:rsid w:val="007963F7"/>
    <w:rsid w:val="007963F9"/>
    <w:rsid w:val="00796496"/>
    <w:rsid w:val="007964A3"/>
    <w:rsid w:val="007964BC"/>
    <w:rsid w:val="0079651C"/>
    <w:rsid w:val="007966A1"/>
    <w:rsid w:val="00796777"/>
    <w:rsid w:val="007967B2"/>
    <w:rsid w:val="007967EB"/>
    <w:rsid w:val="007969B8"/>
    <w:rsid w:val="00796A5D"/>
    <w:rsid w:val="00796AD1"/>
    <w:rsid w:val="00796AFF"/>
    <w:rsid w:val="00796BBD"/>
    <w:rsid w:val="00796C0C"/>
    <w:rsid w:val="00796C66"/>
    <w:rsid w:val="00796CA3"/>
    <w:rsid w:val="00796D63"/>
    <w:rsid w:val="00796D75"/>
    <w:rsid w:val="00796E26"/>
    <w:rsid w:val="00796E6A"/>
    <w:rsid w:val="00796E84"/>
    <w:rsid w:val="00796E8F"/>
    <w:rsid w:val="00796EB4"/>
    <w:rsid w:val="00796EE3"/>
    <w:rsid w:val="00796F61"/>
    <w:rsid w:val="00796F7A"/>
    <w:rsid w:val="00796FB7"/>
    <w:rsid w:val="00797014"/>
    <w:rsid w:val="0079708F"/>
    <w:rsid w:val="007970A9"/>
    <w:rsid w:val="007970C4"/>
    <w:rsid w:val="0079713D"/>
    <w:rsid w:val="007971FD"/>
    <w:rsid w:val="00797239"/>
    <w:rsid w:val="00797248"/>
    <w:rsid w:val="007972D9"/>
    <w:rsid w:val="00797346"/>
    <w:rsid w:val="0079735A"/>
    <w:rsid w:val="00797481"/>
    <w:rsid w:val="007974F6"/>
    <w:rsid w:val="00797580"/>
    <w:rsid w:val="007975A0"/>
    <w:rsid w:val="00797687"/>
    <w:rsid w:val="0079769E"/>
    <w:rsid w:val="007976D5"/>
    <w:rsid w:val="007976D6"/>
    <w:rsid w:val="007976DD"/>
    <w:rsid w:val="007977B4"/>
    <w:rsid w:val="0079787E"/>
    <w:rsid w:val="007978DF"/>
    <w:rsid w:val="007978F6"/>
    <w:rsid w:val="00797953"/>
    <w:rsid w:val="0079796F"/>
    <w:rsid w:val="007979CC"/>
    <w:rsid w:val="007979FD"/>
    <w:rsid w:val="00797A6A"/>
    <w:rsid w:val="00797A6C"/>
    <w:rsid w:val="00797B88"/>
    <w:rsid w:val="00797C96"/>
    <w:rsid w:val="00797D11"/>
    <w:rsid w:val="00797DD3"/>
    <w:rsid w:val="00797E45"/>
    <w:rsid w:val="00797ED2"/>
    <w:rsid w:val="00797F74"/>
    <w:rsid w:val="00797FF1"/>
    <w:rsid w:val="007A0022"/>
    <w:rsid w:val="007A004D"/>
    <w:rsid w:val="007A0065"/>
    <w:rsid w:val="007A008C"/>
    <w:rsid w:val="007A00D9"/>
    <w:rsid w:val="007A00E2"/>
    <w:rsid w:val="007A0182"/>
    <w:rsid w:val="007A024F"/>
    <w:rsid w:val="007A026A"/>
    <w:rsid w:val="007A02A9"/>
    <w:rsid w:val="007A02EB"/>
    <w:rsid w:val="007A0495"/>
    <w:rsid w:val="007A0599"/>
    <w:rsid w:val="007A06DA"/>
    <w:rsid w:val="007A0710"/>
    <w:rsid w:val="007A0746"/>
    <w:rsid w:val="007A08E2"/>
    <w:rsid w:val="007A094E"/>
    <w:rsid w:val="007A0998"/>
    <w:rsid w:val="007A09A1"/>
    <w:rsid w:val="007A09CF"/>
    <w:rsid w:val="007A0A01"/>
    <w:rsid w:val="007A0AA0"/>
    <w:rsid w:val="007A0AA2"/>
    <w:rsid w:val="007A0AF6"/>
    <w:rsid w:val="007A0B6A"/>
    <w:rsid w:val="007A0D20"/>
    <w:rsid w:val="007A0D42"/>
    <w:rsid w:val="007A0DAA"/>
    <w:rsid w:val="007A0E20"/>
    <w:rsid w:val="007A0E44"/>
    <w:rsid w:val="007A0E82"/>
    <w:rsid w:val="007A0EA1"/>
    <w:rsid w:val="007A0F11"/>
    <w:rsid w:val="007A0F65"/>
    <w:rsid w:val="007A0FCA"/>
    <w:rsid w:val="007A0FF7"/>
    <w:rsid w:val="007A1079"/>
    <w:rsid w:val="007A1193"/>
    <w:rsid w:val="007A12A6"/>
    <w:rsid w:val="007A12E3"/>
    <w:rsid w:val="007A1383"/>
    <w:rsid w:val="007A139D"/>
    <w:rsid w:val="007A1421"/>
    <w:rsid w:val="007A1569"/>
    <w:rsid w:val="007A166D"/>
    <w:rsid w:val="007A16FD"/>
    <w:rsid w:val="007A1798"/>
    <w:rsid w:val="007A17BB"/>
    <w:rsid w:val="007A17C9"/>
    <w:rsid w:val="007A17D6"/>
    <w:rsid w:val="007A186B"/>
    <w:rsid w:val="007A1925"/>
    <w:rsid w:val="007A196B"/>
    <w:rsid w:val="007A1980"/>
    <w:rsid w:val="007A1A14"/>
    <w:rsid w:val="007A1A83"/>
    <w:rsid w:val="007A1BA0"/>
    <w:rsid w:val="007A1BC9"/>
    <w:rsid w:val="007A1D8A"/>
    <w:rsid w:val="007A1DA2"/>
    <w:rsid w:val="007A1DB7"/>
    <w:rsid w:val="007A1E03"/>
    <w:rsid w:val="007A1F08"/>
    <w:rsid w:val="007A1F31"/>
    <w:rsid w:val="007A20D4"/>
    <w:rsid w:val="007A20F6"/>
    <w:rsid w:val="007A215A"/>
    <w:rsid w:val="007A216A"/>
    <w:rsid w:val="007A218A"/>
    <w:rsid w:val="007A21DE"/>
    <w:rsid w:val="007A21E5"/>
    <w:rsid w:val="007A22EC"/>
    <w:rsid w:val="007A23A0"/>
    <w:rsid w:val="007A2433"/>
    <w:rsid w:val="007A2441"/>
    <w:rsid w:val="007A24A7"/>
    <w:rsid w:val="007A2500"/>
    <w:rsid w:val="007A256A"/>
    <w:rsid w:val="007A25E5"/>
    <w:rsid w:val="007A260D"/>
    <w:rsid w:val="007A262E"/>
    <w:rsid w:val="007A2691"/>
    <w:rsid w:val="007A26BC"/>
    <w:rsid w:val="007A2784"/>
    <w:rsid w:val="007A284E"/>
    <w:rsid w:val="007A28F8"/>
    <w:rsid w:val="007A2938"/>
    <w:rsid w:val="007A29BC"/>
    <w:rsid w:val="007A29CD"/>
    <w:rsid w:val="007A2A05"/>
    <w:rsid w:val="007A2A37"/>
    <w:rsid w:val="007A2A87"/>
    <w:rsid w:val="007A2AB2"/>
    <w:rsid w:val="007A2C8C"/>
    <w:rsid w:val="007A2CDB"/>
    <w:rsid w:val="007A2E31"/>
    <w:rsid w:val="007A2E75"/>
    <w:rsid w:val="007A3000"/>
    <w:rsid w:val="007A30B1"/>
    <w:rsid w:val="007A3117"/>
    <w:rsid w:val="007A31FA"/>
    <w:rsid w:val="007A329B"/>
    <w:rsid w:val="007A32EA"/>
    <w:rsid w:val="007A330B"/>
    <w:rsid w:val="007A33F0"/>
    <w:rsid w:val="007A3539"/>
    <w:rsid w:val="007A36C3"/>
    <w:rsid w:val="007A370D"/>
    <w:rsid w:val="007A3770"/>
    <w:rsid w:val="007A3851"/>
    <w:rsid w:val="007A38ED"/>
    <w:rsid w:val="007A3984"/>
    <w:rsid w:val="007A3A09"/>
    <w:rsid w:val="007A3A46"/>
    <w:rsid w:val="007A3A66"/>
    <w:rsid w:val="007A3B7E"/>
    <w:rsid w:val="007A3C54"/>
    <w:rsid w:val="007A3C95"/>
    <w:rsid w:val="007A3D4A"/>
    <w:rsid w:val="007A3D50"/>
    <w:rsid w:val="007A3E72"/>
    <w:rsid w:val="007A3EBA"/>
    <w:rsid w:val="007A3ECE"/>
    <w:rsid w:val="007A3F09"/>
    <w:rsid w:val="007A3F43"/>
    <w:rsid w:val="007A3F61"/>
    <w:rsid w:val="007A3F90"/>
    <w:rsid w:val="007A40D5"/>
    <w:rsid w:val="007A41BB"/>
    <w:rsid w:val="007A41D8"/>
    <w:rsid w:val="007A41FB"/>
    <w:rsid w:val="007A42FB"/>
    <w:rsid w:val="007A42FF"/>
    <w:rsid w:val="007A430E"/>
    <w:rsid w:val="007A437C"/>
    <w:rsid w:val="007A43DE"/>
    <w:rsid w:val="007A4634"/>
    <w:rsid w:val="007A4644"/>
    <w:rsid w:val="007A4657"/>
    <w:rsid w:val="007A4712"/>
    <w:rsid w:val="007A47AB"/>
    <w:rsid w:val="007A4812"/>
    <w:rsid w:val="007A48CC"/>
    <w:rsid w:val="007A4935"/>
    <w:rsid w:val="007A4943"/>
    <w:rsid w:val="007A49CF"/>
    <w:rsid w:val="007A4AAE"/>
    <w:rsid w:val="007A4AB8"/>
    <w:rsid w:val="007A4ABB"/>
    <w:rsid w:val="007A4AF4"/>
    <w:rsid w:val="007A4BE3"/>
    <w:rsid w:val="007A4C14"/>
    <w:rsid w:val="007A4D46"/>
    <w:rsid w:val="007A4DB4"/>
    <w:rsid w:val="007A4E33"/>
    <w:rsid w:val="007A4E45"/>
    <w:rsid w:val="007A4E67"/>
    <w:rsid w:val="007A4EF1"/>
    <w:rsid w:val="007A4F91"/>
    <w:rsid w:val="007A5007"/>
    <w:rsid w:val="007A503B"/>
    <w:rsid w:val="007A50A6"/>
    <w:rsid w:val="007A5102"/>
    <w:rsid w:val="007A5106"/>
    <w:rsid w:val="007A517C"/>
    <w:rsid w:val="007A5240"/>
    <w:rsid w:val="007A52E7"/>
    <w:rsid w:val="007A539B"/>
    <w:rsid w:val="007A53ED"/>
    <w:rsid w:val="007A548C"/>
    <w:rsid w:val="007A5605"/>
    <w:rsid w:val="007A56A1"/>
    <w:rsid w:val="007A56BB"/>
    <w:rsid w:val="007A57D7"/>
    <w:rsid w:val="007A587A"/>
    <w:rsid w:val="007A5917"/>
    <w:rsid w:val="007A596C"/>
    <w:rsid w:val="007A5A5B"/>
    <w:rsid w:val="007A5A69"/>
    <w:rsid w:val="007A5A79"/>
    <w:rsid w:val="007A5AF6"/>
    <w:rsid w:val="007A5B02"/>
    <w:rsid w:val="007A5B12"/>
    <w:rsid w:val="007A5B63"/>
    <w:rsid w:val="007A5B86"/>
    <w:rsid w:val="007A5BAF"/>
    <w:rsid w:val="007A5BFF"/>
    <w:rsid w:val="007A5C51"/>
    <w:rsid w:val="007A5C5E"/>
    <w:rsid w:val="007A5CD9"/>
    <w:rsid w:val="007A5DEA"/>
    <w:rsid w:val="007A5E67"/>
    <w:rsid w:val="007A5E76"/>
    <w:rsid w:val="007A5E8D"/>
    <w:rsid w:val="007A5FAE"/>
    <w:rsid w:val="007A60EF"/>
    <w:rsid w:val="007A619D"/>
    <w:rsid w:val="007A6229"/>
    <w:rsid w:val="007A6371"/>
    <w:rsid w:val="007A6493"/>
    <w:rsid w:val="007A64D1"/>
    <w:rsid w:val="007A6655"/>
    <w:rsid w:val="007A666F"/>
    <w:rsid w:val="007A6683"/>
    <w:rsid w:val="007A674E"/>
    <w:rsid w:val="007A6781"/>
    <w:rsid w:val="007A67CE"/>
    <w:rsid w:val="007A67DC"/>
    <w:rsid w:val="007A6810"/>
    <w:rsid w:val="007A6817"/>
    <w:rsid w:val="007A68F8"/>
    <w:rsid w:val="007A6956"/>
    <w:rsid w:val="007A6960"/>
    <w:rsid w:val="007A6B1A"/>
    <w:rsid w:val="007A6C5F"/>
    <w:rsid w:val="007A6CA8"/>
    <w:rsid w:val="007A6D8E"/>
    <w:rsid w:val="007A6E00"/>
    <w:rsid w:val="007A7142"/>
    <w:rsid w:val="007A71A8"/>
    <w:rsid w:val="007A71C9"/>
    <w:rsid w:val="007A723B"/>
    <w:rsid w:val="007A72AD"/>
    <w:rsid w:val="007A72D5"/>
    <w:rsid w:val="007A732B"/>
    <w:rsid w:val="007A7377"/>
    <w:rsid w:val="007A738D"/>
    <w:rsid w:val="007A7408"/>
    <w:rsid w:val="007A7494"/>
    <w:rsid w:val="007A75C9"/>
    <w:rsid w:val="007A75FA"/>
    <w:rsid w:val="007A789D"/>
    <w:rsid w:val="007A78E8"/>
    <w:rsid w:val="007A7984"/>
    <w:rsid w:val="007A79B5"/>
    <w:rsid w:val="007A79B7"/>
    <w:rsid w:val="007A7A54"/>
    <w:rsid w:val="007A7AD1"/>
    <w:rsid w:val="007A7B45"/>
    <w:rsid w:val="007A7B7C"/>
    <w:rsid w:val="007A7BA1"/>
    <w:rsid w:val="007A7C30"/>
    <w:rsid w:val="007A7C80"/>
    <w:rsid w:val="007A7DB6"/>
    <w:rsid w:val="007A7E57"/>
    <w:rsid w:val="007A7E8B"/>
    <w:rsid w:val="007A7EEE"/>
    <w:rsid w:val="007A7F18"/>
    <w:rsid w:val="007B010A"/>
    <w:rsid w:val="007B0154"/>
    <w:rsid w:val="007B019F"/>
    <w:rsid w:val="007B01EF"/>
    <w:rsid w:val="007B01F0"/>
    <w:rsid w:val="007B01FF"/>
    <w:rsid w:val="007B0240"/>
    <w:rsid w:val="007B0244"/>
    <w:rsid w:val="007B027F"/>
    <w:rsid w:val="007B0280"/>
    <w:rsid w:val="007B0329"/>
    <w:rsid w:val="007B0466"/>
    <w:rsid w:val="007B0481"/>
    <w:rsid w:val="007B05A5"/>
    <w:rsid w:val="007B06C7"/>
    <w:rsid w:val="007B0751"/>
    <w:rsid w:val="007B075A"/>
    <w:rsid w:val="007B076C"/>
    <w:rsid w:val="007B098A"/>
    <w:rsid w:val="007B09B5"/>
    <w:rsid w:val="007B09EA"/>
    <w:rsid w:val="007B0A0A"/>
    <w:rsid w:val="007B0A7F"/>
    <w:rsid w:val="007B0B87"/>
    <w:rsid w:val="007B0B92"/>
    <w:rsid w:val="007B0BA0"/>
    <w:rsid w:val="007B0BB6"/>
    <w:rsid w:val="007B0BD1"/>
    <w:rsid w:val="007B0BFB"/>
    <w:rsid w:val="007B0C73"/>
    <w:rsid w:val="007B0C79"/>
    <w:rsid w:val="007B0D53"/>
    <w:rsid w:val="007B0ECA"/>
    <w:rsid w:val="007B0F53"/>
    <w:rsid w:val="007B0F55"/>
    <w:rsid w:val="007B0F9A"/>
    <w:rsid w:val="007B1016"/>
    <w:rsid w:val="007B1045"/>
    <w:rsid w:val="007B1066"/>
    <w:rsid w:val="007B10E7"/>
    <w:rsid w:val="007B1174"/>
    <w:rsid w:val="007B13AA"/>
    <w:rsid w:val="007B13EA"/>
    <w:rsid w:val="007B1405"/>
    <w:rsid w:val="007B1505"/>
    <w:rsid w:val="007B15B1"/>
    <w:rsid w:val="007B1625"/>
    <w:rsid w:val="007B1697"/>
    <w:rsid w:val="007B16AC"/>
    <w:rsid w:val="007B16DA"/>
    <w:rsid w:val="007B16ED"/>
    <w:rsid w:val="007B16F7"/>
    <w:rsid w:val="007B177E"/>
    <w:rsid w:val="007B177F"/>
    <w:rsid w:val="007B1B24"/>
    <w:rsid w:val="007B1BAA"/>
    <w:rsid w:val="007B1BC3"/>
    <w:rsid w:val="007B1C63"/>
    <w:rsid w:val="007B1D91"/>
    <w:rsid w:val="007B1E64"/>
    <w:rsid w:val="007B1E6F"/>
    <w:rsid w:val="007B1ECF"/>
    <w:rsid w:val="007B1F1B"/>
    <w:rsid w:val="007B1FE8"/>
    <w:rsid w:val="007B2045"/>
    <w:rsid w:val="007B21CF"/>
    <w:rsid w:val="007B21D1"/>
    <w:rsid w:val="007B21ED"/>
    <w:rsid w:val="007B2205"/>
    <w:rsid w:val="007B2222"/>
    <w:rsid w:val="007B2297"/>
    <w:rsid w:val="007B235E"/>
    <w:rsid w:val="007B237A"/>
    <w:rsid w:val="007B23B6"/>
    <w:rsid w:val="007B2465"/>
    <w:rsid w:val="007B2494"/>
    <w:rsid w:val="007B24D0"/>
    <w:rsid w:val="007B2508"/>
    <w:rsid w:val="007B2540"/>
    <w:rsid w:val="007B2545"/>
    <w:rsid w:val="007B2551"/>
    <w:rsid w:val="007B2565"/>
    <w:rsid w:val="007B25B2"/>
    <w:rsid w:val="007B25EA"/>
    <w:rsid w:val="007B2660"/>
    <w:rsid w:val="007B2677"/>
    <w:rsid w:val="007B2785"/>
    <w:rsid w:val="007B27C1"/>
    <w:rsid w:val="007B27E8"/>
    <w:rsid w:val="007B28BD"/>
    <w:rsid w:val="007B28C4"/>
    <w:rsid w:val="007B28DB"/>
    <w:rsid w:val="007B28F5"/>
    <w:rsid w:val="007B2902"/>
    <w:rsid w:val="007B294D"/>
    <w:rsid w:val="007B29AF"/>
    <w:rsid w:val="007B2BE4"/>
    <w:rsid w:val="007B2C03"/>
    <w:rsid w:val="007B2E3F"/>
    <w:rsid w:val="007B2E93"/>
    <w:rsid w:val="007B309E"/>
    <w:rsid w:val="007B30F6"/>
    <w:rsid w:val="007B344B"/>
    <w:rsid w:val="007B345E"/>
    <w:rsid w:val="007B347D"/>
    <w:rsid w:val="007B3529"/>
    <w:rsid w:val="007B352A"/>
    <w:rsid w:val="007B3534"/>
    <w:rsid w:val="007B3564"/>
    <w:rsid w:val="007B3612"/>
    <w:rsid w:val="007B36EC"/>
    <w:rsid w:val="007B3717"/>
    <w:rsid w:val="007B3777"/>
    <w:rsid w:val="007B377C"/>
    <w:rsid w:val="007B37CE"/>
    <w:rsid w:val="007B3874"/>
    <w:rsid w:val="007B38F1"/>
    <w:rsid w:val="007B3921"/>
    <w:rsid w:val="007B393D"/>
    <w:rsid w:val="007B3942"/>
    <w:rsid w:val="007B3980"/>
    <w:rsid w:val="007B39C2"/>
    <w:rsid w:val="007B3A35"/>
    <w:rsid w:val="007B3A64"/>
    <w:rsid w:val="007B3A8D"/>
    <w:rsid w:val="007B3A92"/>
    <w:rsid w:val="007B3C1F"/>
    <w:rsid w:val="007B3C6A"/>
    <w:rsid w:val="007B3CC5"/>
    <w:rsid w:val="007B3CFE"/>
    <w:rsid w:val="007B3D19"/>
    <w:rsid w:val="007B3D82"/>
    <w:rsid w:val="007B3D83"/>
    <w:rsid w:val="007B3DC0"/>
    <w:rsid w:val="007B3EFA"/>
    <w:rsid w:val="007B3F03"/>
    <w:rsid w:val="007B3F89"/>
    <w:rsid w:val="007B4005"/>
    <w:rsid w:val="007B40B9"/>
    <w:rsid w:val="007B40D4"/>
    <w:rsid w:val="007B4217"/>
    <w:rsid w:val="007B4242"/>
    <w:rsid w:val="007B436A"/>
    <w:rsid w:val="007B447E"/>
    <w:rsid w:val="007B4493"/>
    <w:rsid w:val="007B4604"/>
    <w:rsid w:val="007B4646"/>
    <w:rsid w:val="007B4707"/>
    <w:rsid w:val="007B47F9"/>
    <w:rsid w:val="007B482D"/>
    <w:rsid w:val="007B482F"/>
    <w:rsid w:val="007B4830"/>
    <w:rsid w:val="007B49D0"/>
    <w:rsid w:val="007B49DF"/>
    <w:rsid w:val="007B4B1C"/>
    <w:rsid w:val="007B4B9E"/>
    <w:rsid w:val="007B4C54"/>
    <w:rsid w:val="007B4C84"/>
    <w:rsid w:val="007B4CA8"/>
    <w:rsid w:val="007B4CE1"/>
    <w:rsid w:val="007B4D3E"/>
    <w:rsid w:val="007B4D94"/>
    <w:rsid w:val="007B4DF7"/>
    <w:rsid w:val="007B4EA1"/>
    <w:rsid w:val="007B4F1A"/>
    <w:rsid w:val="007B4FE6"/>
    <w:rsid w:val="007B4FEA"/>
    <w:rsid w:val="007B4FFC"/>
    <w:rsid w:val="007B5080"/>
    <w:rsid w:val="007B5180"/>
    <w:rsid w:val="007B522C"/>
    <w:rsid w:val="007B5362"/>
    <w:rsid w:val="007B53DA"/>
    <w:rsid w:val="007B53F4"/>
    <w:rsid w:val="007B560F"/>
    <w:rsid w:val="007B5673"/>
    <w:rsid w:val="007B5799"/>
    <w:rsid w:val="007B5B1B"/>
    <w:rsid w:val="007B5B2A"/>
    <w:rsid w:val="007B5B43"/>
    <w:rsid w:val="007B5B5D"/>
    <w:rsid w:val="007B5BB3"/>
    <w:rsid w:val="007B5BBF"/>
    <w:rsid w:val="007B5C1D"/>
    <w:rsid w:val="007B5C21"/>
    <w:rsid w:val="007B5CBE"/>
    <w:rsid w:val="007B5D89"/>
    <w:rsid w:val="007B5ECC"/>
    <w:rsid w:val="007B5F89"/>
    <w:rsid w:val="007B5F95"/>
    <w:rsid w:val="007B6068"/>
    <w:rsid w:val="007B6092"/>
    <w:rsid w:val="007B60BB"/>
    <w:rsid w:val="007B60F0"/>
    <w:rsid w:val="007B61F7"/>
    <w:rsid w:val="007B6281"/>
    <w:rsid w:val="007B62C4"/>
    <w:rsid w:val="007B62EA"/>
    <w:rsid w:val="007B6316"/>
    <w:rsid w:val="007B6361"/>
    <w:rsid w:val="007B64A5"/>
    <w:rsid w:val="007B6525"/>
    <w:rsid w:val="007B6539"/>
    <w:rsid w:val="007B6639"/>
    <w:rsid w:val="007B6666"/>
    <w:rsid w:val="007B66AF"/>
    <w:rsid w:val="007B689D"/>
    <w:rsid w:val="007B68C4"/>
    <w:rsid w:val="007B690A"/>
    <w:rsid w:val="007B695E"/>
    <w:rsid w:val="007B69EC"/>
    <w:rsid w:val="007B6A3E"/>
    <w:rsid w:val="007B6A52"/>
    <w:rsid w:val="007B6AB0"/>
    <w:rsid w:val="007B6B38"/>
    <w:rsid w:val="007B6BD1"/>
    <w:rsid w:val="007B6BE4"/>
    <w:rsid w:val="007B6C2A"/>
    <w:rsid w:val="007B6CCB"/>
    <w:rsid w:val="007B6CEF"/>
    <w:rsid w:val="007B6CF5"/>
    <w:rsid w:val="007B6D07"/>
    <w:rsid w:val="007B6E60"/>
    <w:rsid w:val="007B6E88"/>
    <w:rsid w:val="007B6F0D"/>
    <w:rsid w:val="007B6F90"/>
    <w:rsid w:val="007B70B8"/>
    <w:rsid w:val="007B71A5"/>
    <w:rsid w:val="007B71F2"/>
    <w:rsid w:val="007B7221"/>
    <w:rsid w:val="007B726D"/>
    <w:rsid w:val="007B72B7"/>
    <w:rsid w:val="007B7307"/>
    <w:rsid w:val="007B7341"/>
    <w:rsid w:val="007B7387"/>
    <w:rsid w:val="007B73AD"/>
    <w:rsid w:val="007B7433"/>
    <w:rsid w:val="007B74D4"/>
    <w:rsid w:val="007B7502"/>
    <w:rsid w:val="007B750C"/>
    <w:rsid w:val="007B76AB"/>
    <w:rsid w:val="007B76CE"/>
    <w:rsid w:val="007B7703"/>
    <w:rsid w:val="007B771D"/>
    <w:rsid w:val="007B7724"/>
    <w:rsid w:val="007B77CB"/>
    <w:rsid w:val="007B7896"/>
    <w:rsid w:val="007B78AA"/>
    <w:rsid w:val="007B78C8"/>
    <w:rsid w:val="007B78CE"/>
    <w:rsid w:val="007B78F1"/>
    <w:rsid w:val="007B794A"/>
    <w:rsid w:val="007B7982"/>
    <w:rsid w:val="007B7AA1"/>
    <w:rsid w:val="007B7AA2"/>
    <w:rsid w:val="007B7AB4"/>
    <w:rsid w:val="007B7B2E"/>
    <w:rsid w:val="007B7B51"/>
    <w:rsid w:val="007B7B61"/>
    <w:rsid w:val="007B7C43"/>
    <w:rsid w:val="007B7C62"/>
    <w:rsid w:val="007B7D20"/>
    <w:rsid w:val="007B7D2A"/>
    <w:rsid w:val="007B7D31"/>
    <w:rsid w:val="007B7E74"/>
    <w:rsid w:val="007B7E9F"/>
    <w:rsid w:val="007B7F3C"/>
    <w:rsid w:val="007C00B3"/>
    <w:rsid w:val="007C01AF"/>
    <w:rsid w:val="007C0278"/>
    <w:rsid w:val="007C0376"/>
    <w:rsid w:val="007C0390"/>
    <w:rsid w:val="007C03DF"/>
    <w:rsid w:val="007C04B2"/>
    <w:rsid w:val="007C069D"/>
    <w:rsid w:val="007C077E"/>
    <w:rsid w:val="007C07B4"/>
    <w:rsid w:val="007C0820"/>
    <w:rsid w:val="007C0874"/>
    <w:rsid w:val="007C08AF"/>
    <w:rsid w:val="007C08B6"/>
    <w:rsid w:val="007C0A7B"/>
    <w:rsid w:val="007C0AA1"/>
    <w:rsid w:val="007C0B4D"/>
    <w:rsid w:val="007C0BCC"/>
    <w:rsid w:val="007C0BD2"/>
    <w:rsid w:val="007C0BF0"/>
    <w:rsid w:val="007C0CB1"/>
    <w:rsid w:val="007C0CE9"/>
    <w:rsid w:val="007C0D17"/>
    <w:rsid w:val="007C0D3A"/>
    <w:rsid w:val="007C0D48"/>
    <w:rsid w:val="007C0D75"/>
    <w:rsid w:val="007C0DE5"/>
    <w:rsid w:val="007C0E71"/>
    <w:rsid w:val="007C0EB6"/>
    <w:rsid w:val="007C0ECB"/>
    <w:rsid w:val="007C0F17"/>
    <w:rsid w:val="007C1063"/>
    <w:rsid w:val="007C1164"/>
    <w:rsid w:val="007C11A4"/>
    <w:rsid w:val="007C11CB"/>
    <w:rsid w:val="007C124B"/>
    <w:rsid w:val="007C124F"/>
    <w:rsid w:val="007C140D"/>
    <w:rsid w:val="007C1443"/>
    <w:rsid w:val="007C14E1"/>
    <w:rsid w:val="007C1537"/>
    <w:rsid w:val="007C1671"/>
    <w:rsid w:val="007C172B"/>
    <w:rsid w:val="007C174F"/>
    <w:rsid w:val="007C17CF"/>
    <w:rsid w:val="007C17DC"/>
    <w:rsid w:val="007C17EB"/>
    <w:rsid w:val="007C180E"/>
    <w:rsid w:val="007C1828"/>
    <w:rsid w:val="007C1875"/>
    <w:rsid w:val="007C1976"/>
    <w:rsid w:val="007C1988"/>
    <w:rsid w:val="007C1A0C"/>
    <w:rsid w:val="007C1A2B"/>
    <w:rsid w:val="007C1AAE"/>
    <w:rsid w:val="007C1B83"/>
    <w:rsid w:val="007C1B9D"/>
    <w:rsid w:val="007C1BDB"/>
    <w:rsid w:val="007C1C3B"/>
    <w:rsid w:val="007C1D5C"/>
    <w:rsid w:val="007C1DE7"/>
    <w:rsid w:val="007C1FCF"/>
    <w:rsid w:val="007C206E"/>
    <w:rsid w:val="007C218B"/>
    <w:rsid w:val="007C21B9"/>
    <w:rsid w:val="007C2233"/>
    <w:rsid w:val="007C2263"/>
    <w:rsid w:val="007C233A"/>
    <w:rsid w:val="007C243E"/>
    <w:rsid w:val="007C2449"/>
    <w:rsid w:val="007C246E"/>
    <w:rsid w:val="007C2498"/>
    <w:rsid w:val="007C2510"/>
    <w:rsid w:val="007C2580"/>
    <w:rsid w:val="007C262C"/>
    <w:rsid w:val="007C27B8"/>
    <w:rsid w:val="007C27D4"/>
    <w:rsid w:val="007C287E"/>
    <w:rsid w:val="007C2903"/>
    <w:rsid w:val="007C2967"/>
    <w:rsid w:val="007C2982"/>
    <w:rsid w:val="007C29D9"/>
    <w:rsid w:val="007C2B00"/>
    <w:rsid w:val="007C2B2B"/>
    <w:rsid w:val="007C2B9D"/>
    <w:rsid w:val="007C2BD3"/>
    <w:rsid w:val="007C2C51"/>
    <w:rsid w:val="007C2C5B"/>
    <w:rsid w:val="007C2CA9"/>
    <w:rsid w:val="007C2CD5"/>
    <w:rsid w:val="007C2D74"/>
    <w:rsid w:val="007C2E49"/>
    <w:rsid w:val="007C2EE2"/>
    <w:rsid w:val="007C2EF3"/>
    <w:rsid w:val="007C2EF9"/>
    <w:rsid w:val="007C2F09"/>
    <w:rsid w:val="007C2F15"/>
    <w:rsid w:val="007C2F3E"/>
    <w:rsid w:val="007C303C"/>
    <w:rsid w:val="007C3061"/>
    <w:rsid w:val="007C30D5"/>
    <w:rsid w:val="007C311F"/>
    <w:rsid w:val="007C3282"/>
    <w:rsid w:val="007C32A3"/>
    <w:rsid w:val="007C32BF"/>
    <w:rsid w:val="007C3302"/>
    <w:rsid w:val="007C330A"/>
    <w:rsid w:val="007C3378"/>
    <w:rsid w:val="007C33F1"/>
    <w:rsid w:val="007C3406"/>
    <w:rsid w:val="007C3425"/>
    <w:rsid w:val="007C3446"/>
    <w:rsid w:val="007C350C"/>
    <w:rsid w:val="007C351D"/>
    <w:rsid w:val="007C3529"/>
    <w:rsid w:val="007C3537"/>
    <w:rsid w:val="007C3554"/>
    <w:rsid w:val="007C3562"/>
    <w:rsid w:val="007C35F1"/>
    <w:rsid w:val="007C3614"/>
    <w:rsid w:val="007C36B6"/>
    <w:rsid w:val="007C36D7"/>
    <w:rsid w:val="007C3724"/>
    <w:rsid w:val="007C373A"/>
    <w:rsid w:val="007C3804"/>
    <w:rsid w:val="007C3811"/>
    <w:rsid w:val="007C38E2"/>
    <w:rsid w:val="007C39D2"/>
    <w:rsid w:val="007C3A1C"/>
    <w:rsid w:val="007C3B57"/>
    <w:rsid w:val="007C3B59"/>
    <w:rsid w:val="007C3B96"/>
    <w:rsid w:val="007C3C75"/>
    <w:rsid w:val="007C3D2C"/>
    <w:rsid w:val="007C3D3C"/>
    <w:rsid w:val="007C3D58"/>
    <w:rsid w:val="007C3D5D"/>
    <w:rsid w:val="007C3DE7"/>
    <w:rsid w:val="007C3E27"/>
    <w:rsid w:val="007C3E6A"/>
    <w:rsid w:val="007C3E7D"/>
    <w:rsid w:val="007C3F51"/>
    <w:rsid w:val="007C403A"/>
    <w:rsid w:val="007C4186"/>
    <w:rsid w:val="007C41D9"/>
    <w:rsid w:val="007C42AC"/>
    <w:rsid w:val="007C42C1"/>
    <w:rsid w:val="007C4329"/>
    <w:rsid w:val="007C4335"/>
    <w:rsid w:val="007C44BB"/>
    <w:rsid w:val="007C45A1"/>
    <w:rsid w:val="007C4629"/>
    <w:rsid w:val="007C472A"/>
    <w:rsid w:val="007C47D6"/>
    <w:rsid w:val="007C480E"/>
    <w:rsid w:val="007C4850"/>
    <w:rsid w:val="007C487B"/>
    <w:rsid w:val="007C48D9"/>
    <w:rsid w:val="007C48E5"/>
    <w:rsid w:val="007C492E"/>
    <w:rsid w:val="007C498F"/>
    <w:rsid w:val="007C4B3E"/>
    <w:rsid w:val="007C4B5F"/>
    <w:rsid w:val="007C4CA2"/>
    <w:rsid w:val="007C4CCF"/>
    <w:rsid w:val="007C4D16"/>
    <w:rsid w:val="007C4D20"/>
    <w:rsid w:val="007C4E92"/>
    <w:rsid w:val="007C4EFE"/>
    <w:rsid w:val="007C4F20"/>
    <w:rsid w:val="007C502A"/>
    <w:rsid w:val="007C50AD"/>
    <w:rsid w:val="007C511A"/>
    <w:rsid w:val="007C54CE"/>
    <w:rsid w:val="007C55BE"/>
    <w:rsid w:val="007C562A"/>
    <w:rsid w:val="007C563D"/>
    <w:rsid w:val="007C5758"/>
    <w:rsid w:val="007C5A7E"/>
    <w:rsid w:val="007C5AA6"/>
    <w:rsid w:val="007C5AFF"/>
    <w:rsid w:val="007C5B48"/>
    <w:rsid w:val="007C5B97"/>
    <w:rsid w:val="007C5BE7"/>
    <w:rsid w:val="007C5C52"/>
    <w:rsid w:val="007C5C9C"/>
    <w:rsid w:val="007C5D61"/>
    <w:rsid w:val="007C5DCA"/>
    <w:rsid w:val="007C5DF8"/>
    <w:rsid w:val="007C5F16"/>
    <w:rsid w:val="007C5F55"/>
    <w:rsid w:val="007C5F6B"/>
    <w:rsid w:val="007C5FEB"/>
    <w:rsid w:val="007C5FFE"/>
    <w:rsid w:val="007C60B9"/>
    <w:rsid w:val="007C613D"/>
    <w:rsid w:val="007C6187"/>
    <w:rsid w:val="007C61BF"/>
    <w:rsid w:val="007C6212"/>
    <w:rsid w:val="007C6338"/>
    <w:rsid w:val="007C63FC"/>
    <w:rsid w:val="007C641E"/>
    <w:rsid w:val="007C643D"/>
    <w:rsid w:val="007C6494"/>
    <w:rsid w:val="007C65F9"/>
    <w:rsid w:val="007C674E"/>
    <w:rsid w:val="007C6751"/>
    <w:rsid w:val="007C6775"/>
    <w:rsid w:val="007C685C"/>
    <w:rsid w:val="007C685E"/>
    <w:rsid w:val="007C6877"/>
    <w:rsid w:val="007C695F"/>
    <w:rsid w:val="007C69D9"/>
    <w:rsid w:val="007C6A37"/>
    <w:rsid w:val="007C6A5E"/>
    <w:rsid w:val="007C6A67"/>
    <w:rsid w:val="007C6AB2"/>
    <w:rsid w:val="007C6B19"/>
    <w:rsid w:val="007C6BA0"/>
    <w:rsid w:val="007C6BF5"/>
    <w:rsid w:val="007C6C2D"/>
    <w:rsid w:val="007C6C6C"/>
    <w:rsid w:val="007C6C95"/>
    <w:rsid w:val="007C6CC7"/>
    <w:rsid w:val="007C6CF0"/>
    <w:rsid w:val="007C6D3D"/>
    <w:rsid w:val="007C6D4E"/>
    <w:rsid w:val="007C6D5C"/>
    <w:rsid w:val="007C6DA3"/>
    <w:rsid w:val="007C6DC7"/>
    <w:rsid w:val="007C6F1B"/>
    <w:rsid w:val="007C6FA4"/>
    <w:rsid w:val="007C6FBC"/>
    <w:rsid w:val="007C70E3"/>
    <w:rsid w:val="007C70E8"/>
    <w:rsid w:val="007C7115"/>
    <w:rsid w:val="007C7137"/>
    <w:rsid w:val="007C7181"/>
    <w:rsid w:val="007C719B"/>
    <w:rsid w:val="007C71A2"/>
    <w:rsid w:val="007C71BF"/>
    <w:rsid w:val="007C71EC"/>
    <w:rsid w:val="007C782F"/>
    <w:rsid w:val="007C78C6"/>
    <w:rsid w:val="007C7A3B"/>
    <w:rsid w:val="007C7A75"/>
    <w:rsid w:val="007C7ACB"/>
    <w:rsid w:val="007C7B4E"/>
    <w:rsid w:val="007C7B86"/>
    <w:rsid w:val="007C7C24"/>
    <w:rsid w:val="007C7C4F"/>
    <w:rsid w:val="007C7D48"/>
    <w:rsid w:val="007C7D68"/>
    <w:rsid w:val="007C7DBB"/>
    <w:rsid w:val="007C7E08"/>
    <w:rsid w:val="007C7E0C"/>
    <w:rsid w:val="007C7E58"/>
    <w:rsid w:val="007D0023"/>
    <w:rsid w:val="007D0026"/>
    <w:rsid w:val="007D0030"/>
    <w:rsid w:val="007D00A8"/>
    <w:rsid w:val="007D0126"/>
    <w:rsid w:val="007D0207"/>
    <w:rsid w:val="007D02DA"/>
    <w:rsid w:val="007D02FB"/>
    <w:rsid w:val="007D0338"/>
    <w:rsid w:val="007D03AF"/>
    <w:rsid w:val="007D046D"/>
    <w:rsid w:val="007D046E"/>
    <w:rsid w:val="007D048C"/>
    <w:rsid w:val="007D06FC"/>
    <w:rsid w:val="007D0773"/>
    <w:rsid w:val="007D089D"/>
    <w:rsid w:val="007D08CA"/>
    <w:rsid w:val="007D0995"/>
    <w:rsid w:val="007D099D"/>
    <w:rsid w:val="007D09DE"/>
    <w:rsid w:val="007D09FA"/>
    <w:rsid w:val="007D0A0E"/>
    <w:rsid w:val="007D0A1A"/>
    <w:rsid w:val="007D0A79"/>
    <w:rsid w:val="007D0B66"/>
    <w:rsid w:val="007D0B8F"/>
    <w:rsid w:val="007D0C68"/>
    <w:rsid w:val="007D0CA8"/>
    <w:rsid w:val="007D0D9C"/>
    <w:rsid w:val="007D0E74"/>
    <w:rsid w:val="007D0E89"/>
    <w:rsid w:val="007D0F01"/>
    <w:rsid w:val="007D0F8A"/>
    <w:rsid w:val="007D0FBB"/>
    <w:rsid w:val="007D0FE2"/>
    <w:rsid w:val="007D105D"/>
    <w:rsid w:val="007D1073"/>
    <w:rsid w:val="007D10FA"/>
    <w:rsid w:val="007D111E"/>
    <w:rsid w:val="007D11A7"/>
    <w:rsid w:val="007D11D7"/>
    <w:rsid w:val="007D11E2"/>
    <w:rsid w:val="007D1266"/>
    <w:rsid w:val="007D12D8"/>
    <w:rsid w:val="007D12F8"/>
    <w:rsid w:val="007D133B"/>
    <w:rsid w:val="007D1424"/>
    <w:rsid w:val="007D16A9"/>
    <w:rsid w:val="007D176A"/>
    <w:rsid w:val="007D17E3"/>
    <w:rsid w:val="007D1928"/>
    <w:rsid w:val="007D19F7"/>
    <w:rsid w:val="007D1A2E"/>
    <w:rsid w:val="007D1C94"/>
    <w:rsid w:val="007D1D34"/>
    <w:rsid w:val="007D1D81"/>
    <w:rsid w:val="007D1DD6"/>
    <w:rsid w:val="007D1E3B"/>
    <w:rsid w:val="007D1E98"/>
    <w:rsid w:val="007D1F43"/>
    <w:rsid w:val="007D1FA4"/>
    <w:rsid w:val="007D20CD"/>
    <w:rsid w:val="007D20DF"/>
    <w:rsid w:val="007D218E"/>
    <w:rsid w:val="007D2269"/>
    <w:rsid w:val="007D236D"/>
    <w:rsid w:val="007D23AB"/>
    <w:rsid w:val="007D2417"/>
    <w:rsid w:val="007D2460"/>
    <w:rsid w:val="007D2537"/>
    <w:rsid w:val="007D254A"/>
    <w:rsid w:val="007D254D"/>
    <w:rsid w:val="007D25B6"/>
    <w:rsid w:val="007D260A"/>
    <w:rsid w:val="007D2802"/>
    <w:rsid w:val="007D28F0"/>
    <w:rsid w:val="007D28F2"/>
    <w:rsid w:val="007D2913"/>
    <w:rsid w:val="007D2993"/>
    <w:rsid w:val="007D2A82"/>
    <w:rsid w:val="007D2AD0"/>
    <w:rsid w:val="007D2AEE"/>
    <w:rsid w:val="007D2AF1"/>
    <w:rsid w:val="007D2B3D"/>
    <w:rsid w:val="007D2BDA"/>
    <w:rsid w:val="007D2BFE"/>
    <w:rsid w:val="007D2C44"/>
    <w:rsid w:val="007D2C5E"/>
    <w:rsid w:val="007D2C98"/>
    <w:rsid w:val="007D2CFC"/>
    <w:rsid w:val="007D2E0A"/>
    <w:rsid w:val="007D303B"/>
    <w:rsid w:val="007D303F"/>
    <w:rsid w:val="007D30E5"/>
    <w:rsid w:val="007D30E7"/>
    <w:rsid w:val="007D3119"/>
    <w:rsid w:val="007D3190"/>
    <w:rsid w:val="007D31F0"/>
    <w:rsid w:val="007D323A"/>
    <w:rsid w:val="007D3293"/>
    <w:rsid w:val="007D3309"/>
    <w:rsid w:val="007D333A"/>
    <w:rsid w:val="007D3409"/>
    <w:rsid w:val="007D341C"/>
    <w:rsid w:val="007D3478"/>
    <w:rsid w:val="007D34B1"/>
    <w:rsid w:val="007D3542"/>
    <w:rsid w:val="007D35AA"/>
    <w:rsid w:val="007D35B5"/>
    <w:rsid w:val="007D35F6"/>
    <w:rsid w:val="007D3645"/>
    <w:rsid w:val="007D365B"/>
    <w:rsid w:val="007D367B"/>
    <w:rsid w:val="007D3789"/>
    <w:rsid w:val="007D37A3"/>
    <w:rsid w:val="007D382A"/>
    <w:rsid w:val="007D393E"/>
    <w:rsid w:val="007D3999"/>
    <w:rsid w:val="007D39BC"/>
    <w:rsid w:val="007D3B28"/>
    <w:rsid w:val="007D3B98"/>
    <w:rsid w:val="007D3BB4"/>
    <w:rsid w:val="007D3C34"/>
    <w:rsid w:val="007D3C7E"/>
    <w:rsid w:val="007D3CD5"/>
    <w:rsid w:val="007D3DE4"/>
    <w:rsid w:val="007D3E3A"/>
    <w:rsid w:val="007D3EB2"/>
    <w:rsid w:val="007D4062"/>
    <w:rsid w:val="007D40B4"/>
    <w:rsid w:val="007D40F2"/>
    <w:rsid w:val="007D4156"/>
    <w:rsid w:val="007D41CD"/>
    <w:rsid w:val="007D4305"/>
    <w:rsid w:val="007D4385"/>
    <w:rsid w:val="007D438E"/>
    <w:rsid w:val="007D4431"/>
    <w:rsid w:val="007D447A"/>
    <w:rsid w:val="007D44A6"/>
    <w:rsid w:val="007D44FA"/>
    <w:rsid w:val="007D4582"/>
    <w:rsid w:val="007D45CA"/>
    <w:rsid w:val="007D45DE"/>
    <w:rsid w:val="007D4661"/>
    <w:rsid w:val="007D47AB"/>
    <w:rsid w:val="007D47BD"/>
    <w:rsid w:val="007D482C"/>
    <w:rsid w:val="007D48FE"/>
    <w:rsid w:val="007D4926"/>
    <w:rsid w:val="007D4970"/>
    <w:rsid w:val="007D49B7"/>
    <w:rsid w:val="007D4A0A"/>
    <w:rsid w:val="007D4C41"/>
    <w:rsid w:val="007D4D84"/>
    <w:rsid w:val="007D4E57"/>
    <w:rsid w:val="007D4E98"/>
    <w:rsid w:val="007D4ECA"/>
    <w:rsid w:val="007D4EE8"/>
    <w:rsid w:val="007D4F45"/>
    <w:rsid w:val="007D4F5E"/>
    <w:rsid w:val="007D4F75"/>
    <w:rsid w:val="007D4FAB"/>
    <w:rsid w:val="007D4FC1"/>
    <w:rsid w:val="007D4FE5"/>
    <w:rsid w:val="007D508D"/>
    <w:rsid w:val="007D51F8"/>
    <w:rsid w:val="007D5240"/>
    <w:rsid w:val="007D529F"/>
    <w:rsid w:val="007D52A4"/>
    <w:rsid w:val="007D52D5"/>
    <w:rsid w:val="007D533D"/>
    <w:rsid w:val="007D53E2"/>
    <w:rsid w:val="007D53F1"/>
    <w:rsid w:val="007D5403"/>
    <w:rsid w:val="007D5494"/>
    <w:rsid w:val="007D5514"/>
    <w:rsid w:val="007D559C"/>
    <w:rsid w:val="007D55C9"/>
    <w:rsid w:val="007D55DE"/>
    <w:rsid w:val="007D563B"/>
    <w:rsid w:val="007D5657"/>
    <w:rsid w:val="007D569C"/>
    <w:rsid w:val="007D5871"/>
    <w:rsid w:val="007D592B"/>
    <w:rsid w:val="007D59C1"/>
    <w:rsid w:val="007D5AA6"/>
    <w:rsid w:val="007D5B33"/>
    <w:rsid w:val="007D5B92"/>
    <w:rsid w:val="007D5C49"/>
    <w:rsid w:val="007D5CC9"/>
    <w:rsid w:val="007D5CD1"/>
    <w:rsid w:val="007D5D20"/>
    <w:rsid w:val="007D5D33"/>
    <w:rsid w:val="007D5D84"/>
    <w:rsid w:val="007D5E1E"/>
    <w:rsid w:val="007D5E2B"/>
    <w:rsid w:val="007D5F0C"/>
    <w:rsid w:val="007D5FA2"/>
    <w:rsid w:val="007D5FAA"/>
    <w:rsid w:val="007D6055"/>
    <w:rsid w:val="007D6204"/>
    <w:rsid w:val="007D6223"/>
    <w:rsid w:val="007D6288"/>
    <w:rsid w:val="007D633E"/>
    <w:rsid w:val="007D636E"/>
    <w:rsid w:val="007D64CB"/>
    <w:rsid w:val="007D64DA"/>
    <w:rsid w:val="007D6505"/>
    <w:rsid w:val="007D656F"/>
    <w:rsid w:val="007D665B"/>
    <w:rsid w:val="007D6673"/>
    <w:rsid w:val="007D66E7"/>
    <w:rsid w:val="007D6764"/>
    <w:rsid w:val="007D6885"/>
    <w:rsid w:val="007D68B7"/>
    <w:rsid w:val="007D68D3"/>
    <w:rsid w:val="007D68DE"/>
    <w:rsid w:val="007D69CF"/>
    <w:rsid w:val="007D6A34"/>
    <w:rsid w:val="007D6A3B"/>
    <w:rsid w:val="007D6A72"/>
    <w:rsid w:val="007D6A9D"/>
    <w:rsid w:val="007D6BFE"/>
    <w:rsid w:val="007D6C40"/>
    <w:rsid w:val="007D6C4C"/>
    <w:rsid w:val="007D6C5E"/>
    <w:rsid w:val="007D6CF6"/>
    <w:rsid w:val="007D6EC4"/>
    <w:rsid w:val="007D6F25"/>
    <w:rsid w:val="007D6FAB"/>
    <w:rsid w:val="007D7018"/>
    <w:rsid w:val="007D706D"/>
    <w:rsid w:val="007D7173"/>
    <w:rsid w:val="007D71FC"/>
    <w:rsid w:val="007D7256"/>
    <w:rsid w:val="007D7280"/>
    <w:rsid w:val="007D73FA"/>
    <w:rsid w:val="007D7436"/>
    <w:rsid w:val="007D7477"/>
    <w:rsid w:val="007D74BE"/>
    <w:rsid w:val="007D753A"/>
    <w:rsid w:val="007D7619"/>
    <w:rsid w:val="007D7668"/>
    <w:rsid w:val="007D76AC"/>
    <w:rsid w:val="007D77C0"/>
    <w:rsid w:val="007D783B"/>
    <w:rsid w:val="007D7973"/>
    <w:rsid w:val="007D7A0E"/>
    <w:rsid w:val="007D7A8A"/>
    <w:rsid w:val="007D7A91"/>
    <w:rsid w:val="007D7A94"/>
    <w:rsid w:val="007D7AC5"/>
    <w:rsid w:val="007D7BE2"/>
    <w:rsid w:val="007D7C28"/>
    <w:rsid w:val="007D7C68"/>
    <w:rsid w:val="007D7E2A"/>
    <w:rsid w:val="007D7E3C"/>
    <w:rsid w:val="007D7ECB"/>
    <w:rsid w:val="007E0099"/>
    <w:rsid w:val="007E00C0"/>
    <w:rsid w:val="007E00EA"/>
    <w:rsid w:val="007E00EF"/>
    <w:rsid w:val="007E0122"/>
    <w:rsid w:val="007E014D"/>
    <w:rsid w:val="007E01D5"/>
    <w:rsid w:val="007E01EA"/>
    <w:rsid w:val="007E029C"/>
    <w:rsid w:val="007E03A0"/>
    <w:rsid w:val="007E0409"/>
    <w:rsid w:val="007E04CE"/>
    <w:rsid w:val="007E062A"/>
    <w:rsid w:val="007E0647"/>
    <w:rsid w:val="007E06E4"/>
    <w:rsid w:val="007E06E8"/>
    <w:rsid w:val="007E072C"/>
    <w:rsid w:val="007E07BF"/>
    <w:rsid w:val="007E08A1"/>
    <w:rsid w:val="007E08BE"/>
    <w:rsid w:val="007E08F6"/>
    <w:rsid w:val="007E0913"/>
    <w:rsid w:val="007E0921"/>
    <w:rsid w:val="007E0AA6"/>
    <w:rsid w:val="007E0AD9"/>
    <w:rsid w:val="007E0B57"/>
    <w:rsid w:val="007E0C69"/>
    <w:rsid w:val="007E0D85"/>
    <w:rsid w:val="007E0E16"/>
    <w:rsid w:val="007E0E1E"/>
    <w:rsid w:val="007E0F50"/>
    <w:rsid w:val="007E0F8F"/>
    <w:rsid w:val="007E108E"/>
    <w:rsid w:val="007E109B"/>
    <w:rsid w:val="007E10F3"/>
    <w:rsid w:val="007E1115"/>
    <w:rsid w:val="007E11AB"/>
    <w:rsid w:val="007E1214"/>
    <w:rsid w:val="007E128B"/>
    <w:rsid w:val="007E1315"/>
    <w:rsid w:val="007E1359"/>
    <w:rsid w:val="007E1363"/>
    <w:rsid w:val="007E13B2"/>
    <w:rsid w:val="007E1434"/>
    <w:rsid w:val="007E14F2"/>
    <w:rsid w:val="007E1526"/>
    <w:rsid w:val="007E157B"/>
    <w:rsid w:val="007E15E5"/>
    <w:rsid w:val="007E15E7"/>
    <w:rsid w:val="007E1663"/>
    <w:rsid w:val="007E16D3"/>
    <w:rsid w:val="007E1726"/>
    <w:rsid w:val="007E1742"/>
    <w:rsid w:val="007E17C1"/>
    <w:rsid w:val="007E1869"/>
    <w:rsid w:val="007E18E9"/>
    <w:rsid w:val="007E1935"/>
    <w:rsid w:val="007E1939"/>
    <w:rsid w:val="007E1A81"/>
    <w:rsid w:val="007E1A84"/>
    <w:rsid w:val="007E1A89"/>
    <w:rsid w:val="007E1AE3"/>
    <w:rsid w:val="007E1B01"/>
    <w:rsid w:val="007E1B4A"/>
    <w:rsid w:val="007E1B56"/>
    <w:rsid w:val="007E1B62"/>
    <w:rsid w:val="007E1B7C"/>
    <w:rsid w:val="007E1C09"/>
    <w:rsid w:val="007E1CEB"/>
    <w:rsid w:val="007E1D51"/>
    <w:rsid w:val="007E1D90"/>
    <w:rsid w:val="007E1E86"/>
    <w:rsid w:val="007E1E8F"/>
    <w:rsid w:val="007E1EDB"/>
    <w:rsid w:val="007E1F68"/>
    <w:rsid w:val="007E1FEE"/>
    <w:rsid w:val="007E1FFE"/>
    <w:rsid w:val="007E2002"/>
    <w:rsid w:val="007E204F"/>
    <w:rsid w:val="007E2079"/>
    <w:rsid w:val="007E20B2"/>
    <w:rsid w:val="007E20CD"/>
    <w:rsid w:val="007E20DF"/>
    <w:rsid w:val="007E2134"/>
    <w:rsid w:val="007E21A5"/>
    <w:rsid w:val="007E21B8"/>
    <w:rsid w:val="007E21C0"/>
    <w:rsid w:val="007E2231"/>
    <w:rsid w:val="007E22CE"/>
    <w:rsid w:val="007E234C"/>
    <w:rsid w:val="007E2574"/>
    <w:rsid w:val="007E25AB"/>
    <w:rsid w:val="007E2640"/>
    <w:rsid w:val="007E2641"/>
    <w:rsid w:val="007E269E"/>
    <w:rsid w:val="007E26B1"/>
    <w:rsid w:val="007E2742"/>
    <w:rsid w:val="007E27A5"/>
    <w:rsid w:val="007E2824"/>
    <w:rsid w:val="007E28EF"/>
    <w:rsid w:val="007E2904"/>
    <w:rsid w:val="007E293C"/>
    <w:rsid w:val="007E297A"/>
    <w:rsid w:val="007E2AC5"/>
    <w:rsid w:val="007E2C0A"/>
    <w:rsid w:val="007E2C19"/>
    <w:rsid w:val="007E2C1F"/>
    <w:rsid w:val="007E2DD9"/>
    <w:rsid w:val="007E2DF5"/>
    <w:rsid w:val="007E2E6B"/>
    <w:rsid w:val="007E2E6C"/>
    <w:rsid w:val="007E2EDD"/>
    <w:rsid w:val="007E2F88"/>
    <w:rsid w:val="007E2F89"/>
    <w:rsid w:val="007E3031"/>
    <w:rsid w:val="007E3117"/>
    <w:rsid w:val="007E3156"/>
    <w:rsid w:val="007E3178"/>
    <w:rsid w:val="007E319D"/>
    <w:rsid w:val="007E3258"/>
    <w:rsid w:val="007E3272"/>
    <w:rsid w:val="007E32CC"/>
    <w:rsid w:val="007E3357"/>
    <w:rsid w:val="007E347E"/>
    <w:rsid w:val="007E3611"/>
    <w:rsid w:val="007E3664"/>
    <w:rsid w:val="007E3671"/>
    <w:rsid w:val="007E3704"/>
    <w:rsid w:val="007E374F"/>
    <w:rsid w:val="007E3798"/>
    <w:rsid w:val="007E37F9"/>
    <w:rsid w:val="007E3800"/>
    <w:rsid w:val="007E3808"/>
    <w:rsid w:val="007E3B36"/>
    <w:rsid w:val="007E3BB8"/>
    <w:rsid w:val="007E3BED"/>
    <w:rsid w:val="007E3CC7"/>
    <w:rsid w:val="007E3CDA"/>
    <w:rsid w:val="007E3D62"/>
    <w:rsid w:val="007E3DC5"/>
    <w:rsid w:val="007E3FA3"/>
    <w:rsid w:val="007E40A4"/>
    <w:rsid w:val="007E40F6"/>
    <w:rsid w:val="007E427E"/>
    <w:rsid w:val="007E42D1"/>
    <w:rsid w:val="007E430E"/>
    <w:rsid w:val="007E4357"/>
    <w:rsid w:val="007E43EF"/>
    <w:rsid w:val="007E4422"/>
    <w:rsid w:val="007E4478"/>
    <w:rsid w:val="007E4558"/>
    <w:rsid w:val="007E4626"/>
    <w:rsid w:val="007E4652"/>
    <w:rsid w:val="007E46B2"/>
    <w:rsid w:val="007E46D0"/>
    <w:rsid w:val="007E479E"/>
    <w:rsid w:val="007E4884"/>
    <w:rsid w:val="007E489C"/>
    <w:rsid w:val="007E48A7"/>
    <w:rsid w:val="007E490A"/>
    <w:rsid w:val="007E4920"/>
    <w:rsid w:val="007E4977"/>
    <w:rsid w:val="007E4A56"/>
    <w:rsid w:val="007E4B9A"/>
    <w:rsid w:val="007E4C40"/>
    <w:rsid w:val="007E4CD3"/>
    <w:rsid w:val="007E4CD9"/>
    <w:rsid w:val="007E4D1C"/>
    <w:rsid w:val="007E4D31"/>
    <w:rsid w:val="007E4D76"/>
    <w:rsid w:val="007E4D8F"/>
    <w:rsid w:val="007E4D95"/>
    <w:rsid w:val="007E4E6C"/>
    <w:rsid w:val="007E4F60"/>
    <w:rsid w:val="007E4FAA"/>
    <w:rsid w:val="007E5004"/>
    <w:rsid w:val="007E50FB"/>
    <w:rsid w:val="007E5150"/>
    <w:rsid w:val="007E5164"/>
    <w:rsid w:val="007E5172"/>
    <w:rsid w:val="007E520F"/>
    <w:rsid w:val="007E5298"/>
    <w:rsid w:val="007E52A7"/>
    <w:rsid w:val="007E53E9"/>
    <w:rsid w:val="007E5413"/>
    <w:rsid w:val="007E5436"/>
    <w:rsid w:val="007E544C"/>
    <w:rsid w:val="007E553A"/>
    <w:rsid w:val="007E5574"/>
    <w:rsid w:val="007E5609"/>
    <w:rsid w:val="007E569D"/>
    <w:rsid w:val="007E571B"/>
    <w:rsid w:val="007E5748"/>
    <w:rsid w:val="007E5769"/>
    <w:rsid w:val="007E57E7"/>
    <w:rsid w:val="007E580B"/>
    <w:rsid w:val="007E58C5"/>
    <w:rsid w:val="007E58FE"/>
    <w:rsid w:val="007E5940"/>
    <w:rsid w:val="007E5B4A"/>
    <w:rsid w:val="007E5D19"/>
    <w:rsid w:val="007E5DB8"/>
    <w:rsid w:val="007E5E40"/>
    <w:rsid w:val="007E5E56"/>
    <w:rsid w:val="007E5E72"/>
    <w:rsid w:val="007E5E8D"/>
    <w:rsid w:val="007E5F2D"/>
    <w:rsid w:val="007E5FAD"/>
    <w:rsid w:val="007E5FCC"/>
    <w:rsid w:val="007E6005"/>
    <w:rsid w:val="007E60F1"/>
    <w:rsid w:val="007E618E"/>
    <w:rsid w:val="007E621D"/>
    <w:rsid w:val="007E6290"/>
    <w:rsid w:val="007E62B4"/>
    <w:rsid w:val="007E62F6"/>
    <w:rsid w:val="007E63EA"/>
    <w:rsid w:val="007E6456"/>
    <w:rsid w:val="007E6712"/>
    <w:rsid w:val="007E692A"/>
    <w:rsid w:val="007E693D"/>
    <w:rsid w:val="007E6972"/>
    <w:rsid w:val="007E6985"/>
    <w:rsid w:val="007E699A"/>
    <w:rsid w:val="007E6AB9"/>
    <w:rsid w:val="007E6AE1"/>
    <w:rsid w:val="007E6B0E"/>
    <w:rsid w:val="007E6BB9"/>
    <w:rsid w:val="007E6C08"/>
    <w:rsid w:val="007E6C99"/>
    <w:rsid w:val="007E6CD0"/>
    <w:rsid w:val="007E6DAA"/>
    <w:rsid w:val="007E6DE8"/>
    <w:rsid w:val="007E6E45"/>
    <w:rsid w:val="007E6E9D"/>
    <w:rsid w:val="007E6EAB"/>
    <w:rsid w:val="007E6EE7"/>
    <w:rsid w:val="007E6EEE"/>
    <w:rsid w:val="007E6F3B"/>
    <w:rsid w:val="007E6FD1"/>
    <w:rsid w:val="007E7024"/>
    <w:rsid w:val="007E70B5"/>
    <w:rsid w:val="007E70EC"/>
    <w:rsid w:val="007E7159"/>
    <w:rsid w:val="007E715E"/>
    <w:rsid w:val="007E71D1"/>
    <w:rsid w:val="007E71D6"/>
    <w:rsid w:val="007E71E1"/>
    <w:rsid w:val="007E72B8"/>
    <w:rsid w:val="007E72CA"/>
    <w:rsid w:val="007E732D"/>
    <w:rsid w:val="007E743D"/>
    <w:rsid w:val="007E7471"/>
    <w:rsid w:val="007E74A7"/>
    <w:rsid w:val="007E74E5"/>
    <w:rsid w:val="007E7521"/>
    <w:rsid w:val="007E761D"/>
    <w:rsid w:val="007E7676"/>
    <w:rsid w:val="007E76B6"/>
    <w:rsid w:val="007E770A"/>
    <w:rsid w:val="007E7751"/>
    <w:rsid w:val="007E77F4"/>
    <w:rsid w:val="007E7806"/>
    <w:rsid w:val="007E7830"/>
    <w:rsid w:val="007E78DF"/>
    <w:rsid w:val="007E78F7"/>
    <w:rsid w:val="007E7AD4"/>
    <w:rsid w:val="007E7B5A"/>
    <w:rsid w:val="007E7BCF"/>
    <w:rsid w:val="007E7BFF"/>
    <w:rsid w:val="007E7CD2"/>
    <w:rsid w:val="007E7CD5"/>
    <w:rsid w:val="007E7D36"/>
    <w:rsid w:val="007E7DA7"/>
    <w:rsid w:val="007E7F9F"/>
    <w:rsid w:val="007E7FC1"/>
    <w:rsid w:val="007F005E"/>
    <w:rsid w:val="007F00B8"/>
    <w:rsid w:val="007F0102"/>
    <w:rsid w:val="007F018D"/>
    <w:rsid w:val="007F0206"/>
    <w:rsid w:val="007F0225"/>
    <w:rsid w:val="007F024C"/>
    <w:rsid w:val="007F0283"/>
    <w:rsid w:val="007F0356"/>
    <w:rsid w:val="007F042B"/>
    <w:rsid w:val="007F042E"/>
    <w:rsid w:val="007F048C"/>
    <w:rsid w:val="007F04A4"/>
    <w:rsid w:val="007F0512"/>
    <w:rsid w:val="007F0553"/>
    <w:rsid w:val="007F05B1"/>
    <w:rsid w:val="007F05FE"/>
    <w:rsid w:val="007F07A5"/>
    <w:rsid w:val="007F0A89"/>
    <w:rsid w:val="007F0B5D"/>
    <w:rsid w:val="007F0B76"/>
    <w:rsid w:val="007F0CC3"/>
    <w:rsid w:val="007F0D12"/>
    <w:rsid w:val="007F0D1E"/>
    <w:rsid w:val="007F0D4C"/>
    <w:rsid w:val="007F0DCD"/>
    <w:rsid w:val="007F0DD4"/>
    <w:rsid w:val="007F0DD9"/>
    <w:rsid w:val="007F0DF6"/>
    <w:rsid w:val="007F0E10"/>
    <w:rsid w:val="007F0E55"/>
    <w:rsid w:val="007F0EEF"/>
    <w:rsid w:val="007F0F1E"/>
    <w:rsid w:val="007F0F72"/>
    <w:rsid w:val="007F0FD2"/>
    <w:rsid w:val="007F100A"/>
    <w:rsid w:val="007F1044"/>
    <w:rsid w:val="007F10FA"/>
    <w:rsid w:val="007F11CE"/>
    <w:rsid w:val="007F1342"/>
    <w:rsid w:val="007F13B5"/>
    <w:rsid w:val="007F13C6"/>
    <w:rsid w:val="007F1442"/>
    <w:rsid w:val="007F1461"/>
    <w:rsid w:val="007F1483"/>
    <w:rsid w:val="007F1495"/>
    <w:rsid w:val="007F15BA"/>
    <w:rsid w:val="007F1603"/>
    <w:rsid w:val="007F1636"/>
    <w:rsid w:val="007F164B"/>
    <w:rsid w:val="007F172C"/>
    <w:rsid w:val="007F17CB"/>
    <w:rsid w:val="007F17D4"/>
    <w:rsid w:val="007F17D9"/>
    <w:rsid w:val="007F180A"/>
    <w:rsid w:val="007F185B"/>
    <w:rsid w:val="007F1986"/>
    <w:rsid w:val="007F1988"/>
    <w:rsid w:val="007F19B5"/>
    <w:rsid w:val="007F1A59"/>
    <w:rsid w:val="007F1AAB"/>
    <w:rsid w:val="007F1B2A"/>
    <w:rsid w:val="007F1B86"/>
    <w:rsid w:val="007F1C3E"/>
    <w:rsid w:val="007F1C5B"/>
    <w:rsid w:val="007F1C90"/>
    <w:rsid w:val="007F1CCA"/>
    <w:rsid w:val="007F1D95"/>
    <w:rsid w:val="007F1E49"/>
    <w:rsid w:val="007F1E64"/>
    <w:rsid w:val="007F1F1D"/>
    <w:rsid w:val="007F1F4A"/>
    <w:rsid w:val="007F203A"/>
    <w:rsid w:val="007F2044"/>
    <w:rsid w:val="007F20A2"/>
    <w:rsid w:val="007F20D7"/>
    <w:rsid w:val="007F2133"/>
    <w:rsid w:val="007F2231"/>
    <w:rsid w:val="007F22C8"/>
    <w:rsid w:val="007F23CA"/>
    <w:rsid w:val="007F2401"/>
    <w:rsid w:val="007F242A"/>
    <w:rsid w:val="007F2462"/>
    <w:rsid w:val="007F2468"/>
    <w:rsid w:val="007F24E4"/>
    <w:rsid w:val="007F25B9"/>
    <w:rsid w:val="007F26E8"/>
    <w:rsid w:val="007F276A"/>
    <w:rsid w:val="007F2836"/>
    <w:rsid w:val="007F2839"/>
    <w:rsid w:val="007F2893"/>
    <w:rsid w:val="007F295E"/>
    <w:rsid w:val="007F2967"/>
    <w:rsid w:val="007F2A75"/>
    <w:rsid w:val="007F2AB4"/>
    <w:rsid w:val="007F2AC6"/>
    <w:rsid w:val="007F2C3B"/>
    <w:rsid w:val="007F2C50"/>
    <w:rsid w:val="007F2C7E"/>
    <w:rsid w:val="007F2CAB"/>
    <w:rsid w:val="007F2CCD"/>
    <w:rsid w:val="007F2CCE"/>
    <w:rsid w:val="007F2D41"/>
    <w:rsid w:val="007F2D4F"/>
    <w:rsid w:val="007F2DA7"/>
    <w:rsid w:val="007F2F13"/>
    <w:rsid w:val="007F2F5E"/>
    <w:rsid w:val="007F2FE7"/>
    <w:rsid w:val="007F2FE9"/>
    <w:rsid w:val="007F30CE"/>
    <w:rsid w:val="007F311A"/>
    <w:rsid w:val="007F3209"/>
    <w:rsid w:val="007F32B0"/>
    <w:rsid w:val="007F32B7"/>
    <w:rsid w:val="007F33A9"/>
    <w:rsid w:val="007F33EA"/>
    <w:rsid w:val="007F33F8"/>
    <w:rsid w:val="007F359B"/>
    <w:rsid w:val="007F35A1"/>
    <w:rsid w:val="007F35FA"/>
    <w:rsid w:val="007F360C"/>
    <w:rsid w:val="007F36E3"/>
    <w:rsid w:val="007F370C"/>
    <w:rsid w:val="007F379F"/>
    <w:rsid w:val="007F3877"/>
    <w:rsid w:val="007F3882"/>
    <w:rsid w:val="007F399E"/>
    <w:rsid w:val="007F39C1"/>
    <w:rsid w:val="007F3A0C"/>
    <w:rsid w:val="007F3A10"/>
    <w:rsid w:val="007F3A2F"/>
    <w:rsid w:val="007F3ADA"/>
    <w:rsid w:val="007F3CC1"/>
    <w:rsid w:val="007F3CC2"/>
    <w:rsid w:val="007F3CE0"/>
    <w:rsid w:val="007F3DA1"/>
    <w:rsid w:val="007F3DDD"/>
    <w:rsid w:val="007F3E84"/>
    <w:rsid w:val="007F3EBD"/>
    <w:rsid w:val="007F3F57"/>
    <w:rsid w:val="007F3FB7"/>
    <w:rsid w:val="007F4096"/>
    <w:rsid w:val="007F4105"/>
    <w:rsid w:val="007F41DF"/>
    <w:rsid w:val="007F4275"/>
    <w:rsid w:val="007F43AB"/>
    <w:rsid w:val="007F43D5"/>
    <w:rsid w:val="007F4410"/>
    <w:rsid w:val="007F4430"/>
    <w:rsid w:val="007F443B"/>
    <w:rsid w:val="007F44D5"/>
    <w:rsid w:val="007F452A"/>
    <w:rsid w:val="007F4552"/>
    <w:rsid w:val="007F457D"/>
    <w:rsid w:val="007F45BF"/>
    <w:rsid w:val="007F46B7"/>
    <w:rsid w:val="007F46DF"/>
    <w:rsid w:val="007F47F3"/>
    <w:rsid w:val="007F4835"/>
    <w:rsid w:val="007F486F"/>
    <w:rsid w:val="007F487A"/>
    <w:rsid w:val="007F48DD"/>
    <w:rsid w:val="007F4945"/>
    <w:rsid w:val="007F494B"/>
    <w:rsid w:val="007F49AD"/>
    <w:rsid w:val="007F49D6"/>
    <w:rsid w:val="007F4A52"/>
    <w:rsid w:val="007F4A64"/>
    <w:rsid w:val="007F4AA7"/>
    <w:rsid w:val="007F4B03"/>
    <w:rsid w:val="007F4C06"/>
    <w:rsid w:val="007F4C64"/>
    <w:rsid w:val="007F4D2B"/>
    <w:rsid w:val="007F4D78"/>
    <w:rsid w:val="007F4D89"/>
    <w:rsid w:val="007F4EFE"/>
    <w:rsid w:val="007F4F3F"/>
    <w:rsid w:val="007F4F9E"/>
    <w:rsid w:val="007F4FFF"/>
    <w:rsid w:val="007F5024"/>
    <w:rsid w:val="007F502E"/>
    <w:rsid w:val="007F509C"/>
    <w:rsid w:val="007F50B5"/>
    <w:rsid w:val="007F50C5"/>
    <w:rsid w:val="007F50F8"/>
    <w:rsid w:val="007F51D3"/>
    <w:rsid w:val="007F5299"/>
    <w:rsid w:val="007F52AA"/>
    <w:rsid w:val="007F537D"/>
    <w:rsid w:val="007F546C"/>
    <w:rsid w:val="007F550F"/>
    <w:rsid w:val="007F5580"/>
    <w:rsid w:val="007F563E"/>
    <w:rsid w:val="007F57DF"/>
    <w:rsid w:val="007F57F3"/>
    <w:rsid w:val="007F585B"/>
    <w:rsid w:val="007F5919"/>
    <w:rsid w:val="007F5951"/>
    <w:rsid w:val="007F5987"/>
    <w:rsid w:val="007F59F9"/>
    <w:rsid w:val="007F5A8D"/>
    <w:rsid w:val="007F5ACA"/>
    <w:rsid w:val="007F5B76"/>
    <w:rsid w:val="007F5CED"/>
    <w:rsid w:val="007F5CF7"/>
    <w:rsid w:val="007F5D88"/>
    <w:rsid w:val="007F5DAD"/>
    <w:rsid w:val="007F5DC1"/>
    <w:rsid w:val="007F5E5E"/>
    <w:rsid w:val="007F5FB5"/>
    <w:rsid w:val="007F6013"/>
    <w:rsid w:val="007F606E"/>
    <w:rsid w:val="007F60A5"/>
    <w:rsid w:val="007F60CC"/>
    <w:rsid w:val="007F6149"/>
    <w:rsid w:val="007F6171"/>
    <w:rsid w:val="007F61F9"/>
    <w:rsid w:val="007F621D"/>
    <w:rsid w:val="007F6349"/>
    <w:rsid w:val="007F63F1"/>
    <w:rsid w:val="007F64AD"/>
    <w:rsid w:val="007F64D5"/>
    <w:rsid w:val="007F64F5"/>
    <w:rsid w:val="007F6574"/>
    <w:rsid w:val="007F6613"/>
    <w:rsid w:val="007F66DB"/>
    <w:rsid w:val="007F6708"/>
    <w:rsid w:val="007F6792"/>
    <w:rsid w:val="007F67AA"/>
    <w:rsid w:val="007F682D"/>
    <w:rsid w:val="007F6898"/>
    <w:rsid w:val="007F689F"/>
    <w:rsid w:val="007F68AE"/>
    <w:rsid w:val="007F68C2"/>
    <w:rsid w:val="007F697B"/>
    <w:rsid w:val="007F6A1C"/>
    <w:rsid w:val="007F6A87"/>
    <w:rsid w:val="007F6A9E"/>
    <w:rsid w:val="007F6C1D"/>
    <w:rsid w:val="007F6CBD"/>
    <w:rsid w:val="007F6D7A"/>
    <w:rsid w:val="007F6DC9"/>
    <w:rsid w:val="007F6E6B"/>
    <w:rsid w:val="007F6E8C"/>
    <w:rsid w:val="007F6E90"/>
    <w:rsid w:val="007F6EC7"/>
    <w:rsid w:val="007F6EE3"/>
    <w:rsid w:val="007F705A"/>
    <w:rsid w:val="007F71AE"/>
    <w:rsid w:val="007F726A"/>
    <w:rsid w:val="007F7306"/>
    <w:rsid w:val="007F7325"/>
    <w:rsid w:val="007F734B"/>
    <w:rsid w:val="007F736C"/>
    <w:rsid w:val="007F7382"/>
    <w:rsid w:val="007F74AA"/>
    <w:rsid w:val="007F7507"/>
    <w:rsid w:val="007F7570"/>
    <w:rsid w:val="007F75D2"/>
    <w:rsid w:val="007F760D"/>
    <w:rsid w:val="007F7695"/>
    <w:rsid w:val="007F773E"/>
    <w:rsid w:val="007F77BE"/>
    <w:rsid w:val="007F77D0"/>
    <w:rsid w:val="007F787C"/>
    <w:rsid w:val="007F79C1"/>
    <w:rsid w:val="007F7AE7"/>
    <w:rsid w:val="007F7AF6"/>
    <w:rsid w:val="007F7B2A"/>
    <w:rsid w:val="007F7B7E"/>
    <w:rsid w:val="007F7C1F"/>
    <w:rsid w:val="007F7D73"/>
    <w:rsid w:val="007F7DEE"/>
    <w:rsid w:val="007F7EB5"/>
    <w:rsid w:val="007F7EF5"/>
    <w:rsid w:val="00800008"/>
    <w:rsid w:val="008000CD"/>
    <w:rsid w:val="008001C5"/>
    <w:rsid w:val="008002A0"/>
    <w:rsid w:val="008002E4"/>
    <w:rsid w:val="00800310"/>
    <w:rsid w:val="00800333"/>
    <w:rsid w:val="00800404"/>
    <w:rsid w:val="008004C9"/>
    <w:rsid w:val="008005C2"/>
    <w:rsid w:val="00800694"/>
    <w:rsid w:val="00800714"/>
    <w:rsid w:val="00800734"/>
    <w:rsid w:val="00800835"/>
    <w:rsid w:val="00800ACB"/>
    <w:rsid w:val="00800BF4"/>
    <w:rsid w:val="00800C45"/>
    <w:rsid w:val="00800C8A"/>
    <w:rsid w:val="00800D2F"/>
    <w:rsid w:val="00800DD1"/>
    <w:rsid w:val="00800EBF"/>
    <w:rsid w:val="00801053"/>
    <w:rsid w:val="00801060"/>
    <w:rsid w:val="008010FB"/>
    <w:rsid w:val="00801150"/>
    <w:rsid w:val="0080117D"/>
    <w:rsid w:val="008011B2"/>
    <w:rsid w:val="0080124A"/>
    <w:rsid w:val="008012F4"/>
    <w:rsid w:val="00801320"/>
    <w:rsid w:val="00801405"/>
    <w:rsid w:val="00801459"/>
    <w:rsid w:val="008014BC"/>
    <w:rsid w:val="00801554"/>
    <w:rsid w:val="008015CF"/>
    <w:rsid w:val="00801630"/>
    <w:rsid w:val="0080166D"/>
    <w:rsid w:val="008016A9"/>
    <w:rsid w:val="008016AE"/>
    <w:rsid w:val="0080172E"/>
    <w:rsid w:val="008017AC"/>
    <w:rsid w:val="008017B7"/>
    <w:rsid w:val="008017C5"/>
    <w:rsid w:val="00801866"/>
    <w:rsid w:val="008019E9"/>
    <w:rsid w:val="00801BA3"/>
    <w:rsid w:val="00801CB4"/>
    <w:rsid w:val="00801CD7"/>
    <w:rsid w:val="00801D32"/>
    <w:rsid w:val="00801D33"/>
    <w:rsid w:val="00801DB3"/>
    <w:rsid w:val="00801F30"/>
    <w:rsid w:val="00801F72"/>
    <w:rsid w:val="008020AB"/>
    <w:rsid w:val="0080212C"/>
    <w:rsid w:val="008022C0"/>
    <w:rsid w:val="008022EA"/>
    <w:rsid w:val="008024FF"/>
    <w:rsid w:val="00802623"/>
    <w:rsid w:val="0080267C"/>
    <w:rsid w:val="00802753"/>
    <w:rsid w:val="00802783"/>
    <w:rsid w:val="00802788"/>
    <w:rsid w:val="0080287F"/>
    <w:rsid w:val="00802884"/>
    <w:rsid w:val="00802923"/>
    <w:rsid w:val="0080299E"/>
    <w:rsid w:val="008029B3"/>
    <w:rsid w:val="00802A0F"/>
    <w:rsid w:val="00802B8D"/>
    <w:rsid w:val="00802BDC"/>
    <w:rsid w:val="00802C74"/>
    <w:rsid w:val="00802D22"/>
    <w:rsid w:val="00802D38"/>
    <w:rsid w:val="00802DA9"/>
    <w:rsid w:val="00802DB5"/>
    <w:rsid w:val="00802F68"/>
    <w:rsid w:val="00802F8F"/>
    <w:rsid w:val="00802FD6"/>
    <w:rsid w:val="00802FFF"/>
    <w:rsid w:val="00803029"/>
    <w:rsid w:val="008030FE"/>
    <w:rsid w:val="0080320F"/>
    <w:rsid w:val="008032C7"/>
    <w:rsid w:val="008032DB"/>
    <w:rsid w:val="0080343C"/>
    <w:rsid w:val="00803462"/>
    <w:rsid w:val="00803492"/>
    <w:rsid w:val="0080369F"/>
    <w:rsid w:val="0080377C"/>
    <w:rsid w:val="00803798"/>
    <w:rsid w:val="0080379A"/>
    <w:rsid w:val="008037DC"/>
    <w:rsid w:val="00803914"/>
    <w:rsid w:val="008039B3"/>
    <w:rsid w:val="00803A15"/>
    <w:rsid w:val="00803A7A"/>
    <w:rsid w:val="00803AC8"/>
    <w:rsid w:val="00803AE1"/>
    <w:rsid w:val="00803B0E"/>
    <w:rsid w:val="00803B74"/>
    <w:rsid w:val="00803BC9"/>
    <w:rsid w:val="00803CAA"/>
    <w:rsid w:val="00803D4E"/>
    <w:rsid w:val="00803D65"/>
    <w:rsid w:val="00803D8E"/>
    <w:rsid w:val="00803F06"/>
    <w:rsid w:val="00803F55"/>
    <w:rsid w:val="00803F8B"/>
    <w:rsid w:val="00803FEC"/>
    <w:rsid w:val="00804050"/>
    <w:rsid w:val="00804083"/>
    <w:rsid w:val="008040B0"/>
    <w:rsid w:val="008040F8"/>
    <w:rsid w:val="0080410A"/>
    <w:rsid w:val="00804137"/>
    <w:rsid w:val="008041DB"/>
    <w:rsid w:val="008041DC"/>
    <w:rsid w:val="00804204"/>
    <w:rsid w:val="008042A2"/>
    <w:rsid w:val="00804318"/>
    <w:rsid w:val="00804439"/>
    <w:rsid w:val="00804503"/>
    <w:rsid w:val="008045EC"/>
    <w:rsid w:val="0080460F"/>
    <w:rsid w:val="0080467B"/>
    <w:rsid w:val="00804796"/>
    <w:rsid w:val="008047E5"/>
    <w:rsid w:val="00804862"/>
    <w:rsid w:val="0080486B"/>
    <w:rsid w:val="00804880"/>
    <w:rsid w:val="00804897"/>
    <w:rsid w:val="0080489A"/>
    <w:rsid w:val="008048F9"/>
    <w:rsid w:val="00804947"/>
    <w:rsid w:val="0080499A"/>
    <w:rsid w:val="00804B42"/>
    <w:rsid w:val="00804BC7"/>
    <w:rsid w:val="00804CA1"/>
    <w:rsid w:val="00804D29"/>
    <w:rsid w:val="00804D2B"/>
    <w:rsid w:val="00804E00"/>
    <w:rsid w:val="00804E0E"/>
    <w:rsid w:val="00804E37"/>
    <w:rsid w:val="00804F5A"/>
    <w:rsid w:val="00804F88"/>
    <w:rsid w:val="00804FF7"/>
    <w:rsid w:val="0080523E"/>
    <w:rsid w:val="00805270"/>
    <w:rsid w:val="008052DD"/>
    <w:rsid w:val="0080554C"/>
    <w:rsid w:val="0080558A"/>
    <w:rsid w:val="0080561F"/>
    <w:rsid w:val="00805628"/>
    <w:rsid w:val="00805663"/>
    <w:rsid w:val="00805677"/>
    <w:rsid w:val="00805684"/>
    <w:rsid w:val="00805776"/>
    <w:rsid w:val="008058D6"/>
    <w:rsid w:val="0080590C"/>
    <w:rsid w:val="00805915"/>
    <w:rsid w:val="00805989"/>
    <w:rsid w:val="00805A44"/>
    <w:rsid w:val="00805B20"/>
    <w:rsid w:val="00805BBD"/>
    <w:rsid w:val="00805CB2"/>
    <w:rsid w:val="00805D04"/>
    <w:rsid w:val="00805D0B"/>
    <w:rsid w:val="00805D53"/>
    <w:rsid w:val="00805E89"/>
    <w:rsid w:val="00805F7F"/>
    <w:rsid w:val="00805FBC"/>
    <w:rsid w:val="00805FD6"/>
    <w:rsid w:val="00806039"/>
    <w:rsid w:val="00806172"/>
    <w:rsid w:val="0080617A"/>
    <w:rsid w:val="008061A7"/>
    <w:rsid w:val="008061A8"/>
    <w:rsid w:val="0080628F"/>
    <w:rsid w:val="0080635A"/>
    <w:rsid w:val="00806363"/>
    <w:rsid w:val="008063C0"/>
    <w:rsid w:val="008063D7"/>
    <w:rsid w:val="008063F1"/>
    <w:rsid w:val="00806608"/>
    <w:rsid w:val="00806653"/>
    <w:rsid w:val="008066A9"/>
    <w:rsid w:val="00806705"/>
    <w:rsid w:val="0080671E"/>
    <w:rsid w:val="00806732"/>
    <w:rsid w:val="00806800"/>
    <w:rsid w:val="008068B9"/>
    <w:rsid w:val="00806933"/>
    <w:rsid w:val="008069CC"/>
    <w:rsid w:val="00806AA8"/>
    <w:rsid w:val="00806AFD"/>
    <w:rsid w:val="00806B45"/>
    <w:rsid w:val="00806B49"/>
    <w:rsid w:val="00806B83"/>
    <w:rsid w:val="00806C30"/>
    <w:rsid w:val="00806CC3"/>
    <w:rsid w:val="00806CEE"/>
    <w:rsid w:val="00806D0B"/>
    <w:rsid w:val="00806D35"/>
    <w:rsid w:val="00806D7A"/>
    <w:rsid w:val="00806D98"/>
    <w:rsid w:val="00806DB9"/>
    <w:rsid w:val="00806E19"/>
    <w:rsid w:val="00806EA6"/>
    <w:rsid w:val="00806EDD"/>
    <w:rsid w:val="00806FE9"/>
    <w:rsid w:val="0080700F"/>
    <w:rsid w:val="008070FD"/>
    <w:rsid w:val="0080715F"/>
    <w:rsid w:val="00807172"/>
    <w:rsid w:val="008071B8"/>
    <w:rsid w:val="00807247"/>
    <w:rsid w:val="00807250"/>
    <w:rsid w:val="00807345"/>
    <w:rsid w:val="00807388"/>
    <w:rsid w:val="0080758F"/>
    <w:rsid w:val="008075FC"/>
    <w:rsid w:val="008077B8"/>
    <w:rsid w:val="00807945"/>
    <w:rsid w:val="008079FD"/>
    <w:rsid w:val="00807AA9"/>
    <w:rsid w:val="00807B39"/>
    <w:rsid w:val="00807BA8"/>
    <w:rsid w:val="00807BE1"/>
    <w:rsid w:val="00807CD6"/>
    <w:rsid w:val="00807CE3"/>
    <w:rsid w:val="00807E7D"/>
    <w:rsid w:val="00807E80"/>
    <w:rsid w:val="00807E98"/>
    <w:rsid w:val="00807EBE"/>
    <w:rsid w:val="00807F01"/>
    <w:rsid w:val="00807F8C"/>
    <w:rsid w:val="008100DC"/>
    <w:rsid w:val="0081014A"/>
    <w:rsid w:val="008101EE"/>
    <w:rsid w:val="00810221"/>
    <w:rsid w:val="00810224"/>
    <w:rsid w:val="0081027F"/>
    <w:rsid w:val="008102DB"/>
    <w:rsid w:val="008103D1"/>
    <w:rsid w:val="00810403"/>
    <w:rsid w:val="008104D7"/>
    <w:rsid w:val="008104F6"/>
    <w:rsid w:val="008104FD"/>
    <w:rsid w:val="00810519"/>
    <w:rsid w:val="00810571"/>
    <w:rsid w:val="00810595"/>
    <w:rsid w:val="00810613"/>
    <w:rsid w:val="008106C9"/>
    <w:rsid w:val="00810788"/>
    <w:rsid w:val="008107A0"/>
    <w:rsid w:val="0081082A"/>
    <w:rsid w:val="0081086B"/>
    <w:rsid w:val="008108E3"/>
    <w:rsid w:val="008108F7"/>
    <w:rsid w:val="00810A0E"/>
    <w:rsid w:val="00810A40"/>
    <w:rsid w:val="00810A84"/>
    <w:rsid w:val="00810AC4"/>
    <w:rsid w:val="00810B64"/>
    <w:rsid w:val="00810C4B"/>
    <w:rsid w:val="00810DA1"/>
    <w:rsid w:val="00810DE0"/>
    <w:rsid w:val="00810E56"/>
    <w:rsid w:val="00810EF2"/>
    <w:rsid w:val="00810F09"/>
    <w:rsid w:val="00810F0C"/>
    <w:rsid w:val="00810F5F"/>
    <w:rsid w:val="00810FD0"/>
    <w:rsid w:val="00811075"/>
    <w:rsid w:val="00811111"/>
    <w:rsid w:val="00811159"/>
    <w:rsid w:val="008112A0"/>
    <w:rsid w:val="008112FD"/>
    <w:rsid w:val="0081139A"/>
    <w:rsid w:val="008113A8"/>
    <w:rsid w:val="008113CB"/>
    <w:rsid w:val="008113D1"/>
    <w:rsid w:val="0081144F"/>
    <w:rsid w:val="00811492"/>
    <w:rsid w:val="00811574"/>
    <w:rsid w:val="0081157F"/>
    <w:rsid w:val="0081166A"/>
    <w:rsid w:val="008116F3"/>
    <w:rsid w:val="00811728"/>
    <w:rsid w:val="008117C5"/>
    <w:rsid w:val="00811808"/>
    <w:rsid w:val="008118B7"/>
    <w:rsid w:val="008118BD"/>
    <w:rsid w:val="00811943"/>
    <w:rsid w:val="008119B1"/>
    <w:rsid w:val="00811A1B"/>
    <w:rsid w:val="00811A45"/>
    <w:rsid w:val="00811AAC"/>
    <w:rsid w:val="00811B29"/>
    <w:rsid w:val="00811B86"/>
    <w:rsid w:val="00811C32"/>
    <w:rsid w:val="00811C3F"/>
    <w:rsid w:val="00811C8B"/>
    <w:rsid w:val="00811C96"/>
    <w:rsid w:val="00811E49"/>
    <w:rsid w:val="00811EB4"/>
    <w:rsid w:val="00811F12"/>
    <w:rsid w:val="00811F58"/>
    <w:rsid w:val="00811F5E"/>
    <w:rsid w:val="008120D4"/>
    <w:rsid w:val="008121B5"/>
    <w:rsid w:val="0081221A"/>
    <w:rsid w:val="00812253"/>
    <w:rsid w:val="00812288"/>
    <w:rsid w:val="008123E1"/>
    <w:rsid w:val="008124C0"/>
    <w:rsid w:val="00812521"/>
    <w:rsid w:val="00812622"/>
    <w:rsid w:val="008126DA"/>
    <w:rsid w:val="008127B6"/>
    <w:rsid w:val="008127D9"/>
    <w:rsid w:val="00812960"/>
    <w:rsid w:val="00812A1C"/>
    <w:rsid w:val="00812A59"/>
    <w:rsid w:val="00812B2F"/>
    <w:rsid w:val="00812B5F"/>
    <w:rsid w:val="00812BF0"/>
    <w:rsid w:val="00812DE1"/>
    <w:rsid w:val="00812EFB"/>
    <w:rsid w:val="00812F0F"/>
    <w:rsid w:val="00812F2A"/>
    <w:rsid w:val="00812F4B"/>
    <w:rsid w:val="00812FD1"/>
    <w:rsid w:val="00813032"/>
    <w:rsid w:val="00813034"/>
    <w:rsid w:val="0081305F"/>
    <w:rsid w:val="00813079"/>
    <w:rsid w:val="00813263"/>
    <w:rsid w:val="00813334"/>
    <w:rsid w:val="008133B2"/>
    <w:rsid w:val="0081340D"/>
    <w:rsid w:val="0081346D"/>
    <w:rsid w:val="008134D4"/>
    <w:rsid w:val="00813616"/>
    <w:rsid w:val="0081361A"/>
    <w:rsid w:val="0081361D"/>
    <w:rsid w:val="00813625"/>
    <w:rsid w:val="00813687"/>
    <w:rsid w:val="00813695"/>
    <w:rsid w:val="008136D6"/>
    <w:rsid w:val="008136EC"/>
    <w:rsid w:val="008136F5"/>
    <w:rsid w:val="0081382D"/>
    <w:rsid w:val="008138C9"/>
    <w:rsid w:val="008138E5"/>
    <w:rsid w:val="00813A45"/>
    <w:rsid w:val="00813A8B"/>
    <w:rsid w:val="00813B84"/>
    <w:rsid w:val="00813B99"/>
    <w:rsid w:val="00813C70"/>
    <w:rsid w:val="00813D10"/>
    <w:rsid w:val="00813D29"/>
    <w:rsid w:val="00813D2B"/>
    <w:rsid w:val="00813D81"/>
    <w:rsid w:val="00813F24"/>
    <w:rsid w:val="00813F3D"/>
    <w:rsid w:val="00813F7F"/>
    <w:rsid w:val="00814021"/>
    <w:rsid w:val="008140D4"/>
    <w:rsid w:val="008140F7"/>
    <w:rsid w:val="00814176"/>
    <w:rsid w:val="008141E0"/>
    <w:rsid w:val="00814210"/>
    <w:rsid w:val="00814252"/>
    <w:rsid w:val="0081426A"/>
    <w:rsid w:val="008142A0"/>
    <w:rsid w:val="00814315"/>
    <w:rsid w:val="008143FB"/>
    <w:rsid w:val="008144F8"/>
    <w:rsid w:val="008145C6"/>
    <w:rsid w:val="008145D0"/>
    <w:rsid w:val="008146DB"/>
    <w:rsid w:val="00814762"/>
    <w:rsid w:val="00814828"/>
    <w:rsid w:val="008148F6"/>
    <w:rsid w:val="008149EE"/>
    <w:rsid w:val="00814A2A"/>
    <w:rsid w:val="00814B75"/>
    <w:rsid w:val="00814C84"/>
    <w:rsid w:val="00814CB9"/>
    <w:rsid w:val="00814CFD"/>
    <w:rsid w:val="00814D7C"/>
    <w:rsid w:val="00814F24"/>
    <w:rsid w:val="00814F70"/>
    <w:rsid w:val="0081509A"/>
    <w:rsid w:val="0081514E"/>
    <w:rsid w:val="0081518F"/>
    <w:rsid w:val="008151AA"/>
    <w:rsid w:val="00815260"/>
    <w:rsid w:val="008152BD"/>
    <w:rsid w:val="00815388"/>
    <w:rsid w:val="008153CD"/>
    <w:rsid w:val="0081540B"/>
    <w:rsid w:val="008154B8"/>
    <w:rsid w:val="0081553A"/>
    <w:rsid w:val="00815587"/>
    <w:rsid w:val="008155D3"/>
    <w:rsid w:val="008155FC"/>
    <w:rsid w:val="00815614"/>
    <w:rsid w:val="008156CC"/>
    <w:rsid w:val="00815759"/>
    <w:rsid w:val="008157D2"/>
    <w:rsid w:val="00815877"/>
    <w:rsid w:val="00815894"/>
    <w:rsid w:val="008158DD"/>
    <w:rsid w:val="008158E6"/>
    <w:rsid w:val="00815A06"/>
    <w:rsid w:val="00815A33"/>
    <w:rsid w:val="00815A91"/>
    <w:rsid w:val="00815C73"/>
    <w:rsid w:val="00815C81"/>
    <w:rsid w:val="00815D26"/>
    <w:rsid w:val="00815D64"/>
    <w:rsid w:val="00815D6E"/>
    <w:rsid w:val="00815D8C"/>
    <w:rsid w:val="00815E75"/>
    <w:rsid w:val="00815F6A"/>
    <w:rsid w:val="00815FC6"/>
    <w:rsid w:val="00815FE7"/>
    <w:rsid w:val="00816067"/>
    <w:rsid w:val="00816097"/>
    <w:rsid w:val="008160D4"/>
    <w:rsid w:val="00816157"/>
    <w:rsid w:val="008161FC"/>
    <w:rsid w:val="00816368"/>
    <w:rsid w:val="008163CB"/>
    <w:rsid w:val="008163D2"/>
    <w:rsid w:val="00816447"/>
    <w:rsid w:val="00816464"/>
    <w:rsid w:val="008164D3"/>
    <w:rsid w:val="00816522"/>
    <w:rsid w:val="008165EA"/>
    <w:rsid w:val="0081669C"/>
    <w:rsid w:val="008166B0"/>
    <w:rsid w:val="008167F5"/>
    <w:rsid w:val="00816804"/>
    <w:rsid w:val="0081680A"/>
    <w:rsid w:val="00816970"/>
    <w:rsid w:val="0081699C"/>
    <w:rsid w:val="008169E0"/>
    <w:rsid w:val="00816A13"/>
    <w:rsid w:val="00816B1B"/>
    <w:rsid w:val="00816B57"/>
    <w:rsid w:val="00816BA5"/>
    <w:rsid w:val="00816BAC"/>
    <w:rsid w:val="00816BB9"/>
    <w:rsid w:val="00816C5E"/>
    <w:rsid w:val="00816CE7"/>
    <w:rsid w:val="00816CF6"/>
    <w:rsid w:val="00816CFD"/>
    <w:rsid w:val="00816D46"/>
    <w:rsid w:val="00816EBF"/>
    <w:rsid w:val="00816FA3"/>
    <w:rsid w:val="00816FD6"/>
    <w:rsid w:val="0081703C"/>
    <w:rsid w:val="008171C6"/>
    <w:rsid w:val="00817283"/>
    <w:rsid w:val="00817369"/>
    <w:rsid w:val="008173AB"/>
    <w:rsid w:val="008173CC"/>
    <w:rsid w:val="008173DE"/>
    <w:rsid w:val="008174B7"/>
    <w:rsid w:val="0081758A"/>
    <w:rsid w:val="0081761A"/>
    <w:rsid w:val="00817644"/>
    <w:rsid w:val="0081767F"/>
    <w:rsid w:val="008176C4"/>
    <w:rsid w:val="0081784B"/>
    <w:rsid w:val="0081785F"/>
    <w:rsid w:val="008178A5"/>
    <w:rsid w:val="00817948"/>
    <w:rsid w:val="008179B2"/>
    <w:rsid w:val="00817B69"/>
    <w:rsid w:val="00817B99"/>
    <w:rsid w:val="00817C4F"/>
    <w:rsid w:val="00817CB7"/>
    <w:rsid w:val="00817D82"/>
    <w:rsid w:val="00817D93"/>
    <w:rsid w:val="00817DDF"/>
    <w:rsid w:val="00817E62"/>
    <w:rsid w:val="00817E9F"/>
    <w:rsid w:val="00817F6D"/>
    <w:rsid w:val="00817FDC"/>
    <w:rsid w:val="00820126"/>
    <w:rsid w:val="00820212"/>
    <w:rsid w:val="00820238"/>
    <w:rsid w:val="00820396"/>
    <w:rsid w:val="00820447"/>
    <w:rsid w:val="008204DC"/>
    <w:rsid w:val="008205F9"/>
    <w:rsid w:val="008206A0"/>
    <w:rsid w:val="008206BB"/>
    <w:rsid w:val="008206D6"/>
    <w:rsid w:val="008206FD"/>
    <w:rsid w:val="008207F0"/>
    <w:rsid w:val="0082081A"/>
    <w:rsid w:val="00820857"/>
    <w:rsid w:val="00820945"/>
    <w:rsid w:val="00820989"/>
    <w:rsid w:val="008209AE"/>
    <w:rsid w:val="008209EF"/>
    <w:rsid w:val="00820A5A"/>
    <w:rsid w:val="00820B65"/>
    <w:rsid w:val="00820C0C"/>
    <w:rsid w:val="00820C1D"/>
    <w:rsid w:val="00820C45"/>
    <w:rsid w:val="00820C8F"/>
    <w:rsid w:val="00820C9E"/>
    <w:rsid w:val="00820CB2"/>
    <w:rsid w:val="00820CE8"/>
    <w:rsid w:val="00820F7E"/>
    <w:rsid w:val="00820F83"/>
    <w:rsid w:val="00820FA1"/>
    <w:rsid w:val="00821067"/>
    <w:rsid w:val="00821093"/>
    <w:rsid w:val="008210B3"/>
    <w:rsid w:val="00821140"/>
    <w:rsid w:val="0082121B"/>
    <w:rsid w:val="0082127E"/>
    <w:rsid w:val="00821292"/>
    <w:rsid w:val="008212E1"/>
    <w:rsid w:val="00821382"/>
    <w:rsid w:val="008213BC"/>
    <w:rsid w:val="008213BD"/>
    <w:rsid w:val="008213FF"/>
    <w:rsid w:val="00821459"/>
    <w:rsid w:val="00821592"/>
    <w:rsid w:val="008215B3"/>
    <w:rsid w:val="008216B0"/>
    <w:rsid w:val="008216DF"/>
    <w:rsid w:val="00821717"/>
    <w:rsid w:val="0082178B"/>
    <w:rsid w:val="00821858"/>
    <w:rsid w:val="00821899"/>
    <w:rsid w:val="008218BA"/>
    <w:rsid w:val="008219B9"/>
    <w:rsid w:val="00821A87"/>
    <w:rsid w:val="00821A9B"/>
    <w:rsid w:val="00821B06"/>
    <w:rsid w:val="00821B35"/>
    <w:rsid w:val="00821C25"/>
    <w:rsid w:val="00821C84"/>
    <w:rsid w:val="00821CD5"/>
    <w:rsid w:val="00821D7C"/>
    <w:rsid w:val="00821D8A"/>
    <w:rsid w:val="00821DDB"/>
    <w:rsid w:val="00821DFC"/>
    <w:rsid w:val="00821E80"/>
    <w:rsid w:val="00821EAC"/>
    <w:rsid w:val="00821EB7"/>
    <w:rsid w:val="00821ED2"/>
    <w:rsid w:val="00821FC3"/>
    <w:rsid w:val="00822045"/>
    <w:rsid w:val="008220B2"/>
    <w:rsid w:val="008220CA"/>
    <w:rsid w:val="0082210E"/>
    <w:rsid w:val="0082215D"/>
    <w:rsid w:val="00822208"/>
    <w:rsid w:val="00822285"/>
    <w:rsid w:val="008222EB"/>
    <w:rsid w:val="00822396"/>
    <w:rsid w:val="00822439"/>
    <w:rsid w:val="00822446"/>
    <w:rsid w:val="0082245C"/>
    <w:rsid w:val="0082248B"/>
    <w:rsid w:val="008224A8"/>
    <w:rsid w:val="008224CD"/>
    <w:rsid w:val="0082253F"/>
    <w:rsid w:val="00822702"/>
    <w:rsid w:val="00822723"/>
    <w:rsid w:val="008227D3"/>
    <w:rsid w:val="00822865"/>
    <w:rsid w:val="008228BA"/>
    <w:rsid w:val="00822975"/>
    <w:rsid w:val="008229DE"/>
    <w:rsid w:val="00822A5E"/>
    <w:rsid w:val="00822BBA"/>
    <w:rsid w:val="00822D1B"/>
    <w:rsid w:val="00822D22"/>
    <w:rsid w:val="00822D4A"/>
    <w:rsid w:val="00822D67"/>
    <w:rsid w:val="00822D8A"/>
    <w:rsid w:val="00822D96"/>
    <w:rsid w:val="00822E26"/>
    <w:rsid w:val="00822E31"/>
    <w:rsid w:val="00822E7F"/>
    <w:rsid w:val="00822EDB"/>
    <w:rsid w:val="00822EE8"/>
    <w:rsid w:val="00822F53"/>
    <w:rsid w:val="00823093"/>
    <w:rsid w:val="008230C4"/>
    <w:rsid w:val="008230EC"/>
    <w:rsid w:val="008231B8"/>
    <w:rsid w:val="0082325F"/>
    <w:rsid w:val="00823349"/>
    <w:rsid w:val="00823352"/>
    <w:rsid w:val="0082336F"/>
    <w:rsid w:val="0082338D"/>
    <w:rsid w:val="008233C7"/>
    <w:rsid w:val="008233D4"/>
    <w:rsid w:val="008233DE"/>
    <w:rsid w:val="0082344E"/>
    <w:rsid w:val="00823475"/>
    <w:rsid w:val="008234F5"/>
    <w:rsid w:val="0082357F"/>
    <w:rsid w:val="00823654"/>
    <w:rsid w:val="008236CD"/>
    <w:rsid w:val="00823875"/>
    <w:rsid w:val="00823925"/>
    <w:rsid w:val="0082392F"/>
    <w:rsid w:val="00823984"/>
    <w:rsid w:val="00823985"/>
    <w:rsid w:val="008239C3"/>
    <w:rsid w:val="008239EF"/>
    <w:rsid w:val="00823B25"/>
    <w:rsid w:val="00823CF6"/>
    <w:rsid w:val="00823D2B"/>
    <w:rsid w:val="00823ED8"/>
    <w:rsid w:val="00823FEE"/>
    <w:rsid w:val="00824014"/>
    <w:rsid w:val="00824069"/>
    <w:rsid w:val="008240A8"/>
    <w:rsid w:val="00824119"/>
    <w:rsid w:val="0082418F"/>
    <w:rsid w:val="00824260"/>
    <w:rsid w:val="00824279"/>
    <w:rsid w:val="008243AD"/>
    <w:rsid w:val="008243D9"/>
    <w:rsid w:val="008243F7"/>
    <w:rsid w:val="00824526"/>
    <w:rsid w:val="00824593"/>
    <w:rsid w:val="008245A7"/>
    <w:rsid w:val="008246FF"/>
    <w:rsid w:val="0082472B"/>
    <w:rsid w:val="00824807"/>
    <w:rsid w:val="0082494F"/>
    <w:rsid w:val="00824A52"/>
    <w:rsid w:val="00824A55"/>
    <w:rsid w:val="00824A84"/>
    <w:rsid w:val="00824AE6"/>
    <w:rsid w:val="00824B6F"/>
    <w:rsid w:val="00824BB1"/>
    <w:rsid w:val="00824BD7"/>
    <w:rsid w:val="00824C0F"/>
    <w:rsid w:val="00824C56"/>
    <w:rsid w:val="00824C77"/>
    <w:rsid w:val="00824CBF"/>
    <w:rsid w:val="00824CCB"/>
    <w:rsid w:val="00824CEE"/>
    <w:rsid w:val="00824D4D"/>
    <w:rsid w:val="00824E61"/>
    <w:rsid w:val="00824F37"/>
    <w:rsid w:val="00824F85"/>
    <w:rsid w:val="00824FE4"/>
    <w:rsid w:val="0082503E"/>
    <w:rsid w:val="00825080"/>
    <w:rsid w:val="008250AF"/>
    <w:rsid w:val="00825130"/>
    <w:rsid w:val="00825162"/>
    <w:rsid w:val="008251DD"/>
    <w:rsid w:val="00825287"/>
    <w:rsid w:val="008252DB"/>
    <w:rsid w:val="008252E1"/>
    <w:rsid w:val="008252FC"/>
    <w:rsid w:val="00825377"/>
    <w:rsid w:val="00825480"/>
    <w:rsid w:val="00825561"/>
    <w:rsid w:val="00825587"/>
    <w:rsid w:val="00825589"/>
    <w:rsid w:val="00825697"/>
    <w:rsid w:val="008256B5"/>
    <w:rsid w:val="008256D8"/>
    <w:rsid w:val="008256E8"/>
    <w:rsid w:val="008257CE"/>
    <w:rsid w:val="00825853"/>
    <w:rsid w:val="008258AA"/>
    <w:rsid w:val="0082596A"/>
    <w:rsid w:val="00825A4C"/>
    <w:rsid w:val="00825A51"/>
    <w:rsid w:val="00825A6E"/>
    <w:rsid w:val="00825A73"/>
    <w:rsid w:val="00825A75"/>
    <w:rsid w:val="00825AA0"/>
    <w:rsid w:val="00825AC9"/>
    <w:rsid w:val="00825BF6"/>
    <w:rsid w:val="00825C87"/>
    <w:rsid w:val="00825CC6"/>
    <w:rsid w:val="00825CDB"/>
    <w:rsid w:val="00825CDD"/>
    <w:rsid w:val="00825DD5"/>
    <w:rsid w:val="00825E00"/>
    <w:rsid w:val="00825E7C"/>
    <w:rsid w:val="00825EEE"/>
    <w:rsid w:val="00825F18"/>
    <w:rsid w:val="00825FC8"/>
    <w:rsid w:val="00825FFD"/>
    <w:rsid w:val="008260E9"/>
    <w:rsid w:val="0082614C"/>
    <w:rsid w:val="00826193"/>
    <w:rsid w:val="0082619E"/>
    <w:rsid w:val="008261B6"/>
    <w:rsid w:val="008261D6"/>
    <w:rsid w:val="008261F9"/>
    <w:rsid w:val="008262EE"/>
    <w:rsid w:val="0082630E"/>
    <w:rsid w:val="0082639A"/>
    <w:rsid w:val="008263D7"/>
    <w:rsid w:val="00826566"/>
    <w:rsid w:val="00826580"/>
    <w:rsid w:val="008265C0"/>
    <w:rsid w:val="008265F2"/>
    <w:rsid w:val="0082663F"/>
    <w:rsid w:val="008266A0"/>
    <w:rsid w:val="0082671B"/>
    <w:rsid w:val="0082679E"/>
    <w:rsid w:val="008267A2"/>
    <w:rsid w:val="008267B1"/>
    <w:rsid w:val="008267C0"/>
    <w:rsid w:val="00826808"/>
    <w:rsid w:val="00826865"/>
    <w:rsid w:val="0082686A"/>
    <w:rsid w:val="008268D6"/>
    <w:rsid w:val="0082699F"/>
    <w:rsid w:val="008269D2"/>
    <w:rsid w:val="00826A60"/>
    <w:rsid w:val="00826AAA"/>
    <w:rsid w:val="00826AB7"/>
    <w:rsid w:val="00826B82"/>
    <w:rsid w:val="00826C23"/>
    <w:rsid w:val="00826C59"/>
    <w:rsid w:val="00826D02"/>
    <w:rsid w:val="00826D57"/>
    <w:rsid w:val="00826D5C"/>
    <w:rsid w:val="00826DC2"/>
    <w:rsid w:val="00826E14"/>
    <w:rsid w:val="00826EA8"/>
    <w:rsid w:val="00826F7C"/>
    <w:rsid w:val="00826FCF"/>
    <w:rsid w:val="0082702E"/>
    <w:rsid w:val="00827120"/>
    <w:rsid w:val="0082717F"/>
    <w:rsid w:val="008272ED"/>
    <w:rsid w:val="00827366"/>
    <w:rsid w:val="0082737E"/>
    <w:rsid w:val="008274C8"/>
    <w:rsid w:val="00827611"/>
    <w:rsid w:val="00827697"/>
    <w:rsid w:val="008276C4"/>
    <w:rsid w:val="00827721"/>
    <w:rsid w:val="00827806"/>
    <w:rsid w:val="00827809"/>
    <w:rsid w:val="00827833"/>
    <w:rsid w:val="008278C0"/>
    <w:rsid w:val="008278D4"/>
    <w:rsid w:val="00827992"/>
    <w:rsid w:val="008279B9"/>
    <w:rsid w:val="00827B5B"/>
    <w:rsid w:val="00827BC9"/>
    <w:rsid w:val="00827BF0"/>
    <w:rsid w:val="00827CBF"/>
    <w:rsid w:val="00827D01"/>
    <w:rsid w:val="00827D0F"/>
    <w:rsid w:val="00827D76"/>
    <w:rsid w:val="00827DA7"/>
    <w:rsid w:val="00827DA8"/>
    <w:rsid w:val="00827DD3"/>
    <w:rsid w:val="00827F07"/>
    <w:rsid w:val="00827FA6"/>
    <w:rsid w:val="00830038"/>
    <w:rsid w:val="00830065"/>
    <w:rsid w:val="0083027F"/>
    <w:rsid w:val="00830309"/>
    <w:rsid w:val="0083045B"/>
    <w:rsid w:val="008305CD"/>
    <w:rsid w:val="00830774"/>
    <w:rsid w:val="00830794"/>
    <w:rsid w:val="0083084D"/>
    <w:rsid w:val="00830851"/>
    <w:rsid w:val="0083087E"/>
    <w:rsid w:val="00830883"/>
    <w:rsid w:val="008308DC"/>
    <w:rsid w:val="00830985"/>
    <w:rsid w:val="00830A8D"/>
    <w:rsid w:val="00830ACC"/>
    <w:rsid w:val="00830AD6"/>
    <w:rsid w:val="00830BB0"/>
    <w:rsid w:val="00830C3C"/>
    <w:rsid w:val="00830C5D"/>
    <w:rsid w:val="00830C7F"/>
    <w:rsid w:val="00830D4A"/>
    <w:rsid w:val="00830D5F"/>
    <w:rsid w:val="00830E46"/>
    <w:rsid w:val="00830E5E"/>
    <w:rsid w:val="00830E8D"/>
    <w:rsid w:val="00830EFE"/>
    <w:rsid w:val="00830F19"/>
    <w:rsid w:val="00830F8E"/>
    <w:rsid w:val="00830F91"/>
    <w:rsid w:val="00830F98"/>
    <w:rsid w:val="00830FDA"/>
    <w:rsid w:val="00831013"/>
    <w:rsid w:val="008310A3"/>
    <w:rsid w:val="00831124"/>
    <w:rsid w:val="008311B8"/>
    <w:rsid w:val="0083122B"/>
    <w:rsid w:val="0083122C"/>
    <w:rsid w:val="00831280"/>
    <w:rsid w:val="008312E3"/>
    <w:rsid w:val="00831335"/>
    <w:rsid w:val="008313DD"/>
    <w:rsid w:val="008313E7"/>
    <w:rsid w:val="00831497"/>
    <w:rsid w:val="008314AB"/>
    <w:rsid w:val="008314F3"/>
    <w:rsid w:val="008315BC"/>
    <w:rsid w:val="00831681"/>
    <w:rsid w:val="008316CF"/>
    <w:rsid w:val="008317D7"/>
    <w:rsid w:val="00831907"/>
    <w:rsid w:val="00831B0F"/>
    <w:rsid w:val="00831B37"/>
    <w:rsid w:val="00831B82"/>
    <w:rsid w:val="00831BC0"/>
    <w:rsid w:val="00831C47"/>
    <w:rsid w:val="00831DD0"/>
    <w:rsid w:val="00831E2F"/>
    <w:rsid w:val="00831EB4"/>
    <w:rsid w:val="00831ECD"/>
    <w:rsid w:val="00831F8C"/>
    <w:rsid w:val="00831F8D"/>
    <w:rsid w:val="00831FAD"/>
    <w:rsid w:val="00831FDE"/>
    <w:rsid w:val="008320E9"/>
    <w:rsid w:val="00832129"/>
    <w:rsid w:val="00832164"/>
    <w:rsid w:val="00832172"/>
    <w:rsid w:val="008321F1"/>
    <w:rsid w:val="00832226"/>
    <w:rsid w:val="00832264"/>
    <w:rsid w:val="008323B0"/>
    <w:rsid w:val="0083266D"/>
    <w:rsid w:val="0083266E"/>
    <w:rsid w:val="00832726"/>
    <w:rsid w:val="00832745"/>
    <w:rsid w:val="00832756"/>
    <w:rsid w:val="008327C0"/>
    <w:rsid w:val="0083282B"/>
    <w:rsid w:val="0083291B"/>
    <w:rsid w:val="00832A25"/>
    <w:rsid w:val="00832A82"/>
    <w:rsid w:val="00832B09"/>
    <w:rsid w:val="00832B15"/>
    <w:rsid w:val="00832C2F"/>
    <w:rsid w:val="00832C7D"/>
    <w:rsid w:val="00832D1A"/>
    <w:rsid w:val="00832DB9"/>
    <w:rsid w:val="00832DC4"/>
    <w:rsid w:val="00832E58"/>
    <w:rsid w:val="00832F90"/>
    <w:rsid w:val="008331B3"/>
    <w:rsid w:val="008331E6"/>
    <w:rsid w:val="0083323D"/>
    <w:rsid w:val="0083325B"/>
    <w:rsid w:val="0083329D"/>
    <w:rsid w:val="008332BF"/>
    <w:rsid w:val="00833325"/>
    <w:rsid w:val="00833348"/>
    <w:rsid w:val="00833358"/>
    <w:rsid w:val="008333B9"/>
    <w:rsid w:val="008333DF"/>
    <w:rsid w:val="008334B1"/>
    <w:rsid w:val="0083350E"/>
    <w:rsid w:val="0083352A"/>
    <w:rsid w:val="008335E0"/>
    <w:rsid w:val="00833601"/>
    <w:rsid w:val="0083360B"/>
    <w:rsid w:val="00833662"/>
    <w:rsid w:val="00833708"/>
    <w:rsid w:val="0083386E"/>
    <w:rsid w:val="00833870"/>
    <w:rsid w:val="008339AF"/>
    <w:rsid w:val="00833A2E"/>
    <w:rsid w:val="00833B05"/>
    <w:rsid w:val="00833B5D"/>
    <w:rsid w:val="00833BC0"/>
    <w:rsid w:val="00833C7E"/>
    <w:rsid w:val="00833D4B"/>
    <w:rsid w:val="00833D8A"/>
    <w:rsid w:val="00833D91"/>
    <w:rsid w:val="00833DE7"/>
    <w:rsid w:val="00833F0A"/>
    <w:rsid w:val="00833F27"/>
    <w:rsid w:val="00833FFE"/>
    <w:rsid w:val="00834133"/>
    <w:rsid w:val="00834165"/>
    <w:rsid w:val="00834243"/>
    <w:rsid w:val="0083431D"/>
    <w:rsid w:val="0083433D"/>
    <w:rsid w:val="0083434A"/>
    <w:rsid w:val="0083439D"/>
    <w:rsid w:val="008343C1"/>
    <w:rsid w:val="0083455A"/>
    <w:rsid w:val="008345B3"/>
    <w:rsid w:val="00834613"/>
    <w:rsid w:val="008346E8"/>
    <w:rsid w:val="008346FB"/>
    <w:rsid w:val="0083470F"/>
    <w:rsid w:val="0083491A"/>
    <w:rsid w:val="0083498A"/>
    <w:rsid w:val="008349B0"/>
    <w:rsid w:val="00834AAD"/>
    <w:rsid w:val="00834D57"/>
    <w:rsid w:val="00834DB1"/>
    <w:rsid w:val="00834EA7"/>
    <w:rsid w:val="00834ED1"/>
    <w:rsid w:val="00834F66"/>
    <w:rsid w:val="00834F96"/>
    <w:rsid w:val="00834FFB"/>
    <w:rsid w:val="008350AC"/>
    <w:rsid w:val="008350BE"/>
    <w:rsid w:val="008350DF"/>
    <w:rsid w:val="008350E4"/>
    <w:rsid w:val="008350EB"/>
    <w:rsid w:val="00835155"/>
    <w:rsid w:val="0083523C"/>
    <w:rsid w:val="00835262"/>
    <w:rsid w:val="0083532E"/>
    <w:rsid w:val="00835407"/>
    <w:rsid w:val="00835506"/>
    <w:rsid w:val="00835735"/>
    <w:rsid w:val="008357E7"/>
    <w:rsid w:val="008357FB"/>
    <w:rsid w:val="0083580E"/>
    <w:rsid w:val="00835842"/>
    <w:rsid w:val="008358E0"/>
    <w:rsid w:val="00835971"/>
    <w:rsid w:val="00835A44"/>
    <w:rsid w:val="00835A87"/>
    <w:rsid w:val="00835BCE"/>
    <w:rsid w:val="00835C0F"/>
    <w:rsid w:val="00835C5F"/>
    <w:rsid w:val="00835C68"/>
    <w:rsid w:val="00835C74"/>
    <w:rsid w:val="00835CCF"/>
    <w:rsid w:val="00835DC7"/>
    <w:rsid w:val="00835E24"/>
    <w:rsid w:val="00835E7A"/>
    <w:rsid w:val="00835F89"/>
    <w:rsid w:val="008360D5"/>
    <w:rsid w:val="00836153"/>
    <w:rsid w:val="00836197"/>
    <w:rsid w:val="008361C1"/>
    <w:rsid w:val="008361C2"/>
    <w:rsid w:val="008362A8"/>
    <w:rsid w:val="008362C3"/>
    <w:rsid w:val="00836300"/>
    <w:rsid w:val="00836320"/>
    <w:rsid w:val="008363DD"/>
    <w:rsid w:val="00836431"/>
    <w:rsid w:val="00836556"/>
    <w:rsid w:val="008365CD"/>
    <w:rsid w:val="0083666E"/>
    <w:rsid w:val="008366A2"/>
    <w:rsid w:val="008366DA"/>
    <w:rsid w:val="00836717"/>
    <w:rsid w:val="008367E2"/>
    <w:rsid w:val="008367E3"/>
    <w:rsid w:val="0083681C"/>
    <w:rsid w:val="0083686A"/>
    <w:rsid w:val="008368AA"/>
    <w:rsid w:val="008368E7"/>
    <w:rsid w:val="008368EC"/>
    <w:rsid w:val="0083690D"/>
    <w:rsid w:val="008369C9"/>
    <w:rsid w:val="00836A70"/>
    <w:rsid w:val="00836A83"/>
    <w:rsid w:val="00836AA6"/>
    <w:rsid w:val="00836AAE"/>
    <w:rsid w:val="00836AC8"/>
    <w:rsid w:val="00836B3B"/>
    <w:rsid w:val="00836B44"/>
    <w:rsid w:val="00836B4A"/>
    <w:rsid w:val="00836D32"/>
    <w:rsid w:val="00836DB6"/>
    <w:rsid w:val="00836DDD"/>
    <w:rsid w:val="00836E49"/>
    <w:rsid w:val="00836EE7"/>
    <w:rsid w:val="00836F65"/>
    <w:rsid w:val="00836FFB"/>
    <w:rsid w:val="00837037"/>
    <w:rsid w:val="008370A7"/>
    <w:rsid w:val="008370E3"/>
    <w:rsid w:val="00837133"/>
    <w:rsid w:val="00837267"/>
    <w:rsid w:val="0083726F"/>
    <w:rsid w:val="008372A7"/>
    <w:rsid w:val="00837339"/>
    <w:rsid w:val="008373B4"/>
    <w:rsid w:val="008373E5"/>
    <w:rsid w:val="0083740C"/>
    <w:rsid w:val="0083741A"/>
    <w:rsid w:val="008374BA"/>
    <w:rsid w:val="008374C4"/>
    <w:rsid w:val="008375DF"/>
    <w:rsid w:val="0083766A"/>
    <w:rsid w:val="008378AD"/>
    <w:rsid w:val="00837955"/>
    <w:rsid w:val="00837965"/>
    <w:rsid w:val="00837AB8"/>
    <w:rsid w:val="00837CAF"/>
    <w:rsid w:val="00837CE1"/>
    <w:rsid w:val="00837CFF"/>
    <w:rsid w:val="00837DBD"/>
    <w:rsid w:val="00837EA2"/>
    <w:rsid w:val="00837EEA"/>
    <w:rsid w:val="00837F0F"/>
    <w:rsid w:val="00840057"/>
    <w:rsid w:val="008400AA"/>
    <w:rsid w:val="008400CF"/>
    <w:rsid w:val="008400F3"/>
    <w:rsid w:val="00840310"/>
    <w:rsid w:val="008403A3"/>
    <w:rsid w:val="008403BD"/>
    <w:rsid w:val="00840499"/>
    <w:rsid w:val="008404DA"/>
    <w:rsid w:val="008404F5"/>
    <w:rsid w:val="008406EF"/>
    <w:rsid w:val="0084074F"/>
    <w:rsid w:val="008407A5"/>
    <w:rsid w:val="0084087A"/>
    <w:rsid w:val="008408DC"/>
    <w:rsid w:val="0084099C"/>
    <w:rsid w:val="008409AB"/>
    <w:rsid w:val="00840A5E"/>
    <w:rsid w:val="00840AC4"/>
    <w:rsid w:val="00840C12"/>
    <w:rsid w:val="00840C8F"/>
    <w:rsid w:val="00840DA0"/>
    <w:rsid w:val="00840DB3"/>
    <w:rsid w:val="00840E7F"/>
    <w:rsid w:val="00840E96"/>
    <w:rsid w:val="00840ECA"/>
    <w:rsid w:val="00840F0C"/>
    <w:rsid w:val="00840FE2"/>
    <w:rsid w:val="00840FFE"/>
    <w:rsid w:val="0084105F"/>
    <w:rsid w:val="0084112C"/>
    <w:rsid w:val="0084117B"/>
    <w:rsid w:val="008411C3"/>
    <w:rsid w:val="008411DD"/>
    <w:rsid w:val="0084120E"/>
    <w:rsid w:val="0084133B"/>
    <w:rsid w:val="0084135D"/>
    <w:rsid w:val="008413A2"/>
    <w:rsid w:val="008413CE"/>
    <w:rsid w:val="008414BB"/>
    <w:rsid w:val="008414EC"/>
    <w:rsid w:val="008415C1"/>
    <w:rsid w:val="008415DA"/>
    <w:rsid w:val="00841648"/>
    <w:rsid w:val="00841685"/>
    <w:rsid w:val="008416E9"/>
    <w:rsid w:val="008416F1"/>
    <w:rsid w:val="00841727"/>
    <w:rsid w:val="0084182C"/>
    <w:rsid w:val="00841853"/>
    <w:rsid w:val="0084186A"/>
    <w:rsid w:val="008418A2"/>
    <w:rsid w:val="008418A3"/>
    <w:rsid w:val="0084196A"/>
    <w:rsid w:val="008419BB"/>
    <w:rsid w:val="00841BCB"/>
    <w:rsid w:val="00841CCD"/>
    <w:rsid w:val="00841D0F"/>
    <w:rsid w:val="00841DED"/>
    <w:rsid w:val="00841E03"/>
    <w:rsid w:val="00841E71"/>
    <w:rsid w:val="00841E83"/>
    <w:rsid w:val="00841F9A"/>
    <w:rsid w:val="0084217B"/>
    <w:rsid w:val="008421F3"/>
    <w:rsid w:val="00842203"/>
    <w:rsid w:val="0084226D"/>
    <w:rsid w:val="00842320"/>
    <w:rsid w:val="00842389"/>
    <w:rsid w:val="0084256E"/>
    <w:rsid w:val="008425C7"/>
    <w:rsid w:val="00842670"/>
    <w:rsid w:val="008426BF"/>
    <w:rsid w:val="008426D3"/>
    <w:rsid w:val="0084276D"/>
    <w:rsid w:val="0084277E"/>
    <w:rsid w:val="00842786"/>
    <w:rsid w:val="00842788"/>
    <w:rsid w:val="008427BF"/>
    <w:rsid w:val="008427E2"/>
    <w:rsid w:val="0084280D"/>
    <w:rsid w:val="00842899"/>
    <w:rsid w:val="008428DC"/>
    <w:rsid w:val="00842928"/>
    <w:rsid w:val="00842A5E"/>
    <w:rsid w:val="00842BDE"/>
    <w:rsid w:val="00842D06"/>
    <w:rsid w:val="00842D29"/>
    <w:rsid w:val="00842D33"/>
    <w:rsid w:val="00842D65"/>
    <w:rsid w:val="00842E5D"/>
    <w:rsid w:val="00842EEE"/>
    <w:rsid w:val="00842FF3"/>
    <w:rsid w:val="00843033"/>
    <w:rsid w:val="00843221"/>
    <w:rsid w:val="008432A1"/>
    <w:rsid w:val="0084339E"/>
    <w:rsid w:val="0084341D"/>
    <w:rsid w:val="00843493"/>
    <w:rsid w:val="008435A1"/>
    <w:rsid w:val="00843600"/>
    <w:rsid w:val="0084369D"/>
    <w:rsid w:val="008436EE"/>
    <w:rsid w:val="0084377F"/>
    <w:rsid w:val="00843781"/>
    <w:rsid w:val="008437C4"/>
    <w:rsid w:val="0084385F"/>
    <w:rsid w:val="00843876"/>
    <w:rsid w:val="00843881"/>
    <w:rsid w:val="00843975"/>
    <w:rsid w:val="0084398C"/>
    <w:rsid w:val="008439B7"/>
    <w:rsid w:val="00843ACD"/>
    <w:rsid w:val="00843AE0"/>
    <w:rsid w:val="00843CF5"/>
    <w:rsid w:val="00843D28"/>
    <w:rsid w:val="00843F10"/>
    <w:rsid w:val="00843F34"/>
    <w:rsid w:val="00843F38"/>
    <w:rsid w:val="00843F7A"/>
    <w:rsid w:val="0084406C"/>
    <w:rsid w:val="00844090"/>
    <w:rsid w:val="008440CF"/>
    <w:rsid w:val="008440E5"/>
    <w:rsid w:val="008440E9"/>
    <w:rsid w:val="008440FA"/>
    <w:rsid w:val="00844138"/>
    <w:rsid w:val="008441BE"/>
    <w:rsid w:val="008441D4"/>
    <w:rsid w:val="00844239"/>
    <w:rsid w:val="0084428F"/>
    <w:rsid w:val="008442A8"/>
    <w:rsid w:val="008442BA"/>
    <w:rsid w:val="0084431C"/>
    <w:rsid w:val="0084438C"/>
    <w:rsid w:val="008443D6"/>
    <w:rsid w:val="00844418"/>
    <w:rsid w:val="0084441C"/>
    <w:rsid w:val="00844452"/>
    <w:rsid w:val="008444A8"/>
    <w:rsid w:val="00844564"/>
    <w:rsid w:val="0084463C"/>
    <w:rsid w:val="0084464A"/>
    <w:rsid w:val="00844681"/>
    <w:rsid w:val="0084468F"/>
    <w:rsid w:val="008446B6"/>
    <w:rsid w:val="0084472F"/>
    <w:rsid w:val="00844791"/>
    <w:rsid w:val="00844795"/>
    <w:rsid w:val="0084487E"/>
    <w:rsid w:val="008448E2"/>
    <w:rsid w:val="008448EC"/>
    <w:rsid w:val="0084495A"/>
    <w:rsid w:val="00844A18"/>
    <w:rsid w:val="00844A1A"/>
    <w:rsid w:val="00844A2E"/>
    <w:rsid w:val="00844B90"/>
    <w:rsid w:val="00844BA2"/>
    <w:rsid w:val="00844BC0"/>
    <w:rsid w:val="00844BFF"/>
    <w:rsid w:val="00844C0E"/>
    <w:rsid w:val="00844C15"/>
    <w:rsid w:val="00844D35"/>
    <w:rsid w:val="00844E32"/>
    <w:rsid w:val="00844EE0"/>
    <w:rsid w:val="00844F4F"/>
    <w:rsid w:val="00845076"/>
    <w:rsid w:val="008450DC"/>
    <w:rsid w:val="008450E3"/>
    <w:rsid w:val="008450FA"/>
    <w:rsid w:val="00845109"/>
    <w:rsid w:val="008452A2"/>
    <w:rsid w:val="008452CA"/>
    <w:rsid w:val="008453A3"/>
    <w:rsid w:val="0084540C"/>
    <w:rsid w:val="008454AC"/>
    <w:rsid w:val="008454F4"/>
    <w:rsid w:val="00845501"/>
    <w:rsid w:val="00845565"/>
    <w:rsid w:val="008455A4"/>
    <w:rsid w:val="008455D8"/>
    <w:rsid w:val="00845615"/>
    <w:rsid w:val="00845638"/>
    <w:rsid w:val="0084568F"/>
    <w:rsid w:val="0084571F"/>
    <w:rsid w:val="00845728"/>
    <w:rsid w:val="00845790"/>
    <w:rsid w:val="00845806"/>
    <w:rsid w:val="00845909"/>
    <w:rsid w:val="00845A89"/>
    <w:rsid w:val="00845A99"/>
    <w:rsid w:val="00845A9B"/>
    <w:rsid w:val="00845B08"/>
    <w:rsid w:val="00845B55"/>
    <w:rsid w:val="00845BD0"/>
    <w:rsid w:val="00845C2B"/>
    <w:rsid w:val="00845C35"/>
    <w:rsid w:val="00845C53"/>
    <w:rsid w:val="00845C61"/>
    <w:rsid w:val="00845C7A"/>
    <w:rsid w:val="00845CAC"/>
    <w:rsid w:val="00845D0E"/>
    <w:rsid w:val="00845D54"/>
    <w:rsid w:val="00845D80"/>
    <w:rsid w:val="00845D9D"/>
    <w:rsid w:val="00845DCF"/>
    <w:rsid w:val="00845E1D"/>
    <w:rsid w:val="00845EB6"/>
    <w:rsid w:val="00845F5A"/>
    <w:rsid w:val="00845FC8"/>
    <w:rsid w:val="008460AD"/>
    <w:rsid w:val="008460B5"/>
    <w:rsid w:val="0084615A"/>
    <w:rsid w:val="00846323"/>
    <w:rsid w:val="0084640A"/>
    <w:rsid w:val="00846423"/>
    <w:rsid w:val="008464CA"/>
    <w:rsid w:val="00846584"/>
    <w:rsid w:val="00846585"/>
    <w:rsid w:val="0084658C"/>
    <w:rsid w:val="008466CF"/>
    <w:rsid w:val="00846755"/>
    <w:rsid w:val="008467BD"/>
    <w:rsid w:val="00846804"/>
    <w:rsid w:val="008468A0"/>
    <w:rsid w:val="008468ED"/>
    <w:rsid w:val="00846993"/>
    <w:rsid w:val="00846B62"/>
    <w:rsid w:val="00846B77"/>
    <w:rsid w:val="00846BF8"/>
    <w:rsid w:val="00846D4C"/>
    <w:rsid w:val="00846E00"/>
    <w:rsid w:val="00847073"/>
    <w:rsid w:val="00847081"/>
    <w:rsid w:val="008470E9"/>
    <w:rsid w:val="00847148"/>
    <w:rsid w:val="0084718C"/>
    <w:rsid w:val="008471E3"/>
    <w:rsid w:val="008471E6"/>
    <w:rsid w:val="00847272"/>
    <w:rsid w:val="008472BE"/>
    <w:rsid w:val="008472E3"/>
    <w:rsid w:val="00847381"/>
    <w:rsid w:val="008473BC"/>
    <w:rsid w:val="00847440"/>
    <w:rsid w:val="00847490"/>
    <w:rsid w:val="008474B3"/>
    <w:rsid w:val="00847558"/>
    <w:rsid w:val="00847587"/>
    <w:rsid w:val="0084767C"/>
    <w:rsid w:val="008476FD"/>
    <w:rsid w:val="00847727"/>
    <w:rsid w:val="008478C5"/>
    <w:rsid w:val="00847922"/>
    <w:rsid w:val="00847A60"/>
    <w:rsid w:val="00847AAC"/>
    <w:rsid w:val="00847ABE"/>
    <w:rsid w:val="00847B3E"/>
    <w:rsid w:val="00847B6A"/>
    <w:rsid w:val="00847BB4"/>
    <w:rsid w:val="00847BD7"/>
    <w:rsid w:val="00847C66"/>
    <w:rsid w:val="00847CBC"/>
    <w:rsid w:val="00847D35"/>
    <w:rsid w:val="00847D36"/>
    <w:rsid w:val="00847E18"/>
    <w:rsid w:val="00847E23"/>
    <w:rsid w:val="00847E8A"/>
    <w:rsid w:val="00847E8B"/>
    <w:rsid w:val="00847EC9"/>
    <w:rsid w:val="00847F18"/>
    <w:rsid w:val="00847F6A"/>
    <w:rsid w:val="00850036"/>
    <w:rsid w:val="008500EB"/>
    <w:rsid w:val="00850105"/>
    <w:rsid w:val="0085025C"/>
    <w:rsid w:val="00850262"/>
    <w:rsid w:val="00850283"/>
    <w:rsid w:val="008502A2"/>
    <w:rsid w:val="008502CB"/>
    <w:rsid w:val="00850354"/>
    <w:rsid w:val="00850380"/>
    <w:rsid w:val="0085039B"/>
    <w:rsid w:val="00850482"/>
    <w:rsid w:val="008504BF"/>
    <w:rsid w:val="00850512"/>
    <w:rsid w:val="008505E9"/>
    <w:rsid w:val="008506AE"/>
    <w:rsid w:val="008506B0"/>
    <w:rsid w:val="008506C2"/>
    <w:rsid w:val="008506F8"/>
    <w:rsid w:val="008506FA"/>
    <w:rsid w:val="00850874"/>
    <w:rsid w:val="00850908"/>
    <w:rsid w:val="00850A4B"/>
    <w:rsid w:val="00850BC7"/>
    <w:rsid w:val="00850BFB"/>
    <w:rsid w:val="00850CA3"/>
    <w:rsid w:val="00850CCD"/>
    <w:rsid w:val="00850D12"/>
    <w:rsid w:val="00850D14"/>
    <w:rsid w:val="00850DD6"/>
    <w:rsid w:val="00850E8D"/>
    <w:rsid w:val="00850ECA"/>
    <w:rsid w:val="00850EFA"/>
    <w:rsid w:val="00850F07"/>
    <w:rsid w:val="00850F4A"/>
    <w:rsid w:val="00850FD6"/>
    <w:rsid w:val="0085100D"/>
    <w:rsid w:val="00851014"/>
    <w:rsid w:val="00851035"/>
    <w:rsid w:val="00851037"/>
    <w:rsid w:val="0085103C"/>
    <w:rsid w:val="008510CA"/>
    <w:rsid w:val="00851102"/>
    <w:rsid w:val="00851275"/>
    <w:rsid w:val="00851352"/>
    <w:rsid w:val="008513F5"/>
    <w:rsid w:val="0085140C"/>
    <w:rsid w:val="0085140E"/>
    <w:rsid w:val="008514FE"/>
    <w:rsid w:val="008514FF"/>
    <w:rsid w:val="008515B0"/>
    <w:rsid w:val="00851617"/>
    <w:rsid w:val="0085164C"/>
    <w:rsid w:val="0085164E"/>
    <w:rsid w:val="00851679"/>
    <w:rsid w:val="00851686"/>
    <w:rsid w:val="00851769"/>
    <w:rsid w:val="00851783"/>
    <w:rsid w:val="00851830"/>
    <w:rsid w:val="00851895"/>
    <w:rsid w:val="0085189D"/>
    <w:rsid w:val="008518B9"/>
    <w:rsid w:val="008518D7"/>
    <w:rsid w:val="008518FB"/>
    <w:rsid w:val="00851916"/>
    <w:rsid w:val="0085191C"/>
    <w:rsid w:val="00851931"/>
    <w:rsid w:val="00851970"/>
    <w:rsid w:val="00851997"/>
    <w:rsid w:val="00851AB2"/>
    <w:rsid w:val="00851B97"/>
    <w:rsid w:val="00851C1A"/>
    <w:rsid w:val="00851C41"/>
    <w:rsid w:val="00851CC5"/>
    <w:rsid w:val="00851DAA"/>
    <w:rsid w:val="00851DFA"/>
    <w:rsid w:val="00851E63"/>
    <w:rsid w:val="00851F8D"/>
    <w:rsid w:val="00851FBA"/>
    <w:rsid w:val="00852083"/>
    <w:rsid w:val="008520CE"/>
    <w:rsid w:val="00852151"/>
    <w:rsid w:val="00852158"/>
    <w:rsid w:val="0085215E"/>
    <w:rsid w:val="008521CC"/>
    <w:rsid w:val="008522BC"/>
    <w:rsid w:val="008522CA"/>
    <w:rsid w:val="00852366"/>
    <w:rsid w:val="008523EA"/>
    <w:rsid w:val="00852494"/>
    <w:rsid w:val="008524F5"/>
    <w:rsid w:val="008525DC"/>
    <w:rsid w:val="008525DE"/>
    <w:rsid w:val="00852673"/>
    <w:rsid w:val="008526EE"/>
    <w:rsid w:val="00852709"/>
    <w:rsid w:val="00852803"/>
    <w:rsid w:val="008528B5"/>
    <w:rsid w:val="008528BF"/>
    <w:rsid w:val="00852924"/>
    <w:rsid w:val="008529AC"/>
    <w:rsid w:val="00852A2C"/>
    <w:rsid w:val="00852AE6"/>
    <w:rsid w:val="00852B55"/>
    <w:rsid w:val="00852BFE"/>
    <w:rsid w:val="00852C52"/>
    <w:rsid w:val="00852C83"/>
    <w:rsid w:val="00852CA4"/>
    <w:rsid w:val="00852CA8"/>
    <w:rsid w:val="00852D98"/>
    <w:rsid w:val="00852FBE"/>
    <w:rsid w:val="00853063"/>
    <w:rsid w:val="00853108"/>
    <w:rsid w:val="00853183"/>
    <w:rsid w:val="00853192"/>
    <w:rsid w:val="008531BF"/>
    <w:rsid w:val="008531C3"/>
    <w:rsid w:val="0085321C"/>
    <w:rsid w:val="0085333D"/>
    <w:rsid w:val="00853366"/>
    <w:rsid w:val="008534C9"/>
    <w:rsid w:val="00853613"/>
    <w:rsid w:val="0085362E"/>
    <w:rsid w:val="0085363E"/>
    <w:rsid w:val="008536BD"/>
    <w:rsid w:val="00853731"/>
    <w:rsid w:val="00853768"/>
    <w:rsid w:val="00853779"/>
    <w:rsid w:val="0085388F"/>
    <w:rsid w:val="00853948"/>
    <w:rsid w:val="00853975"/>
    <w:rsid w:val="00853A06"/>
    <w:rsid w:val="00853A58"/>
    <w:rsid w:val="00853B18"/>
    <w:rsid w:val="00853BCD"/>
    <w:rsid w:val="00853F2B"/>
    <w:rsid w:val="00853F4D"/>
    <w:rsid w:val="00853F6D"/>
    <w:rsid w:val="00853FCA"/>
    <w:rsid w:val="00854093"/>
    <w:rsid w:val="00854096"/>
    <w:rsid w:val="00854172"/>
    <w:rsid w:val="00854228"/>
    <w:rsid w:val="00854234"/>
    <w:rsid w:val="0085433F"/>
    <w:rsid w:val="008543A1"/>
    <w:rsid w:val="008543D1"/>
    <w:rsid w:val="008543D7"/>
    <w:rsid w:val="008544C1"/>
    <w:rsid w:val="008544F6"/>
    <w:rsid w:val="00854598"/>
    <w:rsid w:val="008546E5"/>
    <w:rsid w:val="00854779"/>
    <w:rsid w:val="008548D5"/>
    <w:rsid w:val="00854913"/>
    <w:rsid w:val="00854971"/>
    <w:rsid w:val="00854985"/>
    <w:rsid w:val="00854A9A"/>
    <w:rsid w:val="00854B3A"/>
    <w:rsid w:val="00854B71"/>
    <w:rsid w:val="00854BFA"/>
    <w:rsid w:val="00854C68"/>
    <w:rsid w:val="00854CE2"/>
    <w:rsid w:val="00854D20"/>
    <w:rsid w:val="00854E5B"/>
    <w:rsid w:val="00854E9C"/>
    <w:rsid w:val="00854F29"/>
    <w:rsid w:val="00855058"/>
    <w:rsid w:val="008550F4"/>
    <w:rsid w:val="008551A6"/>
    <w:rsid w:val="008551C2"/>
    <w:rsid w:val="008551E7"/>
    <w:rsid w:val="008551F3"/>
    <w:rsid w:val="008553EF"/>
    <w:rsid w:val="00855451"/>
    <w:rsid w:val="008554B8"/>
    <w:rsid w:val="008554FA"/>
    <w:rsid w:val="00855611"/>
    <w:rsid w:val="00855618"/>
    <w:rsid w:val="00855633"/>
    <w:rsid w:val="0085574C"/>
    <w:rsid w:val="008557D2"/>
    <w:rsid w:val="0085585D"/>
    <w:rsid w:val="00855907"/>
    <w:rsid w:val="00855C88"/>
    <w:rsid w:val="00855CC0"/>
    <w:rsid w:val="00855D7C"/>
    <w:rsid w:val="00855DE9"/>
    <w:rsid w:val="00855F4E"/>
    <w:rsid w:val="00855FCB"/>
    <w:rsid w:val="00855FF1"/>
    <w:rsid w:val="0085612E"/>
    <w:rsid w:val="008561F9"/>
    <w:rsid w:val="0085625F"/>
    <w:rsid w:val="0085639B"/>
    <w:rsid w:val="008564DC"/>
    <w:rsid w:val="00856557"/>
    <w:rsid w:val="008565D4"/>
    <w:rsid w:val="008565FE"/>
    <w:rsid w:val="008566D6"/>
    <w:rsid w:val="008566F7"/>
    <w:rsid w:val="0085671D"/>
    <w:rsid w:val="0085672E"/>
    <w:rsid w:val="00856869"/>
    <w:rsid w:val="00856923"/>
    <w:rsid w:val="00856928"/>
    <w:rsid w:val="00856955"/>
    <w:rsid w:val="00856A5B"/>
    <w:rsid w:val="00856A99"/>
    <w:rsid w:val="00856BE9"/>
    <w:rsid w:val="00856C10"/>
    <w:rsid w:val="00856C69"/>
    <w:rsid w:val="00856C89"/>
    <w:rsid w:val="00856D88"/>
    <w:rsid w:val="00856DA2"/>
    <w:rsid w:val="00856DD0"/>
    <w:rsid w:val="00856DD6"/>
    <w:rsid w:val="00856DF1"/>
    <w:rsid w:val="00856E07"/>
    <w:rsid w:val="00856EDE"/>
    <w:rsid w:val="00856F7D"/>
    <w:rsid w:val="00856FF2"/>
    <w:rsid w:val="00857055"/>
    <w:rsid w:val="0085706B"/>
    <w:rsid w:val="0085709D"/>
    <w:rsid w:val="0085715C"/>
    <w:rsid w:val="00857170"/>
    <w:rsid w:val="00857245"/>
    <w:rsid w:val="008572D0"/>
    <w:rsid w:val="008572F1"/>
    <w:rsid w:val="00857370"/>
    <w:rsid w:val="00857544"/>
    <w:rsid w:val="0085756C"/>
    <w:rsid w:val="00857607"/>
    <w:rsid w:val="00857621"/>
    <w:rsid w:val="008577AC"/>
    <w:rsid w:val="008578D6"/>
    <w:rsid w:val="00857907"/>
    <w:rsid w:val="00857931"/>
    <w:rsid w:val="00857969"/>
    <w:rsid w:val="00857A02"/>
    <w:rsid w:val="00857A0F"/>
    <w:rsid w:val="00857A2B"/>
    <w:rsid w:val="00857B81"/>
    <w:rsid w:val="00857BC5"/>
    <w:rsid w:val="00857C83"/>
    <w:rsid w:val="00857CD9"/>
    <w:rsid w:val="00857D33"/>
    <w:rsid w:val="00857E38"/>
    <w:rsid w:val="00857E49"/>
    <w:rsid w:val="00857F29"/>
    <w:rsid w:val="00857FC3"/>
    <w:rsid w:val="00860099"/>
    <w:rsid w:val="0086009D"/>
    <w:rsid w:val="008600C1"/>
    <w:rsid w:val="008600F6"/>
    <w:rsid w:val="008600FF"/>
    <w:rsid w:val="00860156"/>
    <w:rsid w:val="00860228"/>
    <w:rsid w:val="0086025D"/>
    <w:rsid w:val="00860267"/>
    <w:rsid w:val="008602B8"/>
    <w:rsid w:val="008602CE"/>
    <w:rsid w:val="00860327"/>
    <w:rsid w:val="00860340"/>
    <w:rsid w:val="0086055D"/>
    <w:rsid w:val="008605F6"/>
    <w:rsid w:val="008607EF"/>
    <w:rsid w:val="00860837"/>
    <w:rsid w:val="0086083C"/>
    <w:rsid w:val="008608AB"/>
    <w:rsid w:val="008608EC"/>
    <w:rsid w:val="00860915"/>
    <w:rsid w:val="0086099D"/>
    <w:rsid w:val="008609CB"/>
    <w:rsid w:val="00860A58"/>
    <w:rsid w:val="00860A81"/>
    <w:rsid w:val="00860B65"/>
    <w:rsid w:val="00860BA0"/>
    <w:rsid w:val="00860D96"/>
    <w:rsid w:val="00860DA3"/>
    <w:rsid w:val="00860E5D"/>
    <w:rsid w:val="00860FB0"/>
    <w:rsid w:val="00860FF4"/>
    <w:rsid w:val="00860FF9"/>
    <w:rsid w:val="0086104E"/>
    <w:rsid w:val="00861079"/>
    <w:rsid w:val="0086109C"/>
    <w:rsid w:val="00861117"/>
    <w:rsid w:val="00861186"/>
    <w:rsid w:val="0086124B"/>
    <w:rsid w:val="00861299"/>
    <w:rsid w:val="008612BB"/>
    <w:rsid w:val="008612FB"/>
    <w:rsid w:val="0086134E"/>
    <w:rsid w:val="008613D5"/>
    <w:rsid w:val="008613EF"/>
    <w:rsid w:val="0086144C"/>
    <w:rsid w:val="00861494"/>
    <w:rsid w:val="00861533"/>
    <w:rsid w:val="00861578"/>
    <w:rsid w:val="00861613"/>
    <w:rsid w:val="008616EB"/>
    <w:rsid w:val="008616F4"/>
    <w:rsid w:val="008617F3"/>
    <w:rsid w:val="0086182E"/>
    <w:rsid w:val="0086182F"/>
    <w:rsid w:val="00861833"/>
    <w:rsid w:val="00861848"/>
    <w:rsid w:val="008618DE"/>
    <w:rsid w:val="008618EF"/>
    <w:rsid w:val="00861960"/>
    <w:rsid w:val="00861978"/>
    <w:rsid w:val="00861A74"/>
    <w:rsid w:val="00861AD2"/>
    <w:rsid w:val="00861C18"/>
    <w:rsid w:val="00861D9E"/>
    <w:rsid w:val="00861DE0"/>
    <w:rsid w:val="00861F1A"/>
    <w:rsid w:val="00861F1C"/>
    <w:rsid w:val="00862013"/>
    <w:rsid w:val="0086201A"/>
    <w:rsid w:val="008620AE"/>
    <w:rsid w:val="008620FA"/>
    <w:rsid w:val="00862111"/>
    <w:rsid w:val="00862159"/>
    <w:rsid w:val="0086217C"/>
    <w:rsid w:val="0086221B"/>
    <w:rsid w:val="00862252"/>
    <w:rsid w:val="00862281"/>
    <w:rsid w:val="008622E1"/>
    <w:rsid w:val="00862327"/>
    <w:rsid w:val="0086242B"/>
    <w:rsid w:val="0086246D"/>
    <w:rsid w:val="00862580"/>
    <w:rsid w:val="008625BE"/>
    <w:rsid w:val="008625EB"/>
    <w:rsid w:val="0086262B"/>
    <w:rsid w:val="008626F7"/>
    <w:rsid w:val="008627CD"/>
    <w:rsid w:val="0086286F"/>
    <w:rsid w:val="0086287E"/>
    <w:rsid w:val="008629AE"/>
    <w:rsid w:val="008629D3"/>
    <w:rsid w:val="00862A05"/>
    <w:rsid w:val="00862A6B"/>
    <w:rsid w:val="00862AC8"/>
    <w:rsid w:val="00862B44"/>
    <w:rsid w:val="00862B59"/>
    <w:rsid w:val="00862C5F"/>
    <w:rsid w:val="00862CB0"/>
    <w:rsid w:val="00862CC8"/>
    <w:rsid w:val="00862CDE"/>
    <w:rsid w:val="00862D23"/>
    <w:rsid w:val="00862D89"/>
    <w:rsid w:val="00862D9C"/>
    <w:rsid w:val="00862DCD"/>
    <w:rsid w:val="00862E6A"/>
    <w:rsid w:val="00862E7E"/>
    <w:rsid w:val="00862EBA"/>
    <w:rsid w:val="00862F07"/>
    <w:rsid w:val="00862F8F"/>
    <w:rsid w:val="008630B5"/>
    <w:rsid w:val="008630E0"/>
    <w:rsid w:val="0086310F"/>
    <w:rsid w:val="008631CE"/>
    <w:rsid w:val="008631D3"/>
    <w:rsid w:val="00863265"/>
    <w:rsid w:val="00863284"/>
    <w:rsid w:val="00863295"/>
    <w:rsid w:val="00863318"/>
    <w:rsid w:val="0086331A"/>
    <w:rsid w:val="008633CB"/>
    <w:rsid w:val="008633DF"/>
    <w:rsid w:val="008633E9"/>
    <w:rsid w:val="00863453"/>
    <w:rsid w:val="0086356A"/>
    <w:rsid w:val="00863613"/>
    <w:rsid w:val="00863719"/>
    <w:rsid w:val="008637B0"/>
    <w:rsid w:val="008637EA"/>
    <w:rsid w:val="00863859"/>
    <w:rsid w:val="008639F0"/>
    <w:rsid w:val="00863A79"/>
    <w:rsid w:val="00863A86"/>
    <w:rsid w:val="00863AEB"/>
    <w:rsid w:val="00863C42"/>
    <w:rsid w:val="00863C4C"/>
    <w:rsid w:val="00863C95"/>
    <w:rsid w:val="00863CDE"/>
    <w:rsid w:val="00863D50"/>
    <w:rsid w:val="00863E04"/>
    <w:rsid w:val="00863E94"/>
    <w:rsid w:val="00863F21"/>
    <w:rsid w:val="00864025"/>
    <w:rsid w:val="00864055"/>
    <w:rsid w:val="0086405A"/>
    <w:rsid w:val="008640DE"/>
    <w:rsid w:val="008640F1"/>
    <w:rsid w:val="00864173"/>
    <w:rsid w:val="00864185"/>
    <w:rsid w:val="0086418D"/>
    <w:rsid w:val="008641FB"/>
    <w:rsid w:val="0086423D"/>
    <w:rsid w:val="00864315"/>
    <w:rsid w:val="0086431F"/>
    <w:rsid w:val="0086434B"/>
    <w:rsid w:val="00864385"/>
    <w:rsid w:val="008644BD"/>
    <w:rsid w:val="00864529"/>
    <w:rsid w:val="0086452D"/>
    <w:rsid w:val="00864551"/>
    <w:rsid w:val="0086472F"/>
    <w:rsid w:val="008648E8"/>
    <w:rsid w:val="00864965"/>
    <w:rsid w:val="008649F8"/>
    <w:rsid w:val="00864A6E"/>
    <w:rsid w:val="00864AD2"/>
    <w:rsid w:val="00864B00"/>
    <w:rsid w:val="00864B36"/>
    <w:rsid w:val="00864BE1"/>
    <w:rsid w:val="00864BEF"/>
    <w:rsid w:val="00864C2D"/>
    <w:rsid w:val="00864CDA"/>
    <w:rsid w:val="00864E42"/>
    <w:rsid w:val="00864E6E"/>
    <w:rsid w:val="00864EF4"/>
    <w:rsid w:val="00865002"/>
    <w:rsid w:val="00865044"/>
    <w:rsid w:val="00865079"/>
    <w:rsid w:val="008650C9"/>
    <w:rsid w:val="00865161"/>
    <w:rsid w:val="00865288"/>
    <w:rsid w:val="008654EB"/>
    <w:rsid w:val="00865549"/>
    <w:rsid w:val="00865552"/>
    <w:rsid w:val="008655EC"/>
    <w:rsid w:val="0086571E"/>
    <w:rsid w:val="00865749"/>
    <w:rsid w:val="008657A5"/>
    <w:rsid w:val="008658A5"/>
    <w:rsid w:val="00865934"/>
    <w:rsid w:val="008659E3"/>
    <w:rsid w:val="00865A76"/>
    <w:rsid w:val="00865AF5"/>
    <w:rsid w:val="00865B63"/>
    <w:rsid w:val="00865BE8"/>
    <w:rsid w:val="00865C18"/>
    <w:rsid w:val="00865C64"/>
    <w:rsid w:val="00865D7F"/>
    <w:rsid w:val="00865DB5"/>
    <w:rsid w:val="00865DC1"/>
    <w:rsid w:val="00865EE6"/>
    <w:rsid w:val="00865F22"/>
    <w:rsid w:val="00865F59"/>
    <w:rsid w:val="00865F6B"/>
    <w:rsid w:val="00865FA0"/>
    <w:rsid w:val="0086602B"/>
    <w:rsid w:val="008660C8"/>
    <w:rsid w:val="0086622A"/>
    <w:rsid w:val="008662C6"/>
    <w:rsid w:val="008662E8"/>
    <w:rsid w:val="0086631D"/>
    <w:rsid w:val="0086638B"/>
    <w:rsid w:val="0086648C"/>
    <w:rsid w:val="008664D4"/>
    <w:rsid w:val="00866595"/>
    <w:rsid w:val="008665E0"/>
    <w:rsid w:val="008665F6"/>
    <w:rsid w:val="008665FD"/>
    <w:rsid w:val="00866709"/>
    <w:rsid w:val="008667BC"/>
    <w:rsid w:val="00866807"/>
    <w:rsid w:val="00866868"/>
    <w:rsid w:val="008668CE"/>
    <w:rsid w:val="008668EB"/>
    <w:rsid w:val="0086694C"/>
    <w:rsid w:val="00866960"/>
    <w:rsid w:val="00866981"/>
    <w:rsid w:val="00866A2F"/>
    <w:rsid w:val="00866A37"/>
    <w:rsid w:val="00866A53"/>
    <w:rsid w:val="00866AE0"/>
    <w:rsid w:val="00866AEB"/>
    <w:rsid w:val="00866BC0"/>
    <w:rsid w:val="00866BD0"/>
    <w:rsid w:val="00866BE1"/>
    <w:rsid w:val="00866C1D"/>
    <w:rsid w:val="00866C35"/>
    <w:rsid w:val="00866CD9"/>
    <w:rsid w:val="00866CDD"/>
    <w:rsid w:val="00866CEE"/>
    <w:rsid w:val="00866D73"/>
    <w:rsid w:val="00866DE5"/>
    <w:rsid w:val="00866E48"/>
    <w:rsid w:val="00866E6A"/>
    <w:rsid w:val="00866F41"/>
    <w:rsid w:val="00866F70"/>
    <w:rsid w:val="00866F74"/>
    <w:rsid w:val="00866F8D"/>
    <w:rsid w:val="00866FE2"/>
    <w:rsid w:val="00866FFF"/>
    <w:rsid w:val="00867020"/>
    <w:rsid w:val="0086705C"/>
    <w:rsid w:val="0086712C"/>
    <w:rsid w:val="008671D7"/>
    <w:rsid w:val="008672BD"/>
    <w:rsid w:val="008673C4"/>
    <w:rsid w:val="008673D0"/>
    <w:rsid w:val="0086742B"/>
    <w:rsid w:val="00867571"/>
    <w:rsid w:val="00867605"/>
    <w:rsid w:val="00867626"/>
    <w:rsid w:val="0086771C"/>
    <w:rsid w:val="008677AD"/>
    <w:rsid w:val="008677DD"/>
    <w:rsid w:val="008677FA"/>
    <w:rsid w:val="00867951"/>
    <w:rsid w:val="008679A4"/>
    <w:rsid w:val="008679A5"/>
    <w:rsid w:val="008679B5"/>
    <w:rsid w:val="008679B9"/>
    <w:rsid w:val="008679FA"/>
    <w:rsid w:val="00867B08"/>
    <w:rsid w:val="00867B0B"/>
    <w:rsid w:val="00867B18"/>
    <w:rsid w:val="00867B65"/>
    <w:rsid w:val="00867B8D"/>
    <w:rsid w:val="00867BF1"/>
    <w:rsid w:val="00867CDD"/>
    <w:rsid w:val="00867CF9"/>
    <w:rsid w:val="00867D2B"/>
    <w:rsid w:val="00867D58"/>
    <w:rsid w:val="00867D7F"/>
    <w:rsid w:val="00867EE1"/>
    <w:rsid w:val="00867F25"/>
    <w:rsid w:val="00867FC5"/>
    <w:rsid w:val="008702ED"/>
    <w:rsid w:val="008702F1"/>
    <w:rsid w:val="008703AF"/>
    <w:rsid w:val="00870757"/>
    <w:rsid w:val="0087076F"/>
    <w:rsid w:val="00870785"/>
    <w:rsid w:val="008707AF"/>
    <w:rsid w:val="008707B4"/>
    <w:rsid w:val="008707CD"/>
    <w:rsid w:val="00870907"/>
    <w:rsid w:val="0087094B"/>
    <w:rsid w:val="0087098F"/>
    <w:rsid w:val="00870A05"/>
    <w:rsid w:val="00870BE1"/>
    <w:rsid w:val="00870BFB"/>
    <w:rsid w:val="00870C6E"/>
    <w:rsid w:val="00870C7A"/>
    <w:rsid w:val="00870D88"/>
    <w:rsid w:val="00870DD0"/>
    <w:rsid w:val="00870DEA"/>
    <w:rsid w:val="00870EBE"/>
    <w:rsid w:val="00870F76"/>
    <w:rsid w:val="00871104"/>
    <w:rsid w:val="0087114E"/>
    <w:rsid w:val="00871197"/>
    <w:rsid w:val="008712DB"/>
    <w:rsid w:val="0087137B"/>
    <w:rsid w:val="00871478"/>
    <w:rsid w:val="00871481"/>
    <w:rsid w:val="00871495"/>
    <w:rsid w:val="00871497"/>
    <w:rsid w:val="008714C2"/>
    <w:rsid w:val="008715CA"/>
    <w:rsid w:val="0087160D"/>
    <w:rsid w:val="008716D9"/>
    <w:rsid w:val="00871761"/>
    <w:rsid w:val="0087177A"/>
    <w:rsid w:val="008717BA"/>
    <w:rsid w:val="008717E6"/>
    <w:rsid w:val="00871871"/>
    <w:rsid w:val="008718BE"/>
    <w:rsid w:val="008718C6"/>
    <w:rsid w:val="00871954"/>
    <w:rsid w:val="0087198B"/>
    <w:rsid w:val="008719D2"/>
    <w:rsid w:val="00871A39"/>
    <w:rsid w:val="00871A6B"/>
    <w:rsid w:val="00871ABF"/>
    <w:rsid w:val="00871AFF"/>
    <w:rsid w:val="00871CA3"/>
    <w:rsid w:val="00871CAA"/>
    <w:rsid w:val="00871CEC"/>
    <w:rsid w:val="00871D96"/>
    <w:rsid w:val="00871DE1"/>
    <w:rsid w:val="00871E70"/>
    <w:rsid w:val="00871F2D"/>
    <w:rsid w:val="00871F52"/>
    <w:rsid w:val="00871F75"/>
    <w:rsid w:val="00871FC9"/>
    <w:rsid w:val="00871FE5"/>
    <w:rsid w:val="00872027"/>
    <w:rsid w:val="008720B9"/>
    <w:rsid w:val="008720E6"/>
    <w:rsid w:val="00872172"/>
    <w:rsid w:val="00872547"/>
    <w:rsid w:val="0087269B"/>
    <w:rsid w:val="008726B7"/>
    <w:rsid w:val="0087270B"/>
    <w:rsid w:val="00872744"/>
    <w:rsid w:val="008727CE"/>
    <w:rsid w:val="00872828"/>
    <w:rsid w:val="00872862"/>
    <w:rsid w:val="008728C0"/>
    <w:rsid w:val="008728D7"/>
    <w:rsid w:val="008728FB"/>
    <w:rsid w:val="0087298A"/>
    <w:rsid w:val="0087298B"/>
    <w:rsid w:val="008729A7"/>
    <w:rsid w:val="008729D6"/>
    <w:rsid w:val="00872A37"/>
    <w:rsid w:val="00872ACD"/>
    <w:rsid w:val="00872D65"/>
    <w:rsid w:val="00872D86"/>
    <w:rsid w:val="00872DAC"/>
    <w:rsid w:val="00872E63"/>
    <w:rsid w:val="00872E97"/>
    <w:rsid w:val="00872EE8"/>
    <w:rsid w:val="00872FA9"/>
    <w:rsid w:val="00873100"/>
    <w:rsid w:val="008732D5"/>
    <w:rsid w:val="008732D6"/>
    <w:rsid w:val="008732E5"/>
    <w:rsid w:val="00873302"/>
    <w:rsid w:val="00873349"/>
    <w:rsid w:val="00873354"/>
    <w:rsid w:val="008733D7"/>
    <w:rsid w:val="0087342B"/>
    <w:rsid w:val="00873602"/>
    <w:rsid w:val="0087363B"/>
    <w:rsid w:val="0087371F"/>
    <w:rsid w:val="00873792"/>
    <w:rsid w:val="00873807"/>
    <w:rsid w:val="00873808"/>
    <w:rsid w:val="00873835"/>
    <w:rsid w:val="0087387A"/>
    <w:rsid w:val="0087395D"/>
    <w:rsid w:val="00873966"/>
    <w:rsid w:val="00873A25"/>
    <w:rsid w:val="00873B1E"/>
    <w:rsid w:val="00873B33"/>
    <w:rsid w:val="00873B66"/>
    <w:rsid w:val="00873B7A"/>
    <w:rsid w:val="00873BBE"/>
    <w:rsid w:val="00873BC9"/>
    <w:rsid w:val="00873C40"/>
    <w:rsid w:val="00873C41"/>
    <w:rsid w:val="00873C54"/>
    <w:rsid w:val="00873C5E"/>
    <w:rsid w:val="00873CE7"/>
    <w:rsid w:val="00873D08"/>
    <w:rsid w:val="00873D29"/>
    <w:rsid w:val="00873E3E"/>
    <w:rsid w:val="00873F58"/>
    <w:rsid w:val="00873FD3"/>
    <w:rsid w:val="008740DA"/>
    <w:rsid w:val="0087413D"/>
    <w:rsid w:val="00874190"/>
    <w:rsid w:val="0087419B"/>
    <w:rsid w:val="008741CA"/>
    <w:rsid w:val="008741E8"/>
    <w:rsid w:val="00874231"/>
    <w:rsid w:val="0087425E"/>
    <w:rsid w:val="008742C4"/>
    <w:rsid w:val="00874304"/>
    <w:rsid w:val="0087440F"/>
    <w:rsid w:val="0087443E"/>
    <w:rsid w:val="00874504"/>
    <w:rsid w:val="008745F6"/>
    <w:rsid w:val="0087460B"/>
    <w:rsid w:val="00874636"/>
    <w:rsid w:val="008746E5"/>
    <w:rsid w:val="00874747"/>
    <w:rsid w:val="00874761"/>
    <w:rsid w:val="00874797"/>
    <w:rsid w:val="008747EB"/>
    <w:rsid w:val="0087488A"/>
    <w:rsid w:val="00874967"/>
    <w:rsid w:val="00874A5B"/>
    <w:rsid w:val="00874A63"/>
    <w:rsid w:val="00874A68"/>
    <w:rsid w:val="00874A89"/>
    <w:rsid w:val="00874AA3"/>
    <w:rsid w:val="00874AB7"/>
    <w:rsid w:val="00874ACA"/>
    <w:rsid w:val="00874B49"/>
    <w:rsid w:val="00874B97"/>
    <w:rsid w:val="00874BBD"/>
    <w:rsid w:val="00874BBF"/>
    <w:rsid w:val="00874C46"/>
    <w:rsid w:val="00874D93"/>
    <w:rsid w:val="00874DD9"/>
    <w:rsid w:val="00874E0D"/>
    <w:rsid w:val="00874E6F"/>
    <w:rsid w:val="00874E98"/>
    <w:rsid w:val="00874ED0"/>
    <w:rsid w:val="00874F5A"/>
    <w:rsid w:val="00874FDF"/>
    <w:rsid w:val="0087503C"/>
    <w:rsid w:val="008750AD"/>
    <w:rsid w:val="0087517E"/>
    <w:rsid w:val="008751B0"/>
    <w:rsid w:val="008751D4"/>
    <w:rsid w:val="00875236"/>
    <w:rsid w:val="00875285"/>
    <w:rsid w:val="0087535C"/>
    <w:rsid w:val="008753C9"/>
    <w:rsid w:val="00875421"/>
    <w:rsid w:val="0087542E"/>
    <w:rsid w:val="008754CC"/>
    <w:rsid w:val="00875558"/>
    <w:rsid w:val="008756DA"/>
    <w:rsid w:val="0087571F"/>
    <w:rsid w:val="00875869"/>
    <w:rsid w:val="008758A8"/>
    <w:rsid w:val="008758B2"/>
    <w:rsid w:val="008758EB"/>
    <w:rsid w:val="00875A83"/>
    <w:rsid w:val="00875AB8"/>
    <w:rsid w:val="00875ABF"/>
    <w:rsid w:val="00875B10"/>
    <w:rsid w:val="00875C08"/>
    <w:rsid w:val="00875C9C"/>
    <w:rsid w:val="00875D0E"/>
    <w:rsid w:val="00875D1D"/>
    <w:rsid w:val="00875D45"/>
    <w:rsid w:val="00875D9A"/>
    <w:rsid w:val="00875D9F"/>
    <w:rsid w:val="00875DA8"/>
    <w:rsid w:val="00875DAE"/>
    <w:rsid w:val="00875DD3"/>
    <w:rsid w:val="00875F11"/>
    <w:rsid w:val="00875F12"/>
    <w:rsid w:val="00876041"/>
    <w:rsid w:val="00876064"/>
    <w:rsid w:val="00876109"/>
    <w:rsid w:val="00876112"/>
    <w:rsid w:val="008761D1"/>
    <w:rsid w:val="00876207"/>
    <w:rsid w:val="008762C0"/>
    <w:rsid w:val="008763C0"/>
    <w:rsid w:val="00876442"/>
    <w:rsid w:val="0087644B"/>
    <w:rsid w:val="00876497"/>
    <w:rsid w:val="00876523"/>
    <w:rsid w:val="008765AC"/>
    <w:rsid w:val="008765D1"/>
    <w:rsid w:val="008765DF"/>
    <w:rsid w:val="0087662C"/>
    <w:rsid w:val="00876658"/>
    <w:rsid w:val="008766A6"/>
    <w:rsid w:val="00876711"/>
    <w:rsid w:val="00876852"/>
    <w:rsid w:val="008768D7"/>
    <w:rsid w:val="008768ED"/>
    <w:rsid w:val="0087691F"/>
    <w:rsid w:val="00876961"/>
    <w:rsid w:val="0087699B"/>
    <w:rsid w:val="008769E2"/>
    <w:rsid w:val="00876A1F"/>
    <w:rsid w:val="00876A7F"/>
    <w:rsid w:val="00876AD5"/>
    <w:rsid w:val="00876B71"/>
    <w:rsid w:val="00876CD2"/>
    <w:rsid w:val="00876D22"/>
    <w:rsid w:val="00876DA2"/>
    <w:rsid w:val="00876EA4"/>
    <w:rsid w:val="00876F88"/>
    <w:rsid w:val="00876F91"/>
    <w:rsid w:val="0087701B"/>
    <w:rsid w:val="00877133"/>
    <w:rsid w:val="00877153"/>
    <w:rsid w:val="008771B9"/>
    <w:rsid w:val="008771F9"/>
    <w:rsid w:val="008772C6"/>
    <w:rsid w:val="00877324"/>
    <w:rsid w:val="008773B2"/>
    <w:rsid w:val="00877540"/>
    <w:rsid w:val="008775D0"/>
    <w:rsid w:val="008775FA"/>
    <w:rsid w:val="0087768B"/>
    <w:rsid w:val="0087769D"/>
    <w:rsid w:val="008776EB"/>
    <w:rsid w:val="0087770C"/>
    <w:rsid w:val="0087772E"/>
    <w:rsid w:val="00877789"/>
    <w:rsid w:val="008777E1"/>
    <w:rsid w:val="008778EC"/>
    <w:rsid w:val="00877903"/>
    <w:rsid w:val="0087790B"/>
    <w:rsid w:val="00877A7C"/>
    <w:rsid w:val="00877AB3"/>
    <w:rsid w:val="00877AC2"/>
    <w:rsid w:val="00877BF9"/>
    <w:rsid w:val="00877C0A"/>
    <w:rsid w:val="00877C1C"/>
    <w:rsid w:val="00877CD9"/>
    <w:rsid w:val="00877DCD"/>
    <w:rsid w:val="00877EE9"/>
    <w:rsid w:val="00877EFF"/>
    <w:rsid w:val="00877F09"/>
    <w:rsid w:val="00880062"/>
    <w:rsid w:val="00880116"/>
    <w:rsid w:val="00880153"/>
    <w:rsid w:val="008801C7"/>
    <w:rsid w:val="00880244"/>
    <w:rsid w:val="008802DF"/>
    <w:rsid w:val="00880312"/>
    <w:rsid w:val="0088037A"/>
    <w:rsid w:val="008803C0"/>
    <w:rsid w:val="0088043B"/>
    <w:rsid w:val="0088045E"/>
    <w:rsid w:val="008804AC"/>
    <w:rsid w:val="0088055D"/>
    <w:rsid w:val="008805C6"/>
    <w:rsid w:val="00880651"/>
    <w:rsid w:val="008806C7"/>
    <w:rsid w:val="00880715"/>
    <w:rsid w:val="00880782"/>
    <w:rsid w:val="0088085A"/>
    <w:rsid w:val="00880897"/>
    <w:rsid w:val="00880963"/>
    <w:rsid w:val="0088097C"/>
    <w:rsid w:val="008809B2"/>
    <w:rsid w:val="008809DA"/>
    <w:rsid w:val="008809F1"/>
    <w:rsid w:val="00880ADA"/>
    <w:rsid w:val="00880B5F"/>
    <w:rsid w:val="00880C49"/>
    <w:rsid w:val="00880C55"/>
    <w:rsid w:val="00880C8E"/>
    <w:rsid w:val="00880CD3"/>
    <w:rsid w:val="00880CFE"/>
    <w:rsid w:val="00880D4F"/>
    <w:rsid w:val="00880DEC"/>
    <w:rsid w:val="00880E00"/>
    <w:rsid w:val="00880F4E"/>
    <w:rsid w:val="00880F73"/>
    <w:rsid w:val="00880FDE"/>
    <w:rsid w:val="008810C1"/>
    <w:rsid w:val="008811A5"/>
    <w:rsid w:val="00881210"/>
    <w:rsid w:val="00881239"/>
    <w:rsid w:val="0088134B"/>
    <w:rsid w:val="00881367"/>
    <w:rsid w:val="00881391"/>
    <w:rsid w:val="008813BD"/>
    <w:rsid w:val="008814C5"/>
    <w:rsid w:val="008814EC"/>
    <w:rsid w:val="008815D0"/>
    <w:rsid w:val="008815D9"/>
    <w:rsid w:val="00881688"/>
    <w:rsid w:val="008816A3"/>
    <w:rsid w:val="008816F8"/>
    <w:rsid w:val="00881738"/>
    <w:rsid w:val="00881838"/>
    <w:rsid w:val="0088187B"/>
    <w:rsid w:val="008818F8"/>
    <w:rsid w:val="00881943"/>
    <w:rsid w:val="00881950"/>
    <w:rsid w:val="00881970"/>
    <w:rsid w:val="00881A56"/>
    <w:rsid w:val="00881B62"/>
    <w:rsid w:val="00881C90"/>
    <w:rsid w:val="00881CB8"/>
    <w:rsid w:val="00881CBC"/>
    <w:rsid w:val="00881D4D"/>
    <w:rsid w:val="00881D50"/>
    <w:rsid w:val="00881D76"/>
    <w:rsid w:val="00881DC6"/>
    <w:rsid w:val="00881DC8"/>
    <w:rsid w:val="00881E81"/>
    <w:rsid w:val="00881E88"/>
    <w:rsid w:val="00881F90"/>
    <w:rsid w:val="00882002"/>
    <w:rsid w:val="00882004"/>
    <w:rsid w:val="0088201C"/>
    <w:rsid w:val="008820FB"/>
    <w:rsid w:val="00882117"/>
    <w:rsid w:val="008821D1"/>
    <w:rsid w:val="00882251"/>
    <w:rsid w:val="008822BC"/>
    <w:rsid w:val="00882343"/>
    <w:rsid w:val="00882388"/>
    <w:rsid w:val="008823A8"/>
    <w:rsid w:val="008823DE"/>
    <w:rsid w:val="00882451"/>
    <w:rsid w:val="0088259E"/>
    <w:rsid w:val="00882683"/>
    <w:rsid w:val="008826AD"/>
    <w:rsid w:val="008827B2"/>
    <w:rsid w:val="008827F1"/>
    <w:rsid w:val="00882832"/>
    <w:rsid w:val="00882854"/>
    <w:rsid w:val="0088285E"/>
    <w:rsid w:val="008829BF"/>
    <w:rsid w:val="008829D1"/>
    <w:rsid w:val="00882A0D"/>
    <w:rsid w:val="00882A5B"/>
    <w:rsid w:val="00882B32"/>
    <w:rsid w:val="00882CC4"/>
    <w:rsid w:val="00882D5D"/>
    <w:rsid w:val="00882DA5"/>
    <w:rsid w:val="00882DF2"/>
    <w:rsid w:val="00882E28"/>
    <w:rsid w:val="00882EFD"/>
    <w:rsid w:val="00883029"/>
    <w:rsid w:val="008830A8"/>
    <w:rsid w:val="008830E9"/>
    <w:rsid w:val="00883131"/>
    <w:rsid w:val="0088319C"/>
    <w:rsid w:val="008831C7"/>
    <w:rsid w:val="0088322F"/>
    <w:rsid w:val="00883267"/>
    <w:rsid w:val="00883300"/>
    <w:rsid w:val="00883319"/>
    <w:rsid w:val="00883495"/>
    <w:rsid w:val="00883570"/>
    <w:rsid w:val="0088357A"/>
    <w:rsid w:val="0088368C"/>
    <w:rsid w:val="0088374C"/>
    <w:rsid w:val="00883760"/>
    <w:rsid w:val="008837A5"/>
    <w:rsid w:val="008837AC"/>
    <w:rsid w:val="008837DC"/>
    <w:rsid w:val="008837ED"/>
    <w:rsid w:val="0088384F"/>
    <w:rsid w:val="0088387B"/>
    <w:rsid w:val="0088387E"/>
    <w:rsid w:val="00883886"/>
    <w:rsid w:val="00883919"/>
    <w:rsid w:val="00883A0E"/>
    <w:rsid w:val="00883AE8"/>
    <w:rsid w:val="00883BF8"/>
    <w:rsid w:val="00883C2B"/>
    <w:rsid w:val="00883D3F"/>
    <w:rsid w:val="0088405E"/>
    <w:rsid w:val="008840B2"/>
    <w:rsid w:val="008840BA"/>
    <w:rsid w:val="008840D5"/>
    <w:rsid w:val="0088412A"/>
    <w:rsid w:val="008841B7"/>
    <w:rsid w:val="008842DF"/>
    <w:rsid w:val="0088430D"/>
    <w:rsid w:val="008843A1"/>
    <w:rsid w:val="008843AE"/>
    <w:rsid w:val="008843F3"/>
    <w:rsid w:val="00884434"/>
    <w:rsid w:val="00884493"/>
    <w:rsid w:val="008844AC"/>
    <w:rsid w:val="008844E4"/>
    <w:rsid w:val="008844FE"/>
    <w:rsid w:val="00884559"/>
    <w:rsid w:val="00884752"/>
    <w:rsid w:val="008847A2"/>
    <w:rsid w:val="00884926"/>
    <w:rsid w:val="0088492F"/>
    <w:rsid w:val="00884994"/>
    <w:rsid w:val="00884A53"/>
    <w:rsid w:val="00884A5F"/>
    <w:rsid w:val="00884C28"/>
    <w:rsid w:val="00884D1D"/>
    <w:rsid w:val="00884DBE"/>
    <w:rsid w:val="00884DEB"/>
    <w:rsid w:val="00884E17"/>
    <w:rsid w:val="00884EA0"/>
    <w:rsid w:val="00884EAD"/>
    <w:rsid w:val="00884EDA"/>
    <w:rsid w:val="0088511B"/>
    <w:rsid w:val="0088515A"/>
    <w:rsid w:val="0088536E"/>
    <w:rsid w:val="0088543E"/>
    <w:rsid w:val="00885493"/>
    <w:rsid w:val="00885522"/>
    <w:rsid w:val="00885558"/>
    <w:rsid w:val="0088558F"/>
    <w:rsid w:val="00885593"/>
    <w:rsid w:val="008855DB"/>
    <w:rsid w:val="00885644"/>
    <w:rsid w:val="0088572D"/>
    <w:rsid w:val="00885746"/>
    <w:rsid w:val="0088578A"/>
    <w:rsid w:val="008857A2"/>
    <w:rsid w:val="0088582F"/>
    <w:rsid w:val="008858EF"/>
    <w:rsid w:val="00885920"/>
    <w:rsid w:val="0088598A"/>
    <w:rsid w:val="008859B9"/>
    <w:rsid w:val="008859FF"/>
    <w:rsid w:val="00885A00"/>
    <w:rsid w:val="00885BDD"/>
    <w:rsid w:val="00885C34"/>
    <w:rsid w:val="00885C4B"/>
    <w:rsid w:val="00885C9A"/>
    <w:rsid w:val="00885D2C"/>
    <w:rsid w:val="00885DE5"/>
    <w:rsid w:val="00885EAD"/>
    <w:rsid w:val="00885EFB"/>
    <w:rsid w:val="00885F97"/>
    <w:rsid w:val="0088602D"/>
    <w:rsid w:val="00886031"/>
    <w:rsid w:val="0088604F"/>
    <w:rsid w:val="00886088"/>
    <w:rsid w:val="00886267"/>
    <w:rsid w:val="008863D0"/>
    <w:rsid w:val="008864D8"/>
    <w:rsid w:val="008864EB"/>
    <w:rsid w:val="0088653E"/>
    <w:rsid w:val="008865DD"/>
    <w:rsid w:val="008865E6"/>
    <w:rsid w:val="00886668"/>
    <w:rsid w:val="0088666B"/>
    <w:rsid w:val="008866A9"/>
    <w:rsid w:val="008866D0"/>
    <w:rsid w:val="00886710"/>
    <w:rsid w:val="008867B5"/>
    <w:rsid w:val="008867D9"/>
    <w:rsid w:val="0088680E"/>
    <w:rsid w:val="008868BC"/>
    <w:rsid w:val="008868D2"/>
    <w:rsid w:val="00886990"/>
    <w:rsid w:val="00886A27"/>
    <w:rsid w:val="00886A9D"/>
    <w:rsid w:val="00886ABA"/>
    <w:rsid w:val="00886BCA"/>
    <w:rsid w:val="00886BFC"/>
    <w:rsid w:val="00886C7C"/>
    <w:rsid w:val="00886CA1"/>
    <w:rsid w:val="00886CCA"/>
    <w:rsid w:val="00886D04"/>
    <w:rsid w:val="00886D13"/>
    <w:rsid w:val="00886D3A"/>
    <w:rsid w:val="00886D45"/>
    <w:rsid w:val="00886D4A"/>
    <w:rsid w:val="00886DF5"/>
    <w:rsid w:val="00886E26"/>
    <w:rsid w:val="00886E49"/>
    <w:rsid w:val="00886F3A"/>
    <w:rsid w:val="00886F63"/>
    <w:rsid w:val="00886FC1"/>
    <w:rsid w:val="00887010"/>
    <w:rsid w:val="00887015"/>
    <w:rsid w:val="0088703E"/>
    <w:rsid w:val="00887076"/>
    <w:rsid w:val="0088707D"/>
    <w:rsid w:val="0088717A"/>
    <w:rsid w:val="0088717F"/>
    <w:rsid w:val="008871E0"/>
    <w:rsid w:val="00887243"/>
    <w:rsid w:val="00887284"/>
    <w:rsid w:val="0088728F"/>
    <w:rsid w:val="008872D2"/>
    <w:rsid w:val="0088734E"/>
    <w:rsid w:val="00887370"/>
    <w:rsid w:val="008873C1"/>
    <w:rsid w:val="0088744E"/>
    <w:rsid w:val="0088748C"/>
    <w:rsid w:val="008874BF"/>
    <w:rsid w:val="00887614"/>
    <w:rsid w:val="00887647"/>
    <w:rsid w:val="00887648"/>
    <w:rsid w:val="00887693"/>
    <w:rsid w:val="008876DE"/>
    <w:rsid w:val="00887748"/>
    <w:rsid w:val="00887794"/>
    <w:rsid w:val="00887808"/>
    <w:rsid w:val="0088782E"/>
    <w:rsid w:val="00887831"/>
    <w:rsid w:val="0088786E"/>
    <w:rsid w:val="008878C4"/>
    <w:rsid w:val="00887951"/>
    <w:rsid w:val="00887977"/>
    <w:rsid w:val="008879D5"/>
    <w:rsid w:val="00887A65"/>
    <w:rsid w:val="00887B0A"/>
    <w:rsid w:val="00887BA1"/>
    <w:rsid w:val="00887BD8"/>
    <w:rsid w:val="00887C5A"/>
    <w:rsid w:val="00887E3B"/>
    <w:rsid w:val="00887EF7"/>
    <w:rsid w:val="00887F3E"/>
    <w:rsid w:val="00887F81"/>
    <w:rsid w:val="00887FF9"/>
    <w:rsid w:val="008900AE"/>
    <w:rsid w:val="008901B9"/>
    <w:rsid w:val="00890355"/>
    <w:rsid w:val="0089037D"/>
    <w:rsid w:val="00890383"/>
    <w:rsid w:val="0089045D"/>
    <w:rsid w:val="0089054D"/>
    <w:rsid w:val="0089058E"/>
    <w:rsid w:val="008905AC"/>
    <w:rsid w:val="008905D6"/>
    <w:rsid w:val="00890648"/>
    <w:rsid w:val="008906E1"/>
    <w:rsid w:val="008907B5"/>
    <w:rsid w:val="008907D0"/>
    <w:rsid w:val="00890802"/>
    <w:rsid w:val="00890819"/>
    <w:rsid w:val="00890863"/>
    <w:rsid w:val="00890869"/>
    <w:rsid w:val="008908C2"/>
    <w:rsid w:val="00890919"/>
    <w:rsid w:val="00890927"/>
    <w:rsid w:val="00890934"/>
    <w:rsid w:val="00890958"/>
    <w:rsid w:val="008909D5"/>
    <w:rsid w:val="008909E7"/>
    <w:rsid w:val="00890A42"/>
    <w:rsid w:val="00890A44"/>
    <w:rsid w:val="00890A82"/>
    <w:rsid w:val="00890A85"/>
    <w:rsid w:val="00890AF7"/>
    <w:rsid w:val="00890BDB"/>
    <w:rsid w:val="00890C33"/>
    <w:rsid w:val="00890C6E"/>
    <w:rsid w:val="00890C89"/>
    <w:rsid w:val="00890DC0"/>
    <w:rsid w:val="00890DC1"/>
    <w:rsid w:val="00890DD8"/>
    <w:rsid w:val="00890E49"/>
    <w:rsid w:val="00890E5C"/>
    <w:rsid w:val="00890E85"/>
    <w:rsid w:val="00891012"/>
    <w:rsid w:val="008910A7"/>
    <w:rsid w:val="008911A1"/>
    <w:rsid w:val="00891239"/>
    <w:rsid w:val="0089124F"/>
    <w:rsid w:val="00891253"/>
    <w:rsid w:val="00891257"/>
    <w:rsid w:val="0089125F"/>
    <w:rsid w:val="008912BC"/>
    <w:rsid w:val="008913B0"/>
    <w:rsid w:val="008913B2"/>
    <w:rsid w:val="008913BE"/>
    <w:rsid w:val="008914C0"/>
    <w:rsid w:val="00891521"/>
    <w:rsid w:val="00891558"/>
    <w:rsid w:val="0089158A"/>
    <w:rsid w:val="0089159F"/>
    <w:rsid w:val="008915B7"/>
    <w:rsid w:val="008916AF"/>
    <w:rsid w:val="0089175B"/>
    <w:rsid w:val="00891772"/>
    <w:rsid w:val="0089177C"/>
    <w:rsid w:val="008917BB"/>
    <w:rsid w:val="008917E9"/>
    <w:rsid w:val="0089181C"/>
    <w:rsid w:val="008918AC"/>
    <w:rsid w:val="008918BC"/>
    <w:rsid w:val="00891967"/>
    <w:rsid w:val="008919A7"/>
    <w:rsid w:val="00891A0F"/>
    <w:rsid w:val="00891AA1"/>
    <w:rsid w:val="00891AD5"/>
    <w:rsid w:val="00891AEB"/>
    <w:rsid w:val="00891B50"/>
    <w:rsid w:val="00891B57"/>
    <w:rsid w:val="00891B9F"/>
    <w:rsid w:val="00891C0C"/>
    <w:rsid w:val="00891C4B"/>
    <w:rsid w:val="00891C4D"/>
    <w:rsid w:val="00891CAE"/>
    <w:rsid w:val="00891CDD"/>
    <w:rsid w:val="00891D0E"/>
    <w:rsid w:val="00891D19"/>
    <w:rsid w:val="00891D4F"/>
    <w:rsid w:val="00891D74"/>
    <w:rsid w:val="00891E04"/>
    <w:rsid w:val="00891E15"/>
    <w:rsid w:val="00891E19"/>
    <w:rsid w:val="00891E33"/>
    <w:rsid w:val="00891E35"/>
    <w:rsid w:val="00891E97"/>
    <w:rsid w:val="00891F18"/>
    <w:rsid w:val="00891F2C"/>
    <w:rsid w:val="00891FE1"/>
    <w:rsid w:val="00891FE4"/>
    <w:rsid w:val="0089213D"/>
    <w:rsid w:val="00892189"/>
    <w:rsid w:val="0089219E"/>
    <w:rsid w:val="0089223C"/>
    <w:rsid w:val="00892244"/>
    <w:rsid w:val="008922C4"/>
    <w:rsid w:val="00892327"/>
    <w:rsid w:val="0089235D"/>
    <w:rsid w:val="0089238F"/>
    <w:rsid w:val="008923D0"/>
    <w:rsid w:val="00892413"/>
    <w:rsid w:val="00892442"/>
    <w:rsid w:val="00892490"/>
    <w:rsid w:val="0089250D"/>
    <w:rsid w:val="008925C8"/>
    <w:rsid w:val="008926D9"/>
    <w:rsid w:val="00892753"/>
    <w:rsid w:val="008927CA"/>
    <w:rsid w:val="008927FB"/>
    <w:rsid w:val="0089285D"/>
    <w:rsid w:val="00892914"/>
    <w:rsid w:val="00892A04"/>
    <w:rsid w:val="00892B51"/>
    <w:rsid w:val="00892B87"/>
    <w:rsid w:val="00892BF6"/>
    <w:rsid w:val="00892DFB"/>
    <w:rsid w:val="00892E28"/>
    <w:rsid w:val="00892F22"/>
    <w:rsid w:val="00892F2B"/>
    <w:rsid w:val="00893024"/>
    <w:rsid w:val="008931A4"/>
    <w:rsid w:val="008931AD"/>
    <w:rsid w:val="008932CF"/>
    <w:rsid w:val="008932F2"/>
    <w:rsid w:val="008933C2"/>
    <w:rsid w:val="008935A7"/>
    <w:rsid w:val="008935F6"/>
    <w:rsid w:val="00893626"/>
    <w:rsid w:val="00893659"/>
    <w:rsid w:val="00893681"/>
    <w:rsid w:val="00893693"/>
    <w:rsid w:val="008936A3"/>
    <w:rsid w:val="0089373A"/>
    <w:rsid w:val="008937CF"/>
    <w:rsid w:val="00893860"/>
    <w:rsid w:val="0089387B"/>
    <w:rsid w:val="00893895"/>
    <w:rsid w:val="00893937"/>
    <w:rsid w:val="008939D8"/>
    <w:rsid w:val="008939F4"/>
    <w:rsid w:val="00893AFE"/>
    <w:rsid w:val="00893B1A"/>
    <w:rsid w:val="00893B6D"/>
    <w:rsid w:val="00893B93"/>
    <w:rsid w:val="00893BA7"/>
    <w:rsid w:val="00893C27"/>
    <w:rsid w:val="00893D29"/>
    <w:rsid w:val="00893DD7"/>
    <w:rsid w:val="00893E0B"/>
    <w:rsid w:val="00893F75"/>
    <w:rsid w:val="00894004"/>
    <w:rsid w:val="00894039"/>
    <w:rsid w:val="00894057"/>
    <w:rsid w:val="00894180"/>
    <w:rsid w:val="008941BF"/>
    <w:rsid w:val="008942D7"/>
    <w:rsid w:val="00894330"/>
    <w:rsid w:val="00894379"/>
    <w:rsid w:val="00894397"/>
    <w:rsid w:val="0089443D"/>
    <w:rsid w:val="00894459"/>
    <w:rsid w:val="008944A3"/>
    <w:rsid w:val="00894516"/>
    <w:rsid w:val="00894528"/>
    <w:rsid w:val="00894604"/>
    <w:rsid w:val="0089464A"/>
    <w:rsid w:val="0089471B"/>
    <w:rsid w:val="00894754"/>
    <w:rsid w:val="00894821"/>
    <w:rsid w:val="00894868"/>
    <w:rsid w:val="008948D5"/>
    <w:rsid w:val="0089491B"/>
    <w:rsid w:val="00894A1D"/>
    <w:rsid w:val="00894A20"/>
    <w:rsid w:val="00894A49"/>
    <w:rsid w:val="00894A7A"/>
    <w:rsid w:val="00894AB0"/>
    <w:rsid w:val="00894AF6"/>
    <w:rsid w:val="00894B18"/>
    <w:rsid w:val="00894C42"/>
    <w:rsid w:val="00894C88"/>
    <w:rsid w:val="00894D3C"/>
    <w:rsid w:val="00894D3E"/>
    <w:rsid w:val="00894DA9"/>
    <w:rsid w:val="00894E26"/>
    <w:rsid w:val="00894EDA"/>
    <w:rsid w:val="00894FC2"/>
    <w:rsid w:val="0089509F"/>
    <w:rsid w:val="008950F6"/>
    <w:rsid w:val="00895182"/>
    <w:rsid w:val="00895189"/>
    <w:rsid w:val="008951D2"/>
    <w:rsid w:val="0089521D"/>
    <w:rsid w:val="00895260"/>
    <w:rsid w:val="00895341"/>
    <w:rsid w:val="00895444"/>
    <w:rsid w:val="008954DC"/>
    <w:rsid w:val="008954FD"/>
    <w:rsid w:val="0089556D"/>
    <w:rsid w:val="008955AE"/>
    <w:rsid w:val="008955CD"/>
    <w:rsid w:val="008955D1"/>
    <w:rsid w:val="00895624"/>
    <w:rsid w:val="00895737"/>
    <w:rsid w:val="0089587D"/>
    <w:rsid w:val="008958C6"/>
    <w:rsid w:val="0089596D"/>
    <w:rsid w:val="0089598B"/>
    <w:rsid w:val="008959F9"/>
    <w:rsid w:val="00895AFE"/>
    <w:rsid w:val="00895BA2"/>
    <w:rsid w:val="00895BCF"/>
    <w:rsid w:val="00895CBE"/>
    <w:rsid w:val="00895D75"/>
    <w:rsid w:val="00895DA4"/>
    <w:rsid w:val="00895E4B"/>
    <w:rsid w:val="00895F12"/>
    <w:rsid w:val="00895F4E"/>
    <w:rsid w:val="00895FAC"/>
    <w:rsid w:val="00895FAD"/>
    <w:rsid w:val="008961EE"/>
    <w:rsid w:val="008962D8"/>
    <w:rsid w:val="008964AC"/>
    <w:rsid w:val="008964EC"/>
    <w:rsid w:val="00896519"/>
    <w:rsid w:val="00896525"/>
    <w:rsid w:val="00896593"/>
    <w:rsid w:val="008965D3"/>
    <w:rsid w:val="008965D4"/>
    <w:rsid w:val="00896652"/>
    <w:rsid w:val="0089671D"/>
    <w:rsid w:val="008967B7"/>
    <w:rsid w:val="008967DF"/>
    <w:rsid w:val="0089680F"/>
    <w:rsid w:val="00896820"/>
    <w:rsid w:val="00896868"/>
    <w:rsid w:val="00896899"/>
    <w:rsid w:val="00896966"/>
    <w:rsid w:val="00896A90"/>
    <w:rsid w:val="00896BDC"/>
    <w:rsid w:val="00896BF3"/>
    <w:rsid w:val="00896C6A"/>
    <w:rsid w:val="00896C7F"/>
    <w:rsid w:val="00896CC5"/>
    <w:rsid w:val="00896D44"/>
    <w:rsid w:val="00896D75"/>
    <w:rsid w:val="00896DA2"/>
    <w:rsid w:val="00896DA8"/>
    <w:rsid w:val="00896E1E"/>
    <w:rsid w:val="00896E3B"/>
    <w:rsid w:val="00896E64"/>
    <w:rsid w:val="00896F2A"/>
    <w:rsid w:val="00896FEE"/>
    <w:rsid w:val="00896FFF"/>
    <w:rsid w:val="008970B6"/>
    <w:rsid w:val="008970CC"/>
    <w:rsid w:val="008971C7"/>
    <w:rsid w:val="00897278"/>
    <w:rsid w:val="0089734A"/>
    <w:rsid w:val="00897367"/>
    <w:rsid w:val="008974A1"/>
    <w:rsid w:val="008974BB"/>
    <w:rsid w:val="0089752C"/>
    <w:rsid w:val="0089756F"/>
    <w:rsid w:val="008975C4"/>
    <w:rsid w:val="008976F6"/>
    <w:rsid w:val="00897739"/>
    <w:rsid w:val="0089774D"/>
    <w:rsid w:val="008977C7"/>
    <w:rsid w:val="0089780C"/>
    <w:rsid w:val="00897833"/>
    <w:rsid w:val="0089786F"/>
    <w:rsid w:val="00897874"/>
    <w:rsid w:val="008978E6"/>
    <w:rsid w:val="00897943"/>
    <w:rsid w:val="008979BB"/>
    <w:rsid w:val="008979BF"/>
    <w:rsid w:val="008979D3"/>
    <w:rsid w:val="008979FD"/>
    <w:rsid w:val="00897A30"/>
    <w:rsid w:val="00897A35"/>
    <w:rsid w:val="00897A69"/>
    <w:rsid w:val="00897B16"/>
    <w:rsid w:val="00897B53"/>
    <w:rsid w:val="00897BBB"/>
    <w:rsid w:val="00897BDC"/>
    <w:rsid w:val="00897BFC"/>
    <w:rsid w:val="00897CAD"/>
    <w:rsid w:val="00897D38"/>
    <w:rsid w:val="00897DEB"/>
    <w:rsid w:val="00897E57"/>
    <w:rsid w:val="00897E5D"/>
    <w:rsid w:val="00897E60"/>
    <w:rsid w:val="00897F14"/>
    <w:rsid w:val="00897F36"/>
    <w:rsid w:val="00897F3B"/>
    <w:rsid w:val="00897F46"/>
    <w:rsid w:val="00897FFB"/>
    <w:rsid w:val="008A0008"/>
    <w:rsid w:val="008A009B"/>
    <w:rsid w:val="008A00A1"/>
    <w:rsid w:val="008A0306"/>
    <w:rsid w:val="008A0355"/>
    <w:rsid w:val="008A039F"/>
    <w:rsid w:val="008A03A4"/>
    <w:rsid w:val="008A044B"/>
    <w:rsid w:val="008A0494"/>
    <w:rsid w:val="008A0515"/>
    <w:rsid w:val="008A0594"/>
    <w:rsid w:val="008A05C3"/>
    <w:rsid w:val="008A05DB"/>
    <w:rsid w:val="008A05EB"/>
    <w:rsid w:val="008A066C"/>
    <w:rsid w:val="008A076D"/>
    <w:rsid w:val="008A07BB"/>
    <w:rsid w:val="008A081F"/>
    <w:rsid w:val="008A0860"/>
    <w:rsid w:val="008A08E4"/>
    <w:rsid w:val="008A091F"/>
    <w:rsid w:val="008A092C"/>
    <w:rsid w:val="008A092D"/>
    <w:rsid w:val="008A0ADB"/>
    <w:rsid w:val="008A0BAE"/>
    <w:rsid w:val="008A0CCC"/>
    <w:rsid w:val="008A0D61"/>
    <w:rsid w:val="008A0D6C"/>
    <w:rsid w:val="008A0DD8"/>
    <w:rsid w:val="008A0E51"/>
    <w:rsid w:val="008A0E81"/>
    <w:rsid w:val="008A0EAB"/>
    <w:rsid w:val="008A0F23"/>
    <w:rsid w:val="008A0F9B"/>
    <w:rsid w:val="008A0FB7"/>
    <w:rsid w:val="008A1087"/>
    <w:rsid w:val="008A10C4"/>
    <w:rsid w:val="008A1326"/>
    <w:rsid w:val="008A13C5"/>
    <w:rsid w:val="008A13FD"/>
    <w:rsid w:val="008A1462"/>
    <w:rsid w:val="008A1546"/>
    <w:rsid w:val="008A170F"/>
    <w:rsid w:val="008A1716"/>
    <w:rsid w:val="008A1749"/>
    <w:rsid w:val="008A17B0"/>
    <w:rsid w:val="008A1882"/>
    <w:rsid w:val="008A190E"/>
    <w:rsid w:val="008A191D"/>
    <w:rsid w:val="008A1937"/>
    <w:rsid w:val="008A1999"/>
    <w:rsid w:val="008A19E8"/>
    <w:rsid w:val="008A1A8A"/>
    <w:rsid w:val="008A1A9E"/>
    <w:rsid w:val="008A1B2D"/>
    <w:rsid w:val="008A1BE6"/>
    <w:rsid w:val="008A1C14"/>
    <w:rsid w:val="008A1C4F"/>
    <w:rsid w:val="008A1C51"/>
    <w:rsid w:val="008A1C75"/>
    <w:rsid w:val="008A1D55"/>
    <w:rsid w:val="008A1D7E"/>
    <w:rsid w:val="008A1EA8"/>
    <w:rsid w:val="008A1EE0"/>
    <w:rsid w:val="008A1F10"/>
    <w:rsid w:val="008A2035"/>
    <w:rsid w:val="008A2046"/>
    <w:rsid w:val="008A207B"/>
    <w:rsid w:val="008A20A6"/>
    <w:rsid w:val="008A20CB"/>
    <w:rsid w:val="008A2170"/>
    <w:rsid w:val="008A2172"/>
    <w:rsid w:val="008A227F"/>
    <w:rsid w:val="008A2287"/>
    <w:rsid w:val="008A231A"/>
    <w:rsid w:val="008A2347"/>
    <w:rsid w:val="008A2434"/>
    <w:rsid w:val="008A24FE"/>
    <w:rsid w:val="008A259C"/>
    <w:rsid w:val="008A264D"/>
    <w:rsid w:val="008A26DB"/>
    <w:rsid w:val="008A26FD"/>
    <w:rsid w:val="008A270D"/>
    <w:rsid w:val="008A284E"/>
    <w:rsid w:val="008A28AC"/>
    <w:rsid w:val="008A2ADC"/>
    <w:rsid w:val="008A2ADF"/>
    <w:rsid w:val="008A2B73"/>
    <w:rsid w:val="008A2BB2"/>
    <w:rsid w:val="008A2BBD"/>
    <w:rsid w:val="008A2BDE"/>
    <w:rsid w:val="008A2C0A"/>
    <w:rsid w:val="008A2D73"/>
    <w:rsid w:val="008A2D95"/>
    <w:rsid w:val="008A2DDB"/>
    <w:rsid w:val="008A2E6F"/>
    <w:rsid w:val="008A2FD5"/>
    <w:rsid w:val="008A3038"/>
    <w:rsid w:val="008A30FC"/>
    <w:rsid w:val="008A31D6"/>
    <w:rsid w:val="008A331B"/>
    <w:rsid w:val="008A3320"/>
    <w:rsid w:val="008A3341"/>
    <w:rsid w:val="008A334E"/>
    <w:rsid w:val="008A33D5"/>
    <w:rsid w:val="008A34AA"/>
    <w:rsid w:val="008A355F"/>
    <w:rsid w:val="008A35BD"/>
    <w:rsid w:val="008A35D3"/>
    <w:rsid w:val="008A3695"/>
    <w:rsid w:val="008A36B8"/>
    <w:rsid w:val="008A36F1"/>
    <w:rsid w:val="008A3703"/>
    <w:rsid w:val="008A3716"/>
    <w:rsid w:val="008A37CE"/>
    <w:rsid w:val="008A386F"/>
    <w:rsid w:val="008A3A55"/>
    <w:rsid w:val="008A3A5D"/>
    <w:rsid w:val="008A3BC5"/>
    <w:rsid w:val="008A3C0B"/>
    <w:rsid w:val="008A3CAC"/>
    <w:rsid w:val="008A3CB3"/>
    <w:rsid w:val="008A3DED"/>
    <w:rsid w:val="008A3E2F"/>
    <w:rsid w:val="008A3E98"/>
    <w:rsid w:val="008A3EA6"/>
    <w:rsid w:val="008A3ECE"/>
    <w:rsid w:val="008A3EE4"/>
    <w:rsid w:val="008A3F0F"/>
    <w:rsid w:val="008A3F83"/>
    <w:rsid w:val="008A3F89"/>
    <w:rsid w:val="008A4126"/>
    <w:rsid w:val="008A419E"/>
    <w:rsid w:val="008A4212"/>
    <w:rsid w:val="008A4248"/>
    <w:rsid w:val="008A424A"/>
    <w:rsid w:val="008A429D"/>
    <w:rsid w:val="008A442B"/>
    <w:rsid w:val="008A449D"/>
    <w:rsid w:val="008A456D"/>
    <w:rsid w:val="008A45F8"/>
    <w:rsid w:val="008A467F"/>
    <w:rsid w:val="008A46A3"/>
    <w:rsid w:val="008A475C"/>
    <w:rsid w:val="008A47AA"/>
    <w:rsid w:val="008A4832"/>
    <w:rsid w:val="008A4884"/>
    <w:rsid w:val="008A4886"/>
    <w:rsid w:val="008A48E4"/>
    <w:rsid w:val="008A491F"/>
    <w:rsid w:val="008A4983"/>
    <w:rsid w:val="008A49FC"/>
    <w:rsid w:val="008A4A02"/>
    <w:rsid w:val="008A4AEE"/>
    <w:rsid w:val="008A4B3D"/>
    <w:rsid w:val="008A4B4A"/>
    <w:rsid w:val="008A4B4E"/>
    <w:rsid w:val="008A4B57"/>
    <w:rsid w:val="008A4B8F"/>
    <w:rsid w:val="008A4BA4"/>
    <w:rsid w:val="008A4C58"/>
    <w:rsid w:val="008A4CE4"/>
    <w:rsid w:val="008A4D2A"/>
    <w:rsid w:val="008A4D2B"/>
    <w:rsid w:val="008A4D5A"/>
    <w:rsid w:val="008A4D8E"/>
    <w:rsid w:val="008A4D94"/>
    <w:rsid w:val="008A4E07"/>
    <w:rsid w:val="008A4F1A"/>
    <w:rsid w:val="008A4FA3"/>
    <w:rsid w:val="008A4FEB"/>
    <w:rsid w:val="008A5212"/>
    <w:rsid w:val="008A5244"/>
    <w:rsid w:val="008A5288"/>
    <w:rsid w:val="008A53EE"/>
    <w:rsid w:val="008A54B2"/>
    <w:rsid w:val="008A5552"/>
    <w:rsid w:val="008A56BB"/>
    <w:rsid w:val="008A56E6"/>
    <w:rsid w:val="008A56F4"/>
    <w:rsid w:val="008A5724"/>
    <w:rsid w:val="008A5857"/>
    <w:rsid w:val="008A58EC"/>
    <w:rsid w:val="008A58F1"/>
    <w:rsid w:val="008A59DB"/>
    <w:rsid w:val="008A5A60"/>
    <w:rsid w:val="008A5A6A"/>
    <w:rsid w:val="008A5AE9"/>
    <w:rsid w:val="008A5B09"/>
    <w:rsid w:val="008A5BA4"/>
    <w:rsid w:val="008A5BC2"/>
    <w:rsid w:val="008A5BDB"/>
    <w:rsid w:val="008A5CA5"/>
    <w:rsid w:val="008A5EEE"/>
    <w:rsid w:val="008A5F35"/>
    <w:rsid w:val="008A5FFF"/>
    <w:rsid w:val="008A61A1"/>
    <w:rsid w:val="008A62F1"/>
    <w:rsid w:val="008A6306"/>
    <w:rsid w:val="008A641D"/>
    <w:rsid w:val="008A64A5"/>
    <w:rsid w:val="008A64DD"/>
    <w:rsid w:val="008A65DA"/>
    <w:rsid w:val="008A660C"/>
    <w:rsid w:val="008A660E"/>
    <w:rsid w:val="008A6610"/>
    <w:rsid w:val="008A6656"/>
    <w:rsid w:val="008A67CC"/>
    <w:rsid w:val="008A67F0"/>
    <w:rsid w:val="008A6A6C"/>
    <w:rsid w:val="008A6A7B"/>
    <w:rsid w:val="008A6A96"/>
    <w:rsid w:val="008A6AB4"/>
    <w:rsid w:val="008A6AF4"/>
    <w:rsid w:val="008A6B82"/>
    <w:rsid w:val="008A6B9F"/>
    <w:rsid w:val="008A6C19"/>
    <w:rsid w:val="008A6CF0"/>
    <w:rsid w:val="008A6D3B"/>
    <w:rsid w:val="008A6D47"/>
    <w:rsid w:val="008A6D97"/>
    <w:rsid w:val="008A6DC3"/>
    <w:rsid w:val="008A6E6D"/>
    <w:rsid w:val="008A6E89"/>
    <w:rsid w:val="008A6E9F"/>
    <w:rsid w:val="008A6F0C"/>
    <w:rsid w:val="008A6F32"/>
    <w:rsid w:val="008A704A"/>
    <w:rsid w:val="008A70A4"/>
    <w:rsid w:val="008A71F6"/>
    <w:rsid w:val="008A7358"/>
    <w:rsid w:val="008A7408"/>
    <w:rsid w:val="008A741E"/>
    <w:rsid w:val="008A74A1"/>
    <w:rsid w:val="008A74AF"/>
    <w:rsid w:val="008A7639"/>
    <w:rsid w:val="008A767A"/>
    <w:rsid w:val="008A76F0"/>
    <w:rsid w:val="008A770D"/>
    <w:rsid w:val="008A771F"/>
    <w:rsid w:val="008A7881"/>
    <w:rsid w:val="008A78A6"/>
    <w:rsid w:val="008A78D2"/>
    <w:rsid w:val="008A78F2"/>
    <w:rsid w:val="008A79C1"/>
    <w:rsid w:val="008A79C3"/>
    <w:rsid w:val="008A79CD"/>
    <w:rsid w:val="008A7A40"/>
    <w:rsid w:val="008A7CCA"/>
    <w:rsid w:val="008A7CF9"/>
    <w:rsid w:val="008A7D21"/>
    <w:rsid w:val="008A7D27"/>
    <w:rsid w:val="008A7D3F"/>
    <w:rsid w:val="008A7E57"/>
    <w:rsid w:val="008A7E73"/>
    <w:rsid w:val="008A7F7D"/>
    <w:rsid w:val="008A7F88"/>
    <w:rsid w:val="008A7FA6"/>
    <w:rsid w:val="008B002F"/>
    <w:rsid w:val="008B011A"/>
    <w:rsid w:val="008B012D"/>
    <w:rsid w:val="008B024C"/>
    <w:rsid w:val="008B0282"/>
    <w:rsid w:val="008B0289"/>
    <w:rsid w:val="008B03E2"/>
    <w:rsid w:val="008B04C1"/>
    <w:rsid w:val="008B04F3"/>
    <w:rsid w:val="008B0546"/>
    <w:rsid w:val="008B0548"/>
    <w:rsid w:val="008B07D0"/>
    <w:rsid w:val="008B07E7"/>
    <w:rsid w:val="008B07FE"/>
    <w:rsid w:val="008B0852"/>
    <w:rsid w:val="008B0920"/>
    <w:rsid w:val="008B0987"/>
    <w:rsid w:val="008B09C7"/>
    <w:rsid w:val="008B09CF"/>
    <w:rsid w:val="008B0A44"/>
    <w:rsid w:val="008B0A80"/>
    <w:rsid w:val="008B0AA9"/>
    <w:rsid w:val="008B0AFA"/>
    <w:rsid w:val="008B0B3D"/>
    <w:rsid w:val="008B0BAD"/>
    <w:rsid w:val="008B0BD5"/>
    <w:rsid w:val="008B0BEF"/>
    <w:rsid w:val="008B0C9E"/>
    <w:rsid w:val="008B0D4A"/>
    <w:rsid w:val="008B0D55"/>
    <w:rsid w:val="008B0D81"/>
    <w:rsid w:val="008B0DAD"/>
    <w:rsid w:val="008B0E3A"/>
    <w:rsid w:val="008B0E4D"/>
    <w:rsid w:val="008B0E9A"/>
    <w:rsid w:val="008B0F02"/>
    <w:rsid w:val="008B0FBC"/>
    <w:rsid w:val="008B1118"/>
    <w:rsid w:val="008B1146"/>
    <w:rsid w:val="008B118C"/>
    <w:rsid w:val="008B1225"/>
    <w:rsid w:val="008B12CC"/>
    <w:rsid w:val="008B12EB"/>
    <w:rsid w:val="008B1314"/>
    <w:rsid w:val="008B13AC"/>
    <w:rsid w:val="008B14D0"/>
    <w:rsid w:val="008B1506"/>
    <w:rsid w:val="008B15E7"/>
    <w:rsid w:val="008B1631"/>
    <w:rsid w:val="008B184F"/>
    <w:rsid w:val="008B186B"/>
    <w:rsid w:val="008B18ED"/>
    <w:rsid w:val="008B1BB6"/>
    <w:rsid w:val="008B1BD6"/>
    <w:rsid w:val="008B1CC6"/>
    <w:rsid w:val="008B1CDB"/>
    <w:rsid w:val="008B1DB6"/>
    <w:rsid w:val="008B1E67"/>
    <w:rsid w:val="008B1EB1"/>
    <w:rsid w:val="008B1F22"/>
    <w:rsid w:val="008B1FCF"/>
    <w:rsid w:val="008B20BB"/>
    <w:rsid w:val="008B2116"/>
    <w:rsid w:val="008B211D"/>
    <w:rsid w:val="008B218A"/>
    <w:rsid w:val="008B2195"/>
    <w:rsid w:val="008B21A4"/>
    <w:rsid w:val="008B22B9"/>
    <w:rsid w:val="008B22E3"/>
    <w:rsid w:val="008B234D"/>
    <w:rsid w:val="008B2424"/>
    <w:rsid w:val="008B24B5"/>
    <w:rsid w:val="008B2677"/>
    <w:rsid w:val="008B26B6"/>
    <w:rsid w:val="008B272A"/>
    <w:rsid w:val="008B27A8"/>
    <w:rsid w:val="008B27FC"/>
    <w:rsid w:val="008B28BB"/>
    <w:rsid w:val="008B28BF"/>
    <w:rsid w:val="008B28D2"/>
    <w:rsid w:val="008B28F6"/>
    <w:rsid w:val="008B2905"/>
    <w:rsid w:val="008B298A"/>
    <w:rsid w:val="008B2A20"/>
    <w:rsid w:val="008B2A2C"/>
    <w:rsid w:val="008B2A85"/>
    <w:rsid w:val="008B2ABA"/>
    <w:rsid w:val="008B2BDA"/>
    <w:rsid w:val="008B2C79"/>
    <w:rsid w:val="008B2C9D"/>
    <w:rsid w:val="008B2D2C"/>
    <w:rsid w:val="008B2D69"/>
    <w:rsid w:val="008B2DCB"/>
    <w:rsid w:val="008B2F71"/>
    <w:rsid w:val="008B3070"/>
    <w:rsid w:val="008B30CA"/>
    <w:rsid w:val="008B30CC"/>
    <w:rsid w:val="008B31A1"/>
    <w:rsid w:val="008B31B8"/>
    <w:rsid w:val="008B31CE"/>
    <w:rsid w:val="008B31EF"/>
    <w:rsid w:val="008B3271"/>
    <w:rsid w:val="008B336E"/>
    <w:rsid w:val="008B33F1"/>
    <w:rsid w:val="008B3413"/>
    <w:rsid w:val="008B3571"/>
    <w:rsid w:val="008B36DF"/>
    <w:rsid w:val="008B36EF"/>
    <w:rsid w:val="008B387E"/>
    <w:rsid w:val="008B38A0"/>
    <w:rsid w:val="008B393B"/>
    <w:rsid w:val="008B393F"/>
    <w:rsid w:val="008B39A7"/>
    <w:rsid w:val="008B3A4F"/>
    <w:rsid w:val="008B3A96"/>
    <w:rsid w:val="008B3AE3"/>
    <w:rsid w:val="008B3D65"/>
    <w:rsid w:val="008B3DAF"/>
    <w:rsid w:val="008B3FE3"/>
    <w:rsid w:val="008B3FE4"/>
    <w:rsid w:val="008B3FF5"/>
    <w:rsid w:val="008B3FFA"/>
    <w:rsid w:val="008B4034"/>
    <w:rsid w:val="008B403C"/>
    <w:rsid w:val="008B4093"/>
    <w:rsid w:val="008B410A"/>
    <w:rsid w:val="008B414E"/>
    <w:rsid w:val="008B416A"/>
    <w:rsid w:val="008B41C2"/>
    <w:rsid w:val="008B41CB"/>
    <w:rsid w:val="008B4263"/>
    <w:rsid w:val="008B42B7"/>
    <w:rsid w:val="008B4347"/>
    <w:rsid w:val="008B4485"/>
    <w:rsid w:val="008B4544"/>
    <w:rsid w:val="008B45B5"/>
    <w:rsid w:val="008B4676"/>
    <w:rsid w:val="008B46BE"/>
    <w:rsid w:val="008B46EC"/>
    <w:rsid w:val="008B475F"/>
    <w:rsid w:val="008B4784"/>
    <w:rsid w:val="008B4805"/>
    <w:rsid w:val="008B482F"/>
    <w:rsid w:val="008B48AB"/>
    <w:rsid w:val="008B48DA"/>
    <w:rsid w:val="008B499C"/>
    <w:rsid w:val="008B4A14"/>
    <w:rsid w:val="008B4A34"/>
    <w:rsid w:val="008B4A48"/>
    <w:rsid w:val="008B4A84"/>
    <w:rsid w:val="008B4B30"/>
    <w:rsid w:val="008B4B39"/>
    <w:rsid w:val="008B4B3C"/>
    <w:rsid w:val="008B4BA2"/>
    <w:rsid w:val="008B4D4D"/>
    <w:rsid w:val="008B4F62"/>
    <w:rsid w:val="008B4FAB"/>
    <w:rsid w:val="008B5074"/>
    <w:rsid w:val="008B5087"/>
    <w:rsid w:val="008B50AE"/>
    <w:rsid w:val="008B50EF"/>
    <w:rsid w:val="008B51B8"/>
    <w:rsid w:val="008B52C6"/>
    <w:rsid w:val="008B536C"/>
    <w:rsid w:val="008B53B9"/>
    <w:rsid w:val="008B5513"/>
    <w:rsid w:val="008B5549"/>
    <w:rsid w:val="008B560E"/>
    <w:rsid w:val="008B56F2"/>
    <w:rsid w:val="008B57BA"/>
    <w:rsid w:val="008B57DE"/>
    <w:rsid w:val="008B592C"/>
    <w:rsid w:val="008B5968"/>
    <w:rsid w:val="008B598E"/>
    <w:rsid w:val="008B5995"/>
    <w:rsid w:val="008B5A43"/>
    <w:rsid w:val="008B5B2A"/>
    <w:rsid w:val="008B5B93"/>
    <w:rsid w:val="008B5BD8"/>
    <w:rsid w:val="008B5C25"/>
    <w:rsid w:val="008B5DE7"/>
    <w:rsid w:val="008B5DF8"/>
    <w:rsid w:val="008B5ECD"/>
    <w:rsid w:val="008B5ED2"/>
    <w:rsid w:val="008B5F86"/>
    <w:rsid w:val="008B6024"/>
    <w:rsid w:val="008B61B4"/>
    <w:rsid w:val="008B626A"/>
    <w:rsid w:val="008B62CC"/>
    <w:rsid w:val="008B62D7"/>
    <w:rsid w:val="008B6334"/>
    <w:rsid w:val="008B63A1"/>
    <w:rsid w:val="008B64E1"/>
    <w:rsid w:val="008B6579"/>
    <w:rsid w:val="008B664A"/>
    <w:rsid w:val="008B66A5"/>
    <w:rsid w:val="008B66AE"/>
    <w:rsid w:val="008B66C2"/>
    <w:rsid w:val="008B6877"/>
    <w:rsid w:val="008B691F"/>
    <w:rsid w:val="008B6A10"/>
    <w:rsid w:val="008B6A1A"/>
    <w:rsid w:val="008B6A3C"/>
    <w:rsid w:val="008B6A54"/>
    <w:rsid w:val="008B6A87"/>
    <w:rsid w:val="008B6AB3"/>
    <w:rsid w:val="008B6AD5"/>
    <w:rsid w:val="008B6AE2"/>
    <w:rsid w:val="008B6BA7"/>
    <w:rsid w:val="008B6BF3"/>
    <w:rsid w:val="008B6F80"/>
    <w:rsid w:val="008B6FBB"/>
    <w:rsid w:val="008B7001"/>
    <w:rsid w:val="008B704E"/>
    <w:rsid w:val="008B70DE"/>
    <w:rsid w:val="008B7184"/>
    <w:rsid w:val="008B7203"/>
    <w:rsid w:val="008B725C"/>
    <w:rsid w:val="008B7380"/>
    <w:rsid w:val="008B7384"/>
    <w:rsid w:val="008B7392"/>
    <w:rsid w:val="008B73ED"/>
    <w:rsid w:val="008B7418"/>
    <w:rsid w:val="008B74CB"/>
    <w:rsid w:val="008B762F"/>
    <w:rsid w:val="008B7719"/>
    <w:rsid w:val="008B7738"/>
    <w:rsid w:val="008B77CA"/>
    <w:rsid w:val="008B7837"/>
    <w:rsid w:val="008B78B3"/>
    <w:rsid w:val="008B7935"/>
    <w:rsid w:val="008B79FC"/>
    <w:rsid w:val="008B7A0D"/>
    <w:rsid w:val="008B7AEB"/>
    <w:rsid w:val="008B7B5E"/>
    <w:rsid w:val="008B7BE2"/>
    <w:rsid w:val="008B7BEC"/>
    <w:rsid w:val="008B7C8C"/>
    <w:rsid w:val="008B7CB5"/>
    <w:rsid w:val="008B7CFE"/>
    <w:rsid w:val="008B7E45"/>
    <w:rsid w:val="008B7EB2"/>
    <w:rsid w:val="008B7F7D"/>
    <w:rsid w:val="008B7FE6"/>
    <w:rsid w:val="008C0018"/>
    <w:rsid w:val="008C0034"/>
    <w:rsid w:val="008C00D8"/>
    <w:rsid w:val="008C0126"/>
    <w:rsid w:val="008C0145"/>
    <w:rsid w:val="008C01D8"/>
    <w:rsid w:val="008C0317"/>
    <w:rsid w:val="008C03AB"/>
    <w:rsid w:val="008C05B3"/>
    <w:rsid w:val="008C05BC"/>
    <w:rsid w:val="008C05CE"/>
    <w:rsid w:val="008C05F8"/>
    <w:rsid w:val="008C0705"/>
    <w:rsid w:val="008C0710"/>
    <w:rsid w:val="008C0768"/>
    <w:rsid w:val="008C0786"/>
    <w:rsid w:val="008C0842"/>
    <w:rsid w:val="008C086E"/>
    <w:rsid w:val="008C0895"/>
    <w:rsid w:val="008C0927"/>
    <w:rsid w:val="008C0AC2"/>
    <w:rsid w:val="008C0B9C"/>
    <w:rsid w:val="008C0CCB"/>
    <w:rsid w:val="008C0CD8"/>
    <w:rsid w:val="008C0CF3"/>
    <w:rsid w:val="008C0DED"/>
    <w:rsid w:val="008C0E24"/>
    <w:rsid w:val="008C107D"/>
    <w:rsid w:val="008C1134"/>
    <w:rsid w:val="008C1135"/>
    <w:rsid w:val="008C1169"/>
    <w:rsid w:val="008C1172"/>
    <w:rsid w:val="008C1254"/>
    <w:rsid w:val="008C1276"/>
    <w:rsid w:val="008C1279"/>
    <w:rsid w:val="008C12CB"/>
    <w:rsid w:val="008C1424"/>
    <w:rsid w:val="008C1433"/>
    <w:rsid w:val="008C154D"/>
    <w:rsid w:val="008C1684"/>
    <w:rsid w:val="008C173D"/>
    <w:rsid w:val="008C17B4"/>
    <w:rsid w:val="008C190D"/>
    <w:rsid w:val="008C1935"/>
    <w:rsid w:val="008C19B4"/>
    <w:rsid w:val="008C19BB"/>
    <w:rsid w:val="008C1B62"/>
    <w:rsid w:val="008C1BB6"/>
    <w:rsid w:val="008C1BF7"/>
    <w:rsid w:val="008C1CCB"/>
    <w:rsid w:val="008C1DAB"/>
    <w:rsid w:val="008C1DB4"/>
    <w:rsid w:val="008C1DBC"/>
    <w:rsid w:val="008C1DD8"/>
    <w:rsid w:val="008C1E42"/>
    <w:rsid w:val="008C1EA1"/>
    <w:rsid w:val="008C1ECF"/>
    <w:rsid w:val="008C1F0E"/>
    <w:rsid w:val="008C1F20"/>
    <w:rsid w:val="008C1FBD"/>
    <w:rsid w:val="008C1FF0"/>
    <w:rsid w:val="008C20D3"/>
    <w:rsid w:val="008C21E9"/>
    <w:rsid w:val="008C243F"/>
    <w:rsid w:val="008C245F"/>
    <w:rsid w:val="008C24C2"/>
    <w:rsid w:val="008C2548"/>
    <w:rsid w:val="008C2567"/>
    <w:rsid w:val="008C2662"/>
    <w:rsid w:val="008C2710"/>
    <w:rsid w:val="008C2754"/>
    <w:rsid w:val="008C288E"/>
    <w:rsid w:val="008C28E5"/>
    <w:rsid w:val="008C2907"/>
    <w:rsid w:val="008C2919"/>
    <w:rsid w:val="008C2968"/>
    <w:rsid w:val="008C29D7"/>
    <w:rsid w:val="008C2A85"/>
    <w:rsid w:val="008C2AB7"/>
    <w:rsid w:val="008C2B0D"/>
    <w:rsid w:val="008C2BA1"/>
    <w:rsid w:val="008C2BB8"/>
    <w:rsid w:val="008C2BC1"/>
    <w:rsid w:val="008C2BF9"/>
    <w:rsid w:val="008C2C7F"/>
    <w:rsid w:val="008C2C8F"/>
    <w:rsid w:val="008C2E6A"/>
    <w:rsid w:val="008C2EC5"/>
    <w:rsid w:val="008C2ECA"/>
    <w:rsid w:val="008C2FEA"/>
    <w:rsid w:val="008C3003"/>
    <w:rsid w:val="008C3032"/>
    <w:rsid w:val="008C3063"/>
    <w:rsid w:val="008C313B"/>
    <w:rsid w:val="008C3158"/>
    <w:rsid w:val="008C3172"/>
    <w:rsid w:val="008C3193"/>
    <w:rsid w:val="008C31B7"/>
    <w:rsid w:val="008C31FA"/>
    <w:rsid w:val="008C323F"/>
    <w:rsid w:val="008C32FB"/>
    <w:rsid w:val="008C3460"/>
    <w:rsid w:val="008C352F"/>
    <w:rsid w:val="008C3601"/>
    <w:rsid w:val="008C3762"/>
    <w:rsid w:val="008C3883"/>
    <w:rsid w:val="008C3896"/>
    <w:rsid w:val="008C38F3"/>
    <w:rsid w:val="008C398B"/>
    <w:rsid w:val="008C39EF"/>
    <w:rsid w:val="008C3A39"/>
    <w:rsid w:val="008C3A3A"/>
    <w:rsid w:val="008C3A7E"/>
    <w:rsid w:val="008C3AAC"/>
    <w:rsid w:val="008C3BFC"/>
    <w:rsid w:val="008C3BFD"/>
    <w:rsid w:val="008C3C4D"/>
    <w:rsid w:val="008C3C6D"/>
    <w:rsid w:val="008C3DCD"/>
    <w:rsid w:val="008C3E2B"/>
    <w:rsid w:val="008C3FB8"/>
    <w:rsid w:val="008C3FC5"/>
    <w:rsid w:val="008C410C"/>
    <w:rsid w:val="008C41AE"/>
    <w:rsid w:val="008C41FE"/>
    <w:rsid w:val="008C42A6"/>
    <w:rsid w:val="008C43D1"/>
    <w:rsid w:val="008C43D4"/>
    <w:rsid w:val="008C46F1"/>
    <w:rsid w:val="008C4762"/>
    <w:rsid w:val="008C47C1"/>
    <w:rsid w:val="008C4859"/>
    <w:rsid w:val="008C4938"/>
    <w:rsid w:val="008C4941"/>
    <w:rsid w:val="008C4AD9"/>
    <w:rsid w:val="008C4B22"/>
    <w:rsid w:val="008C4BF9"/>
    <w:rsid w:val="008C4C0E"/>
    <w:rsid w:val="008C4C62"/>
    <w:rsid w:val="008C4DB3"/>
    <w:rsid w:val="008C4E5B"/>
    <w:rsid w:val="008C4EA8"/>
    <w:rsid w:val="008C4F35"/>
    <w:rsid w:val="008C4F66"/>
    <w:rsid w:val="008C502D"/>
    <w:rsid w:val="008C50AA"/>
    <w:rsid w:val="008C50D7"/>
    <w:rsid w:val="008C519B"/>
    <w:rsid w:val="008C5216"/>
    <w:rsid w:val="008C524A"/>
    <w:rsid w:val="008C5253"/>
    <w:rsid w:val="008C526F"/>
    <w:rsid w:val="008C5276"/>
    <w:rsid w:val="008C5351"/>
    <w:rsid w:val="008C536E"/>
    <w:rsid w:val="008C53E4"/>
    <w:rsid w:val="008C53F5"/>
    <w:rsid w:val="008C53FA"/>
    <w:rsid w:val="008C54D0"/>
    <w:rsid w:val="008C5531"/>
    <w:rsid w:val="008C558C"/>
    <w:rsid w:val="008C55F4"/>
    <w:rsid w:val="008C5843"/>
    <w:rsid w:val="008C5896"/>
    <w:rsid w:val="008C5931"/>
    <w:rsid w:val="008C5979"/>
    <w:rsid w:val="008C598E"/>
    <w:rsid w:val="008C59B5"/>
    <w:rsid w:val="008C5AC7"/>
    <w:rsid w:val="008C5B4F"/>
    <w:rsid w:val="008C5B6C"/>
    <w:rsid w:val="008C5B75"/>
    <w:rsid w:val="008C5CA8"/>
    <w:rsid w:val="008C5D57"/>
    <w:rsid w:val="008C5DB8"/>
    <w:rsid w:val="008C5E29"/>
    <w:rsid w:val="008C5EC0"/>
    <w:rsid w:val="008C5F2A"/>
    <w:rsid w:val="008C628F"/>
    <w:rsid w:val="008C62B5"/>
    <w:rsid w:val="008C63EC"/>
    <w:rsid w:val="008C6443"/>
    <w:rsid w:val="008C65CD"/>
    <w:rsid w:val="008C6603"/>
    <w:rsid w:val="008C67FF"/>
    <w:rsid w:val="008C682C"/>
    <w:rsid w:val="008C6837"/>
    <w:rsid w:val="008C6940"/>
    <w:rsid w:val="008C69BC"/>
    <w:rsid w:val="008C6AF0"/>
    <w:rsid w:val="008C6B33"/>
    <w:rsid w:val="008C6C95"/>
    <w:rsid w:val="008C6CA5"/>
    <w:rsid w:val="008C6CC0"/>
    <w:rsid w:val="008C6E69"/>
    <w:rsid w:val="008C6E7D"/>
    <w:rsid w:val="008C6E91"/>
    <w:rsid w:val="008C6EA0"/>
    <w:rsid w:val="008C6F35"/>
    <w:rsid w:val="008C6FC7"/>
    <w:rsid w:val="008C703C"/>
    <w:rsid w:val="008C70A0"/>
    <w:rsid w:val="008C70D4"/>
    <w:rsid w:val="008C711C"/>
    <w:rsid w:val="008C7273"/>
    <w:rsid w:val="008C72F3"/>
    <w:rsid w:val="008C73AA"/>
    <w:rsid w:val="008C7433"/>
    <w:rsid w:val="008C7542"/>
    <w:rsid w:val="008C7630"/>
    <w:rsid w:val="008C7681"/>
    <w:rsid w:val="008C76B9"/>
    <w:rsid w:val="008C7784"/>
    <w:rsid w:val="008C790F"/>
    <w:rsid w:val="008C798C"/>
    <w:rsid w:val="008C7A3F"/>
    <w:rsid w:val="008C7AAC"/>
    <w:rsid w:val="008C7AB0"/>
    <w:rsid w:val="008C7AE8"/>
    <w:rsid w:val="008C7B3F"/>
    <w:rsid w:val="008C7BD4"/>
    <w:rsid w:val="008C7C38"/>
    <w:rsid w:val="008C7CC4"/>
    <w:rsid w:val="008C7DBA"/>
    <w:rsid w:val="008C7DCF"/>
    <w:rsid w:val="008C7DFF"/>
    <w:rsid w:val="008C7E1A"/>
    <w:rsid w:val="008C7E40"/>
    <w:rsid w:val="008C7EDF"/>
    <w:rsid w:val="008C7F36"/>
    <w:rsid w:val="008C7F71"/>
    <w:rsid w:val="008C7F86"/>
    <w:rsid w:val="008D0015"/>
    <w:rsid w:val="008D0095"/>
    <w:rsid w:val="008D00B8"/>
    <w:rsid w:val="008D0122"/>
    <w:rsid w:val="008D014D"/>
    <w:rsid w:val="008D0166"/>
    <w:rsid w:val="008D016F"/>
    <w:rsid w:val="008D01C7"/>
    <w:rsid w:val="008D01F1"/>
    <w:rsid w:val="008D0200"/>
    <w:rsid w:val="008D021A"/>
    <w:rsid w:val="008D026A"/>
    <w:rsid w:val="008D027A"/>
    <w:rsid w:val="008D037A"/>
    <w:rsid w:val="008D03C7"/>
    <w:rsid w:val="008D0462"/>
    <w:rsid w:val="008D0525"/>
    <w:rsid w:val="008D05AE"/>
    <w:rsid w:val="008D05D2"/>
    <w:rsid w:val="008D0719"/>
    <w:rsid w:val="008D07CE"/>
    <w:rsid w:val="008D0826"/>
    <w:rsid w:val="008D089F"/>
    <w:rsid w:val="008D08ED"/>
    <w:rsid w:val="008D0957"/>
    <w:rsid w:val="008D0984"/>
    <w:rsid w:val="008D09E3"/>
    <w:rsid w:val="008D0A23"/>
    <w:rsid w:val="008D0ABE"/>
    <w:rsid w:val="008D0AFB"/>
    <w:rsid w:val="008D0D36"/>
    <w:rsid w:val="008D0D89"/>
    <w:rsid w:val="008D0DD3"/>
    <w:rsid w:val="008D0DEC"/>
    <w:rsid w:val="008D0F94"/>
    <w:rsid w:val="008D0FC0"/>
    <w:rsid w:val="008D0FCB"/>
    <w:rsid w:val="008D1035"/>
    <w:rsid w:val="008D1093"/>
    <w:rsid w:val="008D10E5"/>
    <w:rsid w:val="008D113D"/>
    <w:rsid w:val="008D11D1"/>
    <w:rsid w:val="008D12A0"/>
    <w:rsid w:val="008D12D4"/>
    <w:rsid w:val="008D13D2"/>
    <w:rsid w:val="008D13F2"/>
    <w:rsid w:val="008D147D"/>
    <w:rsid w:val="008D14BE"/>
    <w:rsid w:val="008D14D6"/>
    <w:rsid w:val="008D1548"/>
    <w:rsid w:val="008D15CE"/>
    <w:rsid w:val="008D176A"/>
    <w:rsid w:val="008D18E3"/>
    <w:rsid w:val="008D196B"/>
    <w:rsid w:val="008D1AA4"/>
    <w:rsid w:val="008D1AB1"/>
    <w:rsid w:val="008D1B6D"/>
    <w:rsid w:val="008D1BA1"/>
    <w:rsid w:val="008D1BC0"/>
    <w:rsid w:val="008D1BD2"/>
    <w:rsid w:val="008D1BF9"/>
    <w:rsid w:val="008D1C7A"/>
    <w:rsid w:val="008D1D0B"/>
    <w:rsid w:val="008D1D34"/>
    <w:rsid w:val="008D1D49"/>
    <w:rsid w:val="008D1D67"/>
    <w:rsid w:val="008D1EB1"/>
    <w:rsid w:val="008D1EBA"/>
    <w:rsid w:val="008D1EF1"/>
    <w:rsid w:val="008D1F03"/>
    <w:rsid w:val="008D2020"/>
    <w:rsid w:val="008D2074"/>
    <w:rsid w:val="008D20C9"/>
    <w:rsid w:val="008D2136"/>
    <w:rsid w:val="008D2173"/>
    <w:rsid w:val="008D2177"/>
    <w:rsid w:val="008D21EB"/>
    <w:rsid w:val="008D2269"/>
    <w:rsid w:val="008D231C"/>
    <w:rsid w:val="008D2321"/>
    <w:rsid w:val="008D2376"/>
    <w:rsid w:val="008D23FC"/>
    <w:rsid w:val="008D2401"/>
    <w:rsid w:val="008D2442"/>
    <w:rsid w:val="008D249D"/>
    <w:rsid w:val="008D261A"/>
    <w:rsid w:val="008D2645"/>
    <w:rsid w:val="008D278B"/>
    <w:rsid w:val="008D2829"/>
    <w:rsid w:val="008D284A"/>
    <w:rsid w:val="008D28D0"/>
    <w:rsid w:val="008D2964"/>
    <w:rsid w:val="008D29D4"/>
    <w:rsid w:val="008D2A23"/>
    <w:rsid w:val="008D2A4D"/>
    <w:rsid w:val="008D2A71"/>
    <w:rsid w:val="008D2B2C"/>
    <w:rsid w:val="008D2BFC"/>
    <w:rsid w:val="008D2C03"/>
    <w:rsid w:val="008D2C5A"/>
    <w:rsid w:val="008D2CFE"/>
    <w:rsid w:val="008D2D50"/>
    <w:rsid w:val="008D2E1B"/>
    <w:rsid w:val="008D2F0E"/>
    <w:rsid w:val="008D2F2C"/>
    <w:rsid w:val="008D315F"/>
    <w:rsid w:val="008D3205"/>
    <w:rsid w:val="008D3218"/>
    <w:rsid w:val="008D3246"/>
    <w:rsid w:val="008D3251"/>
    <w:rsid w:val="008D3382"/>
    <w:rsid w:val="008D339F"/>
    <w:rsid w:val="008D33CE"/>
    <w:rsid w:val="008D3422"/>
    <w:rsid w:val="008D3446"/>
    <w:rsid w:val="008D3461"/>
    <w:rsid w:val="008D34EF"/>
    <w:rsid w:val="008D355E"/>
    <w:rsid w:val="008D367B"/>
    <w:rsid w:val="008D371C"/>
    <w:rsid w:val="008D377A"/>
    <w:rsid w:val="008D37CB"/>
    <w:rsid w:val="008D3960"/>
    <w:rsid w:val="008D39F6"/>
    <w:rsid w:val="008D39FD"/>
    <w:rsid w:val="008D3A26"/>
    <w:rsid w:val="008D3A2F"/>
    <w:rsid w:val="008D3AFE"/>
    <w:rsid w:val="008D3B28"/>
    <w:rsid w:val="008D3D3D"/>
    <w:rsid w:val="008D3D65"/>
    <w:rsid w:val="008D3DCB"/>
    <w:rsid w:val="008D3E2D"/>
    <w:rsid w:val="008D3E45"/>
    <w:rsid w:val="008D3E61"/>
    <w:rsid w:val="008D3FC9"/>
    <w:rsid w:val="008D4098"/>
    <w:rsid w:val="008D40F4"/>
    <w:rsid w:val="008D41D1"/>
    <w:rsid w:val="008D41E6"/>
    <w:rsid w:val="008D4252"/>
    <w:rsid w:val="008D42AF"/>
    <w:rsid w:val="008D42BE"/>
    <w:rsid w:val="008D4397"/>
    <w:rsid w:val="008D43B4"/>
    <w:rsid w:val="008D4427"/>
    <w:rsid w:val="008D4489"/>
    <w:rsid w:val="008D44D7"/>
    <w:rsid w:val="008D4565"/>
    <w:rsid w:val="008D4592"/>
    <w:rsid w:val="008D4655"/>
    <w:rsid w:val="008D467F"/>
    <w:rsid w:val="008D4683"/>
    <w:rsid w:val="008D478B"/>
    <w:rsid w:val="008D47BF"/>
    <w:rsid w:val="008D47DA"/>
    <w:rsid w:val="008D4849"/>
    <w:rsid w:val="008D4997"/>
    <w:rsid w:val="008D49F4"/>
    <w:rsid w:val="008D4A0A"/>
    <w:rsid w:val="008D4A11"/>
    <w:rsid w:val="008D4A91"/>
    <w:rsid w:val="008D4C78"/>
    <w:rsid w:val="008D4D5C"/>
    <w:rsid w:val="008D4E05"/>
    <w:rsid w:val="008D4E21"/>
    <w:rsid w:val="008D4F37"/>
    <w:rsid w:val="008D4F51"/>
    <w:rsid w:val="008D4FAA"/>
    <w:rsid w:val="008D502B"/>
    <w:rsid w:val="008D504A"/>
    <w:rsid w:val="008D511A"/>
    <w:rsid w:val="008D511E"/>
    <w:rsid w:val="008D5130"/>
    <w:rsid w:val="008D5148"/>
    <w:rsid w:val="008D51C3"/>
    <w:rsid w:val="008D5257"/>
    <w:rsid w:val="008D526D"/>
    <w:rsid w:val="008D527F"/>
    <w:rsid w:val="008D5280"/>
    <w:rsid w:val="008D5290"/>
    <w:rsid w:val="008D52F7"/>
    <w:rsid w:val="008D5310"/>
    <w:rsid w:val="008D5321"/>
    <w:rsid w:val="008D5332"/>
    <w:rsid w:val="008D5347"/>
    <w:rsid w:val="008D5368"/>
    <w:rsid w:val="008D53AB"/>
    <w:rsid w:val="008D546C"/>
    <w:rsid w:val="008D54D1"/>
    <w:rsid w:val="008D5557"/>
    <w:rsid w:val="008D557F"/>
    <w:rsid w:val="008D5759"/>
    <w:rsid w:val="008D57B7"/>
    <w:rsid w:val="008D58AD"/>
    <w:rsid w:val="008D595D"/>
    <w:rsid w:val="008D599C"/>
    <w:rsid w:val="008D59CF"/>
    <w:rsid w:val="008D59F5"/>
    <w:rsid w:val="008D5B5A"/>
    <w:rsid w:val="008D5C5B"/>
    <w:rsid w:val="008D5C6A"/>
    <w:rsid w:val="008D5D44"/>
    <w:rsid w:val="008D5DA4"/>
    <w:rsid w:val="008D5E43"/>
    <w:rsid w:val="008D5E75"/>
    <w:rsid w:val="008D5FC0"/>
    <w:rsid w:val="008D6016"/>
    <w:rsid w:val="008D6094"/>
    <w:rsid w:val="008D609C"/>
    <w:rsid w:val="008D6170"/>
    <w:rsid w:val="008D6287"/>
    <w:rsid w:val="008D62DD"/>
    <w:rsid w:val="008D62E2"/>
    <w:rsid w:val="008D6351"/>
    <w:rsid w:val="008D6357"/>
    <w:rsid w:val="008D637A"/>
    <w:rsid w:val="008D637C"/>
    <w:rsid w:val="008D6396"/>
    <w:rsid w:val="008D64A8"/>
    <w:rsid w:val="008D64B7"/>
    <w:rsid w:val="008D64F6"/>
    <w:rsid w:val="008D65AE"/>
    <w:rsid w:val="008D65E1"/>
    <w:rsid w:val="008D662C"/>
    <w:rsid w:val="008D66F6"/>
    <w:rsid w:val="008D6759"/>
    <w:rsid w:val="008D67CD"/>
    <w:rsid w:val="008D6897"/>
    <w:rsid w:val="008D6A33"/>
    <w:rsid w:val="008D6AAA"/>
    <w:rsid w:val="008D6B8A"/>
    <w:rsid w:val="008D6BE1"/>
    <w:rsid w:val="008D6C56"/>
    <w:rsid w:val="008D6C95"/>
    <w:rsid w:val="008D6CB9"/>
    <w:rsid w:val="008D6DD6"/>
    <w:rsid w:val="008D6EFE"/>
    <w:rsid w:val="008D7064"/>
    <w:rsid w:val="008D7072"/>
    <w:rsid w:val="008D717C"/>
    <w:rsid w:val="008D71F3"/>
    <w:rsid w:val="008D72AB"/>
    <w:rsid w:val="008D72FD"/>
    <w:rsid w:val="008D7335"/>
    <w:rsid w:val="008D7346"/>
    <w:rsid w:val="008D7554"/>
    <w:rsid w:val="008D7642"/>
    <w:rsid w:val="008D764C"/>
    <w:rsid w:val="008D7697"/>
    <w:rsid w:val="008D76AA"/>
    <w:rsid w:val="008D77D6"/>
    <w:rsid w:val="008D783B"/>
    <w:rsid w:val="008D7847"/>
    <w:rsid w:val="008D785B"/>
    <w:rsid w:val="008D7866"/>
    <w:rsid w:val="008D78FA"/>
    <w:rsid w:val="008D798A"/>
    <w:rsid w:val="008D7993"/>
    <w:rsid w:val="008D7A08"/>
    <w:rsid w:val="008D7AD5"/>
    <w:rsid w:val="008D7AE0"/>
    <w:rsid w:val="008D7AE3"/>
    <w:rsid w:val="008D7C0D"/>
    <w:rsid w:val="008D7C50"/>
    <w:rsid w:val="008D7DDE"/>
    <w:rsid w:val="008D7EEE"/>
    <w:rsid w:val="008D7FB9"/>
    <w:rsid w:val="008E001B"/>
    <w:rsid w:val="008E0032"/>
    <w:rsid w:val="008E0065"/>
    <w:rsid w:val="008E00E9"/>
    <w:rsid w:val="008E027A"/>
    <w:rsid w:val="008E031A"/>
    <w:rsid w:val="008E041F"/>
    <w:rsid w:val="008E0471"/>
    <w:rsid w:val="008E053C"/>
    <w:rsid w:val="008E058A"/>
    <w:rsid w:val="008E0782"/>
    <w:rsid w:val="008E085B"/>
    <w:rsid w:val="008E0884"/>
    <w:rsid w:val="008E08D7"/>
    <w:rsid w:val="008E08E9"/>
    <w:rsid w:val="008E0B26"/>
    <w:rsid w:val="008E0B64"/>
    <w:rsid w:val="008E0B8E"/>
    <w:rsid w:val="008E0C75"/>
    <w:rsid w:val="008E0D70"/>
    <w:rsid w:val="008E0D77"/>
    <w:rsid w:val="008E0DBF"/>
    <w:rsid w:val="008E0DFA"/>
    <w:rsid w:val="008E0E1D"/>
    <w:rsid w:val="008E0E6E"/>
    <w:rsid w:val="008E0EA0"/>
    <w:rsid w:val="008E0EBB"/>
    <w:rsid w:val="008E0EC6"/>
    <w:rsid w:val="008E0ECB"/>
    <w:rsid w:val="008E0F1C"/>
    <w:rsid w:val="008E0F56"/>
    <w:rsid w:val="008E0FC3"/>
    <w:rsid w:val="008E1045"/>
    <w:rsid w:val="008E1068"/>
    <w:rsid w:val="008E108D"/>
    <w:rsid w:val="008E10D4"/>
    <w:rsid w:val="008E1218"/>
    <w:rsid w:val="008E12D1"/>
    <w:rsid w:val="008E135E"/>
    <w:rsid w:val="008E13CC"/>
    <w:rsid w:val="008E14CD"/>
    <w:rsid w:val="008E14D7"/>
    <w:rsid w:val="008E14E9"/>
    <w:rsid w:val="008E15E9"/>
    <w:rsid w:val="008E15F2"/>
    <w:rsid w:val="008E161B"/>
    <w:rsid w:val="008E17DE"/>
    <w:rsid w:val="008E18A7"/>
    <w:rsid w:val="008E18D0"/>
    <w:rsid w:val="008E19BD"/>
    <w:rsid w:val="008E1A82"/>
    <w:rsid w:val="008E1AFB"/>
    <w:rsid w:val="008E1B04"/>
    <w:rsid w:val="008E1B57"/>
    <w:rsid w:val="008E1B59"/>
    <w:rsid w:val="008E1C75"/>
    <w:rsid w:val="008E1CA7"/>
    <w:rsid w:val="008E1D9F"/>
    <w:rsid w:val="008E1DDD"/>
    <w:rsid w:val="008E1E13"/>
    <w:rsid w:val="008E1E4B"/>
    <w:rsid w:val="008E1E52"/>
    <w:rsid w:val="008E1F59"/>
    <w:rsid w:val="008E217F"/>
    <w:rsid w:val="008E21F5"/>
    <w:rsid w:val="008E21F6"/>
    <w:rsid w:val="008E222E"/>
    <w:rsid w:val="008E2305"/>
    <w:rsid w:val="008E236F"/>
    <w:rsid w:val="008E2391"/>
    <w:rsid w:val="008E251D"/>
    <w:rsid w:val="008E256A"/>
    <w:rsid w:val="008E25A3"/>
    <w:rsid w:val="008E25EA"/>
    <w:rsid w:val="008E2657"/>
    <w:rsid w:val="008E26B1"/>
    <w:rsid w:val="008E26C1"/>
    <w:rsid w:val="008E26EA"/>
    <w:rsid w:val="008E272A"/>
    <w:rsid w:val="008E2756"/>
    <w:rsid w:val="008E27BE"/>
    <w:rsid w:val="008E27DA"/>
    <w:rsid w:val="008E2807"/>
    <w:rsid w:val="008E281B"/>
    <w:rsid w:val="008E286E"/>
    <w:rsid w:val="008E28A9"/>
    <w:rsid w:val="008E28FD"/>
    <w:rsid w:val="008E2901"/>
    <w:rsid w:val="008E2922"/>
    <w:rsid w:val="008E29F8"/>
    <w:rsid w:val="008E2A5D"/>
    <w:rsid w:val="008E2B10"/>
    <w:rsid w:val="008E2B8E"/>
    <w:rsid w:val="008E2C0C"/>
    <w:rsid w:val="008E2DED"/>
    <w:rsid w:val="008E2E06"/>
    <w:rsid w:val="008E2E47"/>
    <w:rsid w:val="008E2E72"/>
    <w:rsid w:val="008E2F0A"/>
    <w:rsid w:val="008E2F5C"/>
    <w:rsid w:val="008E2FA5"/>
    <w:rsid w:val="008E30C2"/>
    <w:rsid w:val="008E313E"/>
    <w:rsid w:val="008E314E"/>
    <w:rsid w:val="008E3254"/>
    <w:rsid w:val="008E325E"/>
    <w:rsid w:val="008E3343"/>
    <w:rsid w:val="008E34D9"/>
    <w:rsid w:val="008E34FC"/>
    <w:rsid w:val="008E3544"/>
    <w:rsid w:val="008E3596"/>
    <w:rsid w:val="008E3752"/>
    <w:rsid w:val="008E3783"/>
    <w:rsid w:val="008E3879"/>
    <w:rsid w:val="008E3892"/>
    <w:rsid w:val="008E3A1A"/>
    <w:rsid w:val="008E3ADD"/>
    <w:rsid w:val="008E3B50"/>
    <w:rsid w:val="008E3B9F"/>
    <w:rsid w:val="008E3BA1"/>
    <w:rsid w:val="008E3BBA"/>
    <w:rsid w:val="008E3BEF"/>
    <w:rsid w:val="008E3C4A"/>
    <w:rsid w:val="008E3C98"/>
    <w:rsid w:val="008E3CA5"/>
    <w:rsid w:val="008E3CC9"/>
    <w:rsid w:val="008E3DB5"/>
    <w:rsid w:val="008E3DCA"/>
    <w:rsid w:val="008E3E47"/>
    <w:rsid w:val="008E3E6D"/>
    <w:rsid w:val="008E3F62"/>
    <w:rsid w:val="008E3FD2"/>
    <w:rsid w:val="008E40AE"/>
    <w:rsid w:val="008E425C"/>
    <w:rsid w:val="008E4318"/>
    <w:rsid w:val="008E4352"/>
    <w:rsid w:val="008E435C"/>
    <w:rsid w:val="008E439C"/>
    <w:rsid w:val="008E43D8"/>
    <w:rsid w:val="008E43EB"/>
    <w:rsid w:val="008E44A9"/>
    <w:rsid w:val="008E44F8"/>
    <w:rsid w:val="008E4546"/>
    <w:rsid w:val="008E45C8"/>
    <w:rsid w:val="008E469E"/>
    <w:rsid w:val="008E4794"/>
    <w:rsid w:val="008E47DC"/>
    <w:rsid w:val="008E4899"/>
    <w:rsid w:val="008E48A5"/>
    <w:rsid w:val="008E4A8F"/>
    <w:rsid w:val="008E4AE5"/>
    <w:rsid w:val="008E4B68"/>
    <w:rsid w:val="008E4BDF"/>
    <w:rsid w:val="008E4CBB"/>
    <w:rsid w:val="008E4CC2"/>
    <w:rsid w:val="008E4CDF"/>
    <w:rsid w:val="008E4DFA"/>
    <w:rsid w:val="008E4E76"/>
    <w:rsid w:val="008E5007"/>
    <w:rsid w:val="008E5321"/>
    <w:rsid w:val="008E5367"/>
    <w:rsid w:val="008E556F"/>
    <w:rsid w:val="008E561F"/>
    <w:rsid w:val="008E5848"/>
    <w:rsid w:val="008E588A"/>
    <w:rsid w:val="008E5902"/>
    <w:rsid w:val="008E591D"/>
    <w:rsid w:val="008E5938"/>
    <w:rsid w:val="008E5949"/>
    <w:rsid w:val="008E5956"/>
    <w:rsid w:val="008E597F"/>
    <w:rsid w:val="008E5998"/>
    <w:rsid w:val="008E59BD"/>
    <w:rsid w:val="008E5A8E"/>
    <w:rsid w:val="008E5BDF"/>
    <w:rsid w:val="008E5C1D"/>
    <w:rsid w:val="008E5CFD"/>
    <w:rsid w:val="008E5D7D"/>
    <w:rsid w:val="008E5D7E"/>
    <w:rsid w:val="008E5D82"/>
    <w:rsid w:val="008E5E90"/>
    <w:rsid w:val="008E5EEA"/>
    <w:rsid w:val="008E5F9F"/>
    <w:rsid w:val="008E5FB6"/>
    <w:rsid w:val="008E5FC0"/>
    <w:rsid w:val="008E5FEA"/>
    <w:rsid w:val="008E608E"/>
    <w:rsid w:val="008E613B"/>
    <w:rsid w:val="008E6157"/>
    <w:rsid w:val="008E6232"/>
    <w:rsid w:val="008E6234"/>
    <w:rsid w:val="008E6292"/>
    <w:rsid w:val="008E6376"/>
    <w:rsid w:val="008E64BF"/>
    <w:rsid w:val="008E64CF"/>
    <w:rsid w:val="008E6633"/>
    <w:rsid w:val="008E6723"/>
    <w:rsid w:val="008E67BC"/>
    <w:rsid w:val="008E67BF"/>
    <w:rsid w:val="008E6807"/>
    <w:rsid w:val="008E684B"/>
    <w:rsid w:val="008E68C4"/>
    <w:rsid w:val="008E68F7"/>
    <w:rsid w:val="008E6921"/>
    <w:rsid w:val="008E6A01"/>
    <w:rsid w:val="008E6A15"/>
    <w:rsid w:val="008E6AAA"/>
    <w:rsid w:val="008E6B3A"/>
    <w:rsid w:val="008E6B71"/>
    <w:rsid w:val="008E6BB4"/>
    <w:rsid w:val="008E6C05"/>
    <w:rsid w:val="008E6C47"/>
    <w:rsid w:val="008E6C7A"/>
    <w:rsid w:val="008E6CBD"/>
    <w:rsid w:val="008E6DBF"/>
    <w:rsid w:val="008E6EB9"/>
    <w:rsid w:val="008E6F93"/>
    <w:rsid w:val="008E7017"/>
    <w:rsid w:val="008E709A"/>
    <w:rsid w:val="008E70C8"/>
    <w:rsid w:val="008E7172"/>
    <w:rsid w:val="008E71CC"/>
    <w:rsid w:val="008E72B4"/>
    <w:rsid w:val="008E72F8"/>
    <w:rsid w:val="008E756F"/>
    <w:rsid w:val="008E7586"/>
    <w:rsid w:val="008E760C"/>
    <w:rsid w:val="008E775C"/>
    <w:rsid w:val="008E7883"/>
    <w:rsid w:val="008E78C8"/>
    <w:rsid w:val="008E78DB"/>
    <w:rsid w:val="008E7A94"/>
    <w:rsid w:val="008E7AB5"/>
    <w:rsid w:val="008E7B0C"/>
    <w:rsid w:val="008E7B42"/>
    <w:rsid w:val="008E7C05"/>
    <w:rsid w:val="008E7C3D"/>
    <w:rsid w:val="008E7CC4"/>
    <w:rsid w:val="008E7E43"/>
    <w:rsid w:val="008E7F1D"/>
    <w:rsid w:val="008F006F"/>
    <w:rsid w:val="008F00E6"/>
    <w:rsid w:val="008F0112"/>
    <w:rsid w:val="008F01C7"/>
    <w:rsid w:val="008F01CE"/>
    <w:rsid w:val="008F0225"/>
    <w:rsid w:val="008F0289"/>
    <w:rsid w:val="008F03FF"/>
    <w:rsid w:val="008F042F"/>
    <w:rsid w:val="008F05AC"/>
    <w:rsid w:val="008F05E6"/>
    <w:rsid w:val="008F0680"/>
    <w:rsid w:val="008F08B3"/>
    <w:rsid w:val="008F09DC"/>
    <w:rsid w:val="008F0A67"/>
    <w:rsid w:val="008F0A8C"/>
    <w:rsid w:val="008F0CFC"/>
    <w:rsid w:val="008F0D03"/>
    <w:rsid w:val="008F0E1E"/>
    <w:rsid w:val="008F0E56"/>
    <w:rsid w:val="008F0E95"/>
    <w:rsid w:val="008F0F35"/>
    <w:rsid w:val="008F1065"/>
    <w:rsid w:val="008F108C"/>
    <w:rsid w:val="008F11BF"/>
    <w:rsid w:val="008F11F6"/>
    <w:rsid w:val="008F1280"/>
    <w:rsid w:val="008F128A"/>
    <w:rsid w:val="008F1336"/>
    <w:rsid w:val="008F1359"/>
    <w:rsid w:val="008F13DE"/>
    <w:rsid w:val="008F13F2"/>
    <w:rsid w:val="008F141D"/>
    <w:rsid w:val="008F142D"/>
    <w:rsid w:val="008F1491"/>
    <w:rsid w:val="008F1660"/>
    <w:rsid w:val="008F16B3"/>
    <w:rsid w:val="008F17AA"/>
    <w:rsid w:val="008F17AF"/>
    <w:rsid w:val="008F1821"/>
    <w:rsid w:val="008F1868"/>
    <w:rsid w:val="008F1872"/>
    <w:rsid w:val="008F193F"/>
    <w:rsid w:val="008F1944"/>
    <w:rsid w:val="008F19FE"/>
    <w:rsid w:val="008F1A59"/>
    <w:rsid w:val="008F1A7B"/>
    <w:rsid w:val="008F1B0D"/>
    <w:rsid w:val="008F1BD9"/>
    <w:rsid w:val="008F1C6E"/>
    <w:rsid w:val="008F1CF8"/>
    <w:rsid w:val="008F1D9D"/>
    <w:rsid w:val="008F1E79"/>
    <w:rsid w:val="008F1EB6"/>
    <w:rsid w:val="008F1EC2"/>
    <w:rsid w:val="008F1F84"/>
    <w:rsid w:val="008F20D1"/>
    <w:rsid w:val="008F20F7"/>
    <w:rsid w:val="008F2221"/>
    <w:rsid w:val="008F22E4"/>
    <w:rsid w:val="008F2309"/>
    <w:rsid w:val="008F236C"/>
    <w:rsid w:val="008F23D5"/>
    <w:rsid w:val="008F23DF"/>
    <w:rsid w:val="008F23EB"/>
    <w:rsid w:val="008F245C"/>
    <w:rsid w:val="008F24C6"/>
    <w:rsid w:val="008F2536"/>
    <w:rsid w:val="008F2555"/>
    <w:rsid w:val="008F259C"/>
    <w:rsid w:val="008F25D9"/>
    <w:rsid w:val="008F26B0"/>
    <w:rsid w:val="008F26C6"/>
    <w:rsid w:val="008F26FE"/>
    <w:rsid w:val="008F271B"/>
    <w:rsid w:val="008F2753"/>
    <w:rsid w:val="008F275F"/>
    <w:rsid w:val="008F276A"/>
    <w:rsid w:val="008F286F"/>
    <w:rsid w:val="008F287A"/>
    <w:rsid w:val="008F28C6"/>
    <w:rsid w:val="008F2914"/>
    <w:rsid w:val="008F2A8B"/>
    <w:rsid w:val="008F2AA9"/>
    <w:rsid w:val="008F2AC1"/>
    <w:rsid w:val="008F2AC7"/>
    <w:rsid w:val="008F2BE5"/>
    <w:rsid w:val="008F2EDE"/>
    <w:rsid w:val="008F2F50"/>
    <w:rsid w:val="008F2F88"/>
    <w:rsid w:val="008F30B7"/>
    <w:rsid w:val="008F30FC"/>
    <w:rsid w:val="008F3190"/>
    <w:rsid w:val="008F319D"/>
    <w:rsid w:val="008F322A"/>
    <w:rsid w:val="008F3383"/>
    <w:rsid w:val="008F3386"/>
    <w:rsid w:val="008F34AF"/>
    <w:rsid w:val="008F34D6"/>
    <w:rsid w:val="008F3514"/>
    <w:rsid w:val="008F3581"/>
    <w:rsid w:val="008F359C"/>
    <w:rsid w:val="008F3763"/>
    <w:rsid w:val="008F3789"/>
    <w:rsid w:val="008F38A4"/>
    <w:rsid w:val="008F391E"/>
    <w:rsid w:val="008F3996"/>
    <w:rsid w:val="008F39FE"/>
    <w:rsid w:val="008F3B00"/>
    <w:rsid w:val="008F3B28"/>
    <w:rsid w:val="008F3BE6"/>
    <w:rsid w:val="008F3C2D"/>
    <w:rsid w:val="008F3C6F"/>
    <w:rsid w:val="008F3CCA"/>
    <w:rsid w:val="008F3D31"/>
    <w:rsid w:val="008F3D5A"/>
    <w:rsid w:val="008F3DF4"/>
    <w:rsid w:val="008F3E34"/>
    <w:rsid w:val="008F3E4B"/>
    <w:rsid w:val="008F3E4D"/>
    <w:rsid w:val="008F3E86"/>
    <w:rsid w:val="008F4038"/>
    <w:rsid w:val="008F4078"/>
    <w:rsid w:val="008F4185"/>
    <w:rsid w:val="008F4290"/>
    <w:rsid w:val="008F42E1"/>
    <w:rsid w:val="008F43C5"/>
    <w:rsid w:val="008F43CA"/>
    <w:rsid w:val="008F43DF"/>
    <w:rsid w:val="008F447D"/>
    <w:rsid w:val="008F44DD"/>
    <w:rsid w:val="008F44F6"/>
    <w:rsid w:val="008F4532"/>
    <w:rsid w:val="008F457A"/>
    <w:rsid w:val="008F4586"/>
    <w:rsid w:val="008F45A5"/>
    <w:rsid w:val="008F45E7"/>
    <w:rsid w:val="008F464F"/>
    <w:rsid w:val="008F46D8"/>
    <w:rsid w:val="008F472C"/>
    <w:rsid w:val="008F4755"/>
    <w:rsid w:val="008F476E"/>
    <w:rsid w:val="008F478D"/>
    <w:rsid w:val="008F485D"/>
    <w:rsid w:val="008F4940"/>
    <w:rsid w:val="008F4948"/>
    <w:rsid w:val="008F4964"/>
    <w:rsid w:val="008F4977"/>
    <w:rsid w:val="008F498D"/>
    <w:rsid w:val="008F4A9B"/>
    <w:rsid w:val="008F4AD0"/>
    <w:rsid w:val="008F4AE4"/>
    <w:rsid w:val="008F4AF5"/>
    <w:rsid w:val="008F4B78"/>
    <w:rsid w:val="008F4C22"/>
    <w:rsid w:val="008F4C6C"/>
    <w:rsid w:val="008F4C77"/>
    <w:rsid w:val="008F4EA9"/>
    <w:rsid w:val="008F4EC0"/>
    <w:rsid w:val="008F4F58"/>
    <w:rsid w:val="008F4F99"/>
    <w:rsid w:val="008F4FC0"/>
    <w:rsid w:val="008F500A"/>
    <w:rsid w:val="008F5020"/>
    <w:rsid w:val="008F50B0"/>
    <w:rsid w:val="008F50FD"/>
    <w:rsid w:val="008F5103"/>
    <w:rsid w:val="008F5130"/>
    <w:rsid w:val="008F513C"/>
    <w:rsid w:val="008F5141"/>
    <w:rsid w:val="008F5199"/>
    <w:rsid w:val="008F519F"/>
    <w:rsid w:val="008F5285"/>
    <w:rsid w:val="008F52D1"/>
    <w:rsid w:val="008F54B1"/>
    <w:rsid w:val="008F5611"/>
    <w:rsid w:val="008F571E"/>
    <w:rsid w:val="008F572D"/>
    <w:rsid w:val="008F5742"/>
    <w:rsid w:val="008F57C1"/>
    <w:rsid w:val="008F57D9"/>
    <w:rsid w:val="008F580B"/>
    <w:rsid w:val="008F5837"/>
    <w:rsid w:val="008F5998"/>
    <w:rsid w:val="008F59E8"/>
    <w:rsid w:val="008F5A23"/>
    <w:rsid w:val="008F5A50"/>
    <w:rsid w:val="008F5A95"/>
    <w:rsid w:val="008F5AA3"/>
    <w:rsid w:val="008F5AE5"/>
    <w:rsid w:val="008F5B2D"/>
    <w:rsid w:val="008F5B63"/>
    <w:rsid w:val="008F5BD0"/>
    <w:rsid w:val="008F5CE4"/>
    <w:rsid w:val="008F5D49"/>
    <w:rsid w:val="008F5D50"/>
    <w:rsid w:val="008F5D5B"/>
    <w:rsid w:val="008F5F87"/>
    <w:rsid w:val="008F5F8E"/>
    <w:rsid w:val="008F61A0"/>
    <w:rsid w:val="008F6231"/>
    <w:rsid w:val="008F6247"/>
    <w:rsid w:val="008F624A"/>
    <w:rsid w:val="008F6292"/>
    <w:rsid w:val="008F62C0"/>
    <w:rsid w:val="008F63CB"/>
    <w:rsid w:val="008F644E"/>
    <w:rsid w:val="008F64A6"/>
    <w:rsid w:val="008F64AA"/>
    <w:rsid w:val="008F655A"/>
    <w:rsid w:val="008F6762"/>
    <w:rsid w:val="008F67C9"/>
    <w:rsid w:val="008F67E6"/>
    <w:rsid w:val="008F68B8"/>
    <w:rsid w:val="008F694F"/>
    <w:rsid w:val="008F6AC1"/>
    <w:rsid w:val="008F6AFB"/>
    <w:rsid w:val="008F6B8D"/>
    <w:rsid w:val="008F6CCB"/>
    <w:rsid w:val="008F6CE0"/>
    <w:rsid w:val="008F6DAC"/>
    <w:rsid w:val="008F6E13"/>
    <w:rsid w:val="008F6E5D"/>
    <w:rsid w:val="008F6E60"/>
    <w:rsid w:val="008F6EBA"/>
    <w:rsid w:val="008F7082"/>
    <w:rsid w:val="008F7108"/>
    <w:rsid w:val="008F7111"/>
    <w:rsid w:val="008F7184"/>
    <w:rsid w:val="008F71F6"/>
    <w:rsid w:val="008F7290"/>
    <w:rsid w:val="008F72B3"/>
    <w:rsid w:val="008F72C2"/>
    <w:rsid w:val="008F7319"/>
    <w:rsid w:val="008F73A5"/>
    <w:rsid w:val="008F7450"/>
    <w:rsid w:val="008F7454"/>
    <w:rsid w:val="008F7494"/>
    <w:rsid w:val="008F7499"/>
    <w:rsid w:val="008F74BB"/>
    <w:rsid w:val="008F7571"/>
    <w:rsid w:val="008F75CB"/>
    <w:rsid w:val="008F76D8"/>
    <w:rsid w:val="008F77CE"/>
    <w:rsid w:val="008F7805"/>
    <w:rsid w:val="008F787C"/>
    <w:rsid w:val="008F78B9"/>
    <w:rsid w:val="008F78FB"/>
    <w:rsid w:val="008F799C"/>
    <w:rsid w:val="008F79BD"/>
    <w:rsid w:val="008F79BF"/>
    <w:rsid w:val="008F7A6A"/>
    <w:rsid w:val="008F7B12"/>
    <w:rsid w:val="008F7C83"/>
    <w:rsid w:val="008F7C87"/>
    <w:rsid w:val="008F7CA0"/>
    <w:rsid w:val="008F7CCF"/>
    <w:rsid w:val="008F7CED"/>
    <w:rsid w:val="008F7E7D"/>
    <w:rsid w:val="008F7E98"/>
    <w:rsid w:val="008F7F62"/>
    <w:rsid w:val="008F7FCA"/>
    <w:rsid w:val="009000DD"/>
    <w:rsid w:val="00900139"/>
    <w:rsid w:val="00900197"/>
    <w:rsid w:val="009002E4"/>
    <w:rsid w:val="00900312"/>
    <w:rsid w:val="009004F3"/>
    <w:rsid w:val="00900542"/>
    <w:rsid w:val="0090060E"/>
    <w:rsid w:val="00900697"/>
    <w:rsid w:val="009006C7"/>
    <w:rsid w:val="009006D5"/>
    <w:rsid w:val="009007E9"/>
    <w:rsid w:val="009007F9"/>
    <w:rsid w:val="009009BD"/>
    <w:rsid w:val="00900A0E"/>
    <w:rsid w:val="00900B39"/>
    <w:rsid w:val="00900C0E"/>
    <w:rsid w:val="00900E8C"/>
    <w:rsid w:val="00900E9A"/>
    <w:rsid w:val="009010BE"/>
    <w:rsid w:val="0090110E"/>
    <w:rsid w:val="0090112A"/>
    <w:rsid w:val="0090112C"/>
    <w:rsid w:val="00901149"/>
    <w:rsid w:val="00901153"/>
    <w:rsid w:val="00901246"/>
    <w:rsid w:val="00901280"/>
    <w:rsid w:val="009013E4"/>
    <w:rsid w:val="00901472"/>
    <w:rsid w:val="009014E3"/>
    <w:rsid w:val="0090155E"/>
    <w:rsid w:val="009015B2"/>
    <w:rsid w:val="009015CF"/>
    <w:rsid w:val="009016BF"/>
    <w:rsid w:val="00901722"/>
    <w:rsid w:val="0090179B"/>
    <w:rsid w:val="009017B4"/>
    <w:rsid w:val="009017BE"/>
    <w:rsid w:val="009018C3"/>
    <w:rsid w:val="0090192E"/>
    <w:rsid w:val="00901944"/>
    <w:rsid w:val="0090195F"/>
    <w:rsid w:val="00901962"/>
    <w:rsid w:val="009019AD"/>
    <w:rsid w:val="009019B6"/>
    <w:rsid w:val="009019D7"/>
    <w:rsid w:val="00901AB6"/>
    <w:rsid w:val="00901B2D"/>
    <w:rsid w:val="00901B91"/>
    <w:rsid w:val="00901BA7"/>
    <w:rsid w:val="00901C1D"/>
    <w:rsid w:val="00901C39"/>
    <w:rsid w:val="00901C3B"/>
    <w:rsid w:val="00901C92"/>
    <w:rsid w:val="00901D3F"/>
    <w:rsid w:val="00901DB9"/>
    <w:rsid w:val="00901DF9"/>
    <w:rsid w:val="00901E94"/>
    <w:rsid w:val="00901F58"/>
    <w:rsid w:val="00901F6A"/>
    <w:rsid w:val="00902141"/>
    <w:rsid w:val="0090217C"/>
    <w:rsid w:val="00902242"/>
    <w:rsid w:val="00902323"/>
    <w:rsid w:val="00902339"/>
    <w:rsid w:val="009024D6"/>
    <w:rsid w:val="00902696"/>
    <w:rsid w:val="00902699"/>
    <w:rsid w:val="009026D1"/>
    <w:rsid w:val="009026D4"/>
    <w:rsid w:val="00902788"/>
    <w:rsid w:val="009027A0"/>
    <w:rsid w:val="009027C6"/>
    <w:rsid w:val="009027CC"/>
    <w:rsid w:val="009027F3"/>
    <w:rsid w:val="00902829"/>
    <w:rsid w:val="0090283A"/>
    <w:rsid w:val="0090295C"/>
    <w:rsid w:val="009029EA"/>
    <w:rsid w:val="00902AC9"/>
    <w:rsid w:val="00902B67"/>
    <w:rsid w:val="00902B86"/>
    <w:rsid w:val="00902D1B"/>
    <w:rsid w:val="00902D52"/>
    <w:rsid w:val="00902DA1"/>
    <w:rsid w:val="00902E0E"/>
    <w:rsid w:val="00902E2B"/>
    <w:rsid w:val="00902E48"/>
    <w:rsid w:val="00902F4B"/>
    <w:rsid w:val="00902FE3"/>
    <w:rsid w:val="00902FF1"/>
    <w:rsid w:val="0090307E"/>
    <w:rsid w:val="0090310B"/>
    <w:rsid w:val="00903133"/>
    <w:rsid w:val="009031A4"/>
    <w:rsid w:val="00903263"/>
    <w:rsid w:val="00903339"/>
    <w:rsid w:val="0090333C"/>
    <w:rsid w:val="00903343"/>
    <w:rsid w:val="009033DA"/>
    <w:rsid w:val="00903482"/>
    <w:rsid w:val="0090349B"/>
    <w:rsid w:val="009034E6"/>
    <w:rsid w:val="00903527"/>
    <w:rsid w:val="009035E0"/>
    <w:rsid w:val="00903623"/>
    <w:rsid w:val="00903665"/>
    <w:rsid w:val="0090377B"/>
    <w:rsid w:val="00903834"/>
    <w:rsid w:val="00903909"/>
    <w:rsid w:val="00903937"/>
    <w:rsid w:val="0090393C"/>
    <w:rsid w:val="00903991"/>
    <w:rsid w:val="00903B2E"/>
    <w:rsid w:val="00903B2F"/>
    <w:rsid w:val="00903B38"/>
    <w:rsid w:val="00903B99"/>
    <w:rsid w:val="00903BA9"/>
    <w:rsid w:val="00903BCB"/>
    <w:rsid w:val="00903C0F"/>
    <w:rsid w:val="00903C97"/>
    <w:rsid w:val="00903CC2"/>
    <w:rsid w:val="00903E76"/>
    <w:rsid w:val="00903F17"/>
    <w:rsid w:val="00903F56"/>
    <w:rsid w:val="00903F90"/>
    <w:rsid w:val="009040C4"/>
    <w:rsid w:val="0090415E"/>
    <w:rsid w:val="009041BC"/>
    <w:rsid w:val="009041F3"/>
    <w:rsid w:val="0090429A"/>
    <w:rsid w:val="009042DC"/>
    <w:rsid w:val="00904416"/>
    <w:rsid w:val="00904418"/>
    <w:rsid w:val="0090451D"/>
    <w:rsid w:val="009045B1"/>
    <w:rsid w:val="0090462F"/>
    <w:rsid w:val="009046DA"/>
    <w:rsid w:val="00904711"/>
    <w:rsid w:val="00904793"/>
    <w:rsid w:val="0090481E"/>
    <w:rsid w:val="00904822"/>
    <w:rsid w:val="00904823"/>
    <w:rsid w:val="00904961"/>
    <w:rsid w:val="009049E4"/>
    <w:rsid w:val="009049F8"/>
    <w:rsid w:val="00904A3C"/>
    <w:rsid w:val="00904A54"/>
    <w:rsid w:val="00904A68"/>
    <w:rsid w:val="00904AAA"/>
    <w:rsid w:val="00904AE0"/>
    <w:rsid w:val="00904BB0"/>
    <w:rsid w:val="00904CBB"/>
    <w:rsid w:val="00904D14"/>
    <w:rsid w:val="00904D42"/>
    <w:rsid w:val="00904F56"/>
    <w:rsid w:val="00905043"/>
    <w:rsid w:val="00905048"/>
    <w:rsid w:val="00905049"/>
    <w:rsid w:val="00905073"/>
    <w:rsid w:val="009050AC"/>
    <w:rsid w:val="009050FC"/>
    <w:rsid w:val="0090514B"/>
    <w:rsid w:val="00905190"/>
    <w:rsid w:val="00905202"/>
    <w:rsid w:val="0090528F"/>
    <w:rsid w:val="00905316"/>
    <w:rsid w:val="009053E5"/>
    <w:rsid w:val="00905552"/>
    <w:rsid w:val="0090571E"/>
    <w:rsid w:val="00905883"/>
    <w:rsid w:val="00905A08"/>
    <w:rsid w:val="00905A48"/>
    <w:rsid w:val="00905A5E"/>
    <w:rsid w:val="00905A98"/>
    <w:rsid w:val="00905C09"/>
    <w:rsid w:val="00905CD3"/>
    <w:rsid w:val="00905D56"/>
    <w:rsid w:val="00905DDC"/>
    <w:rsid w:val="00905DFA"/>
    <w:rsid w:val="00905E11"/>
    <w:rsid w:val="00905E5C"/>
    <w:rsid w:val="00905EFC"/>
    <w:rsid w:val="00905F0A"/>
    <w:rsid w:val="00905F10"/>
    <w:rsid w:val="00905F96"/>
    <w:rsid w:val="00905F99"/>
    <w:rsid w:val="00906069"/>
    <w:rsid w:val="0090608A"/>
    <w:rsid w:val="009060B2"/>
    <w:rsid w:val="009060EB"/>
    <w:rsid w:val="009060F5"/>
    <w:rsid w:val="009061AA"/>
    <w:rsid w:val="00906223"/>
    <w:rsid w:val="00906225"/>
    <w:rsid w:val="009062BE"/>
    <w:rsid w:val="009062FE"/>
    <w:rsid w:val="0090648B"/>
    <w:rsid w:val="009065A3"/>
    <w:rsid w:val="0090664F"/>
    <w:rsid w:val="00906756"/>
    <w:rsid w:val="00906843"/>
    <w:rsid w:val="009068B8"/>
    <w:rsid w:val="009068ED"/>
    <w:rsid w:val="00906934"/>
    <w:rsid w:val="00906968"/>
    <w:rsid w:val="009069D5"/>
    <w:rsid w:val="00906B04"/>
    <w:rsid w:val="00906C11"/>
    <w:rsid w:val="00906C22"/>
    <w:rsid w:val="00906CB6"/>
    <w:rsid w:val="00906D12"/>
    <w:rsid w:val="00906D4C"/>
    <w:rsid w:val="00906D8B"/>
    <w:rsid w:val="00906E4A"/>
    <w:rsid w:val="00906E61"/>
    <w:rsid w:val="00906E65"/>
    <w:rsid w:val="00906E73"/>
    <w:rsid w:val="00906ED2"/>
    <w:rsid w:val="00906FCA"/>
    <w:rsid w:val="00906FE9"/>
    <w:rsid w:val="00907051"/>
    <w:rsid w:val="0090709E"/>
    <w:rsid w:val="009070FB"/>
    <w:rsid w:val="0090712F"/>
    <w:rsid w:val="0090719C"/>
    <w:rsid w:val="009071FF"/>
    <w:rsid w:val="00907215"/>
    <w:rsid w:val="0090729D"/>
    <w:rsid w:val="009073F2"/>
    <w:rsid w:val="00907408"/>
    <w:rsid w:val="009075B7"/>
    <w:rsid w:val="009075C5"/>
    <w:rsid w:val="009075CC"/>
    <w:rsid w:val="009075EB"/>
    <w:rsid w:val="009076A5"/>
    <w:rsid w:val="00907724"/>
    <w:rsid w:val="00907766"/>
    <w:rsid w:val="0090785C"/>
    <w:rsid w:val="009078A5"/>
    <w:rsid w:val="00907980"/>
    <w:rsid w:val="009079B2"/>
    <w:rsid w:val="009079DD"/>
    <w:rsid w:val="00907A5B"/>
    <w:rsid w:val="00907A8F"/>
    <w:rsid w:val="00907A93"/>
    <w:rsid w:val="00907B5A"/>
    <w:rsid w:val="00907BD6"/>
    <w:rsid w:val="00907C74"/>
    <w:rsid w:val="00907CFF"/>
    <w:rsid w:val="00907EE1"/>
    <w:rsid w:val="00910105"/>
    <w:rsid w:val="009101C1"/>
    <w:rsid w:val="009101C4"/>
    <w:rsid w:val="0091041A"/>
    <w:rsid w:val="009105AE"/>
    <w:rsid w:val="009105B2"/>
    <w:rsid w:val="009105C1"/>
    <w:rsid w:val="009106CC"/>
    <w:rsid w:val="00910803"/>
    <w:rsid w:val="00910837"/>
    <w:rsid w:val="00910979"/>
    <w:rsid w:val="00910998"/>
    <w:rsid w:val="009109CF"/>
    <w:rsid w:val="009109EA"/>
    <w:rsid w:val="00910AEA"/>
    <w:rsid w:val="00910B31"/>
    <w:rsid w:val="00910B57"/>
    <w:rsid w:val="00910C1E"/>
    <w:rsid w:val="00910C36"/>
    <w:rsid w:val="00910D82"/>
    <w:rsid w:val="00910E95"/>
    <w:rsid w:val="00910F0A"/>
    <w:rsid w:val="00910F3F"/>
    <w:rsid w:val="00910FEB"/>
    <w:rsid w:val="00910FF4"/>
    <w:rsid w:val="00910FF8"/>
    <w:rsid w:val="0091105E"/>
    <w:rsid w:val="009110EC"/>
    <w:rsid w:val="0091113C"/>
    <w:rsid w:val="0091117F"/>
    <w:rsid w:val="009111B1"/>
    <w:rsid w:val="009111FC"/>
    <w:rsid w:val="00911268"/>
    <w:rsid w:val="00911347"/>
    <w:rsid w:val="009113AB"/>
    <w:rsid w:val="00911406"/>
    <w:rsid w:val="0091148F"/>
    <w:rsid w:val="00911595"/>
    <w:rsid w:val="009115F4"/>
    <w:rsid w:val="009116DF"/>
    <w:rsid w:val="0091170F"/>
    <w:rsid w:val="00911786"/>
    <w:rsid w:val="00911804"/>
    <w:rsid w:val="00911907"/>
    <w:rsid w:val="0091199F"/>
    <w:rsid w:val="00911A78"/>
    <w:rsid w:val="00911AD1"/>
    <w:rsid w:val="00911B24"/>
    <w:rsid w:val="00911BA5"/>
    <w:rsid w:val="00911BB7"/>
    <w:rsid w:val="00911C80"/>
    <w:rsid w:val="00911CF4"/>
    <w:rsid w:val="00911CFF"/>
    <w:rsid w:val="00911D5F"/>
    <w:rsid w:val="00911D80"/>
    <w:rsid w:val="00911E20"/>
    <w:rsid w:val="00911EB9"/>
    <w:rsid w:val="00911F3E"/>
    <w:rsid w:val="0091203A"/>
    <w:rsid w:val="0091238A"/>
    <w:rsid w:val="009123AC"/>
    <w:rsid w:val="0091248E"/>
    <w:rsid w:val="00912552"/>
    <w:rsid w:val="00912598"/>
    <w:rsid w:val="00912733"/>
    <w:rsid w:val="00912734"/>
    <w:rsid w:val="00912740"/>
    <w:rsid w:val="00912847"/>
    <w:rsid w:val="009128E0"/>
    <w:rsid w:val="00912948"/>
    <w:rsid w:val="00912980"/>
    <w:rsid w:val="00912B19"/>
    <w:rsid w:val="00912C2B"/>
    <w:rsid w:val="00912C98"/>
    <w:rsid w:val="00912D2F"/>
    <w:rsid w:val="00912EC2"/>
    <w:rsid w:val="00912F92"/>
    <w:rsid w:val="00912FDB"/>
    <w:rsid w:val="00912FF7"/>
    <w:rsid w:val="00913076"/>
    <w:rsid w:val="00913132"/>
    <w:rsid w:val="0091319A"/>
    <w:rsid w:val="009131A7"/>
    <w:rsid w:val="0091321A"/>
    <w:rsid w:val="009133B4"/>
    <w:rsid w:val="009133C7"/>
    <w:rsid w:val="0091340C"/>
    <w:rsid w:val="009134C5"/>
    <w:rsid w:val="0091355D"/>
    <w:rsid w:val="00913648"/>
    <w:rsid w:val="009136B4"/>
    <w:rsid w:val="0091377D"/>
    <w:rsid w:val="00913799"/>
    <w:rsid w:val="009139E1"/>
    <w:rsid w:val="00913AB9"/>
    <w:rsid w:val="00913AFC"/>
    <w:rsid w:val="00913B54"/>
    <w:rsid w:val="00913B85"/>
    <w:rsid w:val="00913B93"/>
    <w:rsid w:val="00913BC8"/>
    <w:rsid w:val="00913DD8"/>
    <w:rsid w:val="00913E68"/>
    <w:rsid w:val="00913E75"/>
    <w:rsid w:val="00913F26"/>
    <w:rsid w:val="00913F83"/>
    <w:rsid w:val="00913FFB"/>
    <w:rsid w:val="00914163"/>
    <w:rsid w:val="00914192"/>
    <w:rsid w:val="00914199"/>
    <w:rsid w:val="009141CA"/>
    <w:rsid w:val="0091422F"/>
    <w:rsid w:val="0091425F"/>
    <w:rsid w:val="009142F5"/>
    <w:rsid w:val="00914383"/>
    <w:rsid w:val="00914411"/>
    <w:rsid w:val="0091446F"/>
    <w:rsid w:val="009144D4"/>
    <w:rsid w:val="0091458C"/>
    <w:rsid w:val="009145FA"/>
    <w:rsid w:val="00914688"/>
    <w:rsid w:val="009146A4"/>
    <w:rsid w:val="0091477E"/>
    <w:rsid w:val="009147D2"/>
    <w:rsid w:val="009147E2"/>
    <w:rsid w:val="0091486D"/>
    <w:rsid w:val="00914976"/>
    <w:rsid w:val="00914982"/>
    <w:rsid w:val="0091499F"/>
    <w:rsid w:val="009149D4"/>
    <w:rsid w:val="00914A24"/>
    <w:rsid w:val="00914A52"/>
    <w:rsid w:val="00914C0B"/>
    <w:rsid w:val="00914C21"/>
    <w:rsid w:val="00914C41"/>
    <w:rsid w:val="00914D05"/>
    <w:rsid w:val="00914D06"/>
    <w:rsid w:val="00914D5B"/>
    <w:rsid w:val="00914D90"/>
    <w:rsid w:val="00914E22"/>
    <w:rsid w:val="00914E38"/>
    <w:rsid w:val="00914E54"/>
    <w:rsid w:val="00914EDF"/>
    <w:rsid w:val="00914F87"/>
    <w:rsid w:val="00914FFC"/>
    <w:rsid w:val="0091505A"/>
    <w:rsid w:val="009151ED"/>
    <w:rsid w:val="009151F9"/>
    <w:rsid w:val="00915230"/>
    <w:rsid w:val="0091527B"/>
    <w:rsid w:val="009152BF"/>
    <w:rsid w:val="009153FB"/>
    <w:rsid w:val="009154CB"/>
    <w:rsid w:val="00915874"/>
    <w:rsid w:val="009158DB"/>
    <w:rsid w:val="0091597F"/>
    <w:rsid w:val="00915985"/>
    <w:rsid w:val="00915995"/>
    <w:rsid w:val="00915996"/>
    <w:rsid w:val="00915B53"/>
    <w:rsid w:val="00915BB3"/>
    <w:rsid w:val="00915BEC"/>
    <w:rsid w:val="00915C0C"/>
    <w:rsid w:val="00915C4D"/>
    <w:rsid w:val="00915CB2"/>
    <w:rsid w:val="00915D41"/>
    <w:rsid w:val="00915ED2"/>
    <w:rsid w:val="00915ED6"/>
    <w:rsid w:val="00915EE2"/>
    <w:rsid w:val="00915F14"/>
    <w:rsid w:val="00915F21"/>
    <w:rsid w:val="00916015"/>
    <w:rsid w:val="00916032"/>
    <w:rsid w:val="0091606B"/>
    <w:rsid w:val="0091609B"/>
    <w:rsid w:val="0091611C"/>
    <w:rsid w:val="00916253"/>
    <w:rsid w:val="00916282"/>
    <w:rsid w:val="009162A1"/>
    <w:rsid w:val="009162D6"/>
    <w:rsid w:val="0091634F"/>
    <w:rsid w:val="0091639C"/>
    <w:rsid w:val="0091642D"/>
    <w:rsid w:val="0091644D"/>
    <w:rsid w:val="009164BB"/>
    <w:rsid w:val="009164C5"/>
    <w:rsid w:val="009164CD"/>
    <w:rsid w:val="009165B1"/>
    <w:rsid w:val="009165BB"/>
    <w:rsid w:val="009165F9"/>
    <w:rsid w:val="0091672C"/>
    <w:rsid w:val="00916803"/>
    <w:rsid w:val="0091685D"/>
    <w:rsid w:val="0091686D"/>
    <w:rsid w:val="00916A29"/>
    <w:rsid w:val="00916ABD"/>
    <w:rsid w:val="00916B96"/>
    <w:rsid w:val="00916C74"/>
    <w:rsid w:val="00916CAF"/>
    <w:rsid w:val="00916DAC"/>
    <w:rsid w:val="00916DC5"/>
    <w:rsid w:val="00916E4C"/>
    <w:rsid w:val="00916E5D"/>
    <w:rsid w:val="00916F18"/>
    <w:rsid w:val="00916F24"/>
    <w:rsid w:val="00916F7F"/>
    <w:rsid w:val="00916F8A"/>
    <w:rsid w:val="00916FBA"/>
    <w:rsid w:val="00916FBD"/>
    <w:rsid w:val="00916FF7"/>
    <w:rsid w:val="00917140"/>
    <w:rsid w:val="00917192"/>
    <w:rsid w:val="0091722B"/>
    <w:rsid w:val="0091723A"/>
    <w:rsid w:val="00917297"/>
    <w:rsid w:val="009172F8"/>
    <w:rsid w:val="00917355"/>
    <w:rsid w:val="00917361"/>
    <w:rsid w:val="0091754B"/>
    <w:rsid w:val="009175AC"/>
    <w:rsid w:val="009176C9"/>
    <w:rsid w:val="00917704"/>
    <w:rsid w:val="0091775A"/>
    <w:rsid w:val="00917882"/>
    <w:rsid w:val="009178CD"/>
    <w:rsid w:val="009179CB"/>
    <w:rsid w:val="009179EA"/>
    <w:rsid w:val="00917B8B"/>
    <w:rsid w:val="00917BC2"/>
    <w:rsid w:val="00917BD9"/>
    <w:rsid w:val="00917C13"/>
    <w:rsid w:val="00917C8A"/>
    <w:rsid w:val="00917CF9"/>
    <w:rsid w:val="00917E28"/>
    <w:rsid w:val="00917E71"/>
    <w:rsid w:val="00917E8F"/>
    <w:rsid w:val="00917EED"/>
    <w:rsid w:val="00917FCC"/>
    <w:rsid w:val="0092006D"/>
    <w:rsid w:val="0092012C"/>
    <w:rsid w:val="00920253"/>
    <w:rsid w:val="0092030E"/>
    <w:rsid w:val="009203F2"/>
    <w:rsid w:val="009204B1"/>
    <w:rsid w:val="009204DE"/>
    <w:rsid w:val="0092057B"/>
    <w:rsid w:val="009205E2"/>
    <w:rsid w:val="009205FC"/>
    <w:rsid w:val="00920958"/>
    <w:rsid w:val="00920995"/>
    <w:rsid w:val="00920A15"/>
    <w:rsid w:val="00920A21"/>
    <w:rsid w:val="00920B27"/>
    <w:rsid w:val="00920D50"/>
    <w:rsid w:val="00920DBE"/>
    <w:rsid w:val="00920DC1"/>
    <w:rsid w:val="00920DDE"/>
    <w:rsid w:val="0092109A"/>
    <w:rsid w:val="0092110C"/>
    <w:rsid w:val="0092118D"/>
    <w:rsid w:val="009212F2"/>
    <w:rsid w:val="00921407"/>
    <w:rsid w:val="00921469"/>
    <w:rsid w:val="00921527"/>
    <w:rsid w:val="0092171E"/>
    <w:rsid w:val="00921A87"/>
    <w:rsid w:val="00921AB2"/>
    <w:rsid w:val="00921C1A"/>
    <w:rsid w:val="00921D05"/>
    <w:rsid w:val="00921D49"/>
    <w:rsid w:val="00921DF6"/>
    <w:rsid w:val="00921E9C"/>
    <w:rsid w:val="00921ECA"/>
    <w:rsid w:val="0092200C"/>
    <w:rsid w:val="00922099"/>
    <w:rsid w:val="00922159"/>
    <w:rsid w:val="0092215C"/>
    <w:rsid w:val="009221EF"/>
    <w:rsid w:val="00922206"/>
    <w:rsid w:val="009222A3"/>
    <w:rsid w:val="00922369"/>
    <w:rsid w:val="00922423"/>
    <w:rsid w:val="00922425"/>
    <w:rsid w:val="0092243B"/>
    <w:rsid w:val="0092244A"/>
    <w:rsid w:val="009225A3"/>
    <w:rsid w:val="00922670"/>
    <w:rsid w:val="009227E0"/>
    <w:rsid w:val="009228AA"/>
    <w:rsid w:val="00922948"/>
    <w:rsid w:val="00922A8C"/>
    <w:rsid w:val="00922B02"/>
    <w:rsid w:val="00922B5E"/>
    <w:rsid w:val="00922E10"/>
    <w:rsid w:val="00922F3F"/>
    <w:rsid w:val="00922FAA"/>
    <w:rsid w:val="00922FAB"/>
    <w:rsid w:val="0092303A"/>
    <w:rsid w:val="009230B1"/>
    <w:rsid w:val="00923102"/>
    <w:rsid w:val="00923179"/>
    <w:rsid w:val="0092318D"/>
    <w:rsid w:val="0092323A"/>
    <w:rsid w:val="0092324B"/>
    <w:rsid w:val="00923272"/>
    <w:rsid w:val="009232B0"/>
    <w:rsid w:val="00923361"/>
    <w:rsid w:val="009233DD"/>
    <w:rsid w:val="009233FF"/>
    <w:rsid w:val="00923424"/>
    <w:rsid w:val="009234F5"/>
    <w:rsid w:val="0092350F"/>
    <w:rsid w:val="009235FD"/>
    <w:rsid w:val="00923679"/>
    <w:rsid w:val="00923760"/>
    <w:rsid w:val="00923771"/>
    <w:rsid w:val="009237B0"/>
    <w:rsid w:val="00923818"/>
    <w:rsid w:val="009238A7"/>
    <w:rsid w:val="0092392D"/>
    <w:rsid w:val="009239BE"/>
    <w:rsid w:val="00923A08"/>
    <w:rsid w:val="00923AC5"/>
    <w:rsid w:val="00923AFF"/>
    <w:rsid w:val="00923BB7"/>
    <w:rsid w:val="00923D5C"/>
    <w:rsid w:val="00923DCC"/>
    <w:rsid w:val="00923E22"/>
    <w:rsid w:val="00923E93"/>
    <w:rsid w:val="00923FA1"/>
    <w:rsid w:val="00924053"/>
    <w:rsid w:val="0092406E"/>
    <w:rsid w:val="009240A8"/>
    <w:rsid w:val="009241AE"/>
    <w:rsid w:val="0092421D"/>
    <w:rsid w:val="00924236"/>
    <w:rsid w:val="00924389"/>
    <w:rsid w:val="00924401"/>
    <w:rsid w:val="0092441A"/>
    <w:rsid w:val="009245F6"/>
    <w:rsid w:val="00924626"/>
    <w:rsid w:val="0092467D"/>
    <w:rsid w:val="009246A7"/>
    <w:rsid w:val="0092472B"/>
    <w:rsid w:val="009247D7"/>
    <w:rsid w:val="00924820"/>
    <w:rsid w:val="0092488D"/>
    <w:rsid w:val="0092489B"/>
    <w:rsid w:val="00924969"/>
    <w:rsid w:val="00924A35"/>
    <w:rsid w:val="00924A3A"/>
    <w:rsid w:val="00924A60"/>
    <w:rsid w:val="00924A6F"/>
    <w:rsid w:val="00924AAF"/>
    <w:rsid w:val="00924BC5"/>
    <w:rsid w:val="00924BFB"/>
    <w:rsid w:val="00924CB8"/>
    <w:rsid w:val="00924CE7"/>
    <w:rsid w:val="00924D01"/>
    <w:rsid w:val="00924D06"/>
    <w:rsid w:val="00924E02"/>
    <w:rsid w:val="00924E2E"/>
    <w:rsid w:val="00924E5D"/>
    <w:rsid w:val="0092505E"/>
    <w:rsid w:val="009250E6"/>
    <w:rsid w:val="009251D1"/>
    <w:rsid w:val="00925208"/>
    <w:rsid w:val="009252E9"/>
    <w:rsid w:val="00925313"/>
    <w:rsid w:val="00925333"/>
    <w:rsid w:val="0092538F"/>
    <w:rsid w:val="00925404"/>
    <w:rsid w:val="00925450"/>
    <w:rsid w:val="00925532"/>
    <w:rsid w:val="009255AE"/>
    <w:rsid w:val="009255B2"/>
    <w:rsid w:val="0092561B"/>
    <w:rsid w:val="0092575F"/>
    <w:rsid w:val="00925775"/>
    <w:rsid w:val="009258FE"/>
    <w:rsid w:val="00925AA5"/>
    <w:rsid w:val="00925AC7"/>
    <w:rsid w:val="00925B0B"/>
    <w:rsid w:val="00925B57"/>
    <w:rsid w:val="00925BA9"/>
    <w:rsid w:val="00925C12"/>
    <w:rsid w:val="00925CBB"/>
    <w:rsid w:val="00925D1C"/>
    <w:rsid w:val="00925D35"/>
    <w:rsid w:val="00925D9D"/>
    <w:rsid w:val="00925DA0"/>
    <w:rsid w:val="00925F37"/>
    <w:rsid w:val="00925FED"/>
    <w:rsid w:val="00926001"/>
    <w:rsid w:val="00926064"/>
    <w:rsid w:val="0092608D"/>
    <w:rsid w:val="009260AF"/>
    <w:rsid w:val="0092617D"/>
    <w:rsid w:val="00926366"/>
    <w:rsid w:val="00926399"/>
    <w:rsid w:val="009263E9"/>
    <w:rsid w:val="009263F6"/>
    <w:rsid w:val="00926516"/>
    <w:rsid w:val="00926544"/>
    <w:rsid w:val="0092655F"/>
    <w:rsid w:val="00926584"/>
    <w:rsid w:val="009265BC"/>
    <w:rsid w:val="009265F1"/>
    <w:rsid w:val="0092661C"/>
    <w:rsid w:val="0092668F"/>
    <w:rsid w:val="009266C8"/>
    <w:rsid w:val="009266EF"/>
    <w:rsid w:val="009266F7"/>
    <w:rsid w:val="00926745"/>
    <w:rsid w:val="00926765"/>
    <w:rsid w:val="00926879"/>
    <w:rsid w:val="009268C8"/>
    <w:rsid w:val="009268F5"/>
    <w:rsid w:val="009269A7"/>
    <w:rsid w:val="00926B88"/>
    <w:rsid w:val="00926BDE"/>
    <w:rsid w:val="00926BF2"/>
    <w:rsid w:val="00926C0F"/>
    <w:rsid w:val="00926C67"/>
    <w:rsid w:val="00926C8F"/>
    <w:rsid w:val="00926C9A"/>
    <w:rsid w:val="00926D0B"/>
    <w:rsid w:val="00926D2A"/>
    <w:rsid w:val="00926DC8"/>
    <w:rsid w:val="00926EBC"/>
    <w:rsid w:val="00926F0A"/>
    <w:rsid w:val="0092702E"/>
    <w:rsid w:val="00927092"/>
    <w:rsid w:val="0092738B"/>
    <w:rsid w:val="009273BA"/>
    <w:rsid w:val="00927439"/>
    <w:rsid w:val="00927487"/>
    <w:rsid w:val="009274B4"/>
    <w:rsid w:val="009276B3"/>
    <w:rsid w:val="00927710"/>
    <w:rsid w:val="00927789"/>
    <w:rsid w:val="00927801"/>
    <w:rsid w:val="00927809"/>
    <w:rsid w:val="00927856"/>
    <w:rsid w:val="00927937"/>
    <w:rsid w:val="009279CB"/>
    <w:rsid w:val="009279FA"/>
    <w:rsid w:val="00927A25"/>
    <w:rsid w:val="00927A8E"/>
    <w:rsid w:val="00927AEA"/>
    <w:rsid w:val="00927B64"/>
    <w:rsid w:val="00927BA9"/>
    <w:rsid w:val="00927BE9"/>
    <w:rsid w:val="00927C45"/>
    <w:rsid w:val="00927CF2"/>
    <w:rsid w:val="00927D3D"/>
    <w:rsid w:val="00927E2F"/>
    <w:rsid w:val="009300F2"/>
    <w:rsid w:val="0093013E"/>
    <w:rsid w:val="00930177"/>
    <w:rsid w:val="009301CA"/>
    <w:rsid w:val="00930263"/>
    <w:rsid w:val="00930410"/>
    <w:rsid w:val="00930447"/>
    <w:rsid w:val="0093044B"/>
    <w:rsid w:val="009304D9"/>
    <w:rsid w:val="009305C1"/>
    <w:rsid w:val="009305D2"/>
    <w:rsid w:val="009305E9"/>
    <w:rsid w:val="00930699"/>
    <w:rsid w:val="009307C5"/>
    <w:rsid w:val="009307E9"/>
    <w:rsid w:val="0093082A"/>
    <w:rsid w:val="0093087C"/>
    <w:rsid w:val="0093089B"/>
    <w:rsid w:val="009308F5"/>
    <w:rsid w:val="00930989"/>
    <w:rsid w:val="00930A3C"/>
    <w:rsid w:val="00930A98"/>
    <w:rsid w:val="00930B25"/>
    <w:rsid w:val="00930B56"/>
    <w:rsid w:val="00930BC9"/>
    <w:rsid w:val="00930D07"/>
    <w:rsid w:val="00930D25"/>
    <w:rsid w:val="00930D5C"/>
    <w:rsid w:val="00930DAA"/>
    <w:rsid w:val="00930DCE"/>
    <w:rsid w:val="00930ED3"/>
    <w:rsid w:val="00930FC3"/>
    <w:rsid w:val="00930FC4"/>
    <w:rsid w:val="00931064"/>
    <w:rsid w:val="00931076"/>
    <w:rsid w:val="00931145"/>
    <w:rsid w:val="009311AA"/>
    <w:rsid w:val="00931266"/>
    <w:rsid w:val="009312DF"/>
    <w:rsid w:val="009312F8"/>
    <w:rsid w:val="0093136E"/>
    <w:rsid w:val="0093139D"/>
    <w:rsid w:val="009313D6"/>
    <w:rsid w:val="0093153B"/>
    <w:rsid w:val="0093167C"/>
    <w:rsid w:val="009316B3"/>
    <w:rsid w:val="00931752"/>
    <w:rsid w:val="009317B3"/>
    <w:rsid w:val="00931881"/>
    <w:rsid w:val="009318A5"/>
    <w:rsid w:val="009318C6"/>
    <w:rsid w:val="009318D7"/>
    <w:rsid w:val="009318FA"/>
    <w:rsid w:val="00931984"/>
    <w:rsid w:val="009319DE"/>
    <w:rsid w:val="00931A4B"/>
    <w:rsid w:val="00931A7A"/>
    <w:rsid w:val="00931A80"/>
    <w:rsid w:val="00931B47"/>
    <w:rsid w:val="00931B99"/>
    <w:rsid w:val="00931C1E"/>
    <w:rsid w:val="00931C7B"/>
    <w:rsid w:val="00931CF5"/>
    <w:rsid w:val="00931D54"/>
    <w:rsid w:val="00931DF6"/>
    <w:rsid w:val="00931E7E"/>
    <w:rsid w:val="00931EC8"/>
    <w:rsid w:val="00931EDF"/>
    <w:rsid w:val="00931EE6"/>
    <w:rsid w:val="00931F25"/>
    <w:rsid w:val="00931F3D"/>
    <w:rsid w:val="00931F96"/>
    <w:rsid w:val="00932016"/>
    <w:rsid w:val="009320D4"/>
    <w:rsid w:val="00932109"/>
    <w:rsid w:val="00932203"/>
    <w:rsid w:val="009322DE"/>
    <w:rsid w:val="00932326"/>
    <w:rsid w:val="00932366"/>
    <w:rsid w:val="00932406"/>
    <w:rsid w:val="0093253A"/>
    <w:rsid w:val="00932554"/>
    <w:rsid w:val="009325D2"/>
    <w:rsid w:val="0093260F"/>
    <w:rsid w:val="00932633"/>
    <w:rsid w:val="00932719"/>
    <w:rsid w:val="00932755"/>
    <w:rsid w:val="009327B9"/>
    <w:rsid w:val="009328E5"/>
    <w:rsid w:val="00932983"/>
    <w:rsid w:val="009329FC"/>
    <w:rsid w:val="00932AB4"/>
    <w:rsid w:val="00932B5E"/>
    <w:rsid w:val="00932C75"/>
    <w:rsid w:val="00932DCA"/>
    <w:rsid w:val="00932F9E"/>
    <w:rsid w:val="00932FAD"/>
    <w:rsid w:val="00932FCC"/>
    <w:rsid w:val="00932FE6"/>
    <w:rsid w:val="00932FF4"/>
    <w:rsid w:val="0093304B"/>
    <w:rsid w:val="009330E6"/>
    <w:rsid w:val="0093316D"/>
    <w:rsid w:val="00933195"/>
    <w:rsid w:val="00933197"/>
    <w:rsid w:val="009331A6"/>
    <w:rsid w:val="009331DB"/>
    <w:rsid w:val="00933223"/>
    <w:rsid w:val="00933277"/>
    <w:rsid w:val="00933291"/>
    <w:rsid w:val="00933307"/>
    <w:rsid w:val="00933327"/>
    <w:rsid w:val="00933364"/>
    <w:rsid w:val="0093336E"/>
    <w:rsid w:val="009333EC"/>
    <w:rsid w:val="00933463"/>
    <w:rsid w:val="009334A2"/>
    <w:rsid w:val="009334AA"/>
    <w:rsid w:val="009334E4"/>
    <w:rsid w:val="0093355E"/>
    <w:rsid w:val="00933593"/>
    <w:rsid w:val="009335EA"/>
    <w:rsid w:val="0093361A"/>
    <w:rsid w:val="00933654"/>
    <w:rsid w:val="00933695"/>
    <w:rsid w:val="009336D5"/>
    <w:rsid w:val="009336F5"/>
    <w:rsid w:val="0093373F"/>
    <w:rsid w:val="0093375B"/>
    <w:rsid w:val="0093375D"/>
    <w:rsid w:val="009337A5"/>
    <w:rsid w:val="009337A6"/>
    <w:rsid w:val="009338D9"/>
    <w:rsid w:val="00933A80"/>
    <w:rsid w:val="00933B0C"/>
    <w:rsid w:val="00933B68"/>
    <w:rsid w:val="00933B7C"/>
    <w:rsid w:val="00933B94"/>
    <w:rsid w:val="00933B9C"/>
    <w:rsid w:val="00933C47"/>
    <w:rsid w:val="00933C6C"/>
    <w:rsid w:val="00933C9C"/>
    <w:rsid w:val="00933CCA"/>
    <w:rsid w:val="00933CE3"/>
    <w:rsid w:val="00933D2D"/>
    <w:rsid w:val="00933D4B"/>
    <w:rsid w:val="00933D6F"/>
    <w:rsid w:val="00933DD7"/>
    <w:rsid w:val="00933E07"/>
    <w:rsid w:val="00933EC4"/>
    <w:rsid w:val="00933FC8"/>
    <w:rsid w:val="0093403F"/>
    <w:rsid w:val="0093428A"/>
    <w:rsid w:val="009344A6"/>
    <w:rsid w:val="0093470D"/>
    <w:rsid w:val="00934738"/>
    <w:rsid w:val="0093476A"/>
    <w:rsid w:val="0093481D"/>
    <w:rsid w:val="009348CC"/>
    <w:rsid w:val="009348CF"/>
    <w:rsid w:val="009348D9"/>
    <w:rsid w:val="00934946"/>
    <w:rsid w:val="00934A46"/>
    <w:rsid w:val="00934AD9"/>
    <w:rsid w:val="00934B03"/>
    <w:rsid w:val="00934D04"/>
    <w:rsid w:val="00934D2F"/>
    <w:rsid w:val="00934D4D"/>
    <w:rsid w:val="00934D6A"/>
    <w:rsid w:val="00934D7A"/>
    <w:rsid w:val="00934D89"/>
    <w:rsid w:val="00934E8C"/>
    <w:rsid w:val="00934F8C"/>
    <w:rsid w:val="009350F2"/>
    <w:rsid w:val="0093512F"/>
    <w:rsid w:val="009351D3"/>
    <w:rsid w:val="009351EF"/>
    <w:rsid w:val="00935225"/>
    <w:rsid w:val="0093527F"/>
    <w:rsid w:val="009352D0"/>
    <w:rsid w:val="0093537D"/>
    <w:rsid w:val="00935398"/>
    <w:rsid w:val="0093540D"/>
    <w:rsid w:val="00935421"/>
    <w:rsid w:val="0093542E"/>
    <w:rsid w:val="00935690"/>
    <w:rsid w:val="009356AF"/>
    <w:rsid w:val="00935831"/>
    <w:rsid w:val="0093587A"/>
    <w:rsid w:val="009358B7"/>
    <w:rsid w:val="00935A52"/>
    <w:rsid w:val="00935A59"/>
    <w:rsid w:val="00935AD1"/>
    <w:rsid w:val="00935B36"/>
    <w:rsid w:val="00935C25"/>
    <w:rsid w:val="00935C58"/>
    <w:rsid w:val="00935D19"/>
    <w:rsid w:val="00935D7F"/>
    <w:rsid w:val="00935DE1"/>
    <w:rsid w:val="00935E05"/>
    <w:rsid w:val="00935E6C"/>
    <w:rsid w:val="00935E7E"/>
    <w:rsid w:val="00935F94"/>
    <w:rsid w:val="00935FD7"/>
    <w:rsid w:val="00936025"/>
    <w:rsid w:val="009360E2"/>
    <w:rsid w:val="0093610B"/>
    <w:rsid w:val="0093613A"/>
    <w:rsid w:val="0093625D"/>
    <w:rsid w:val="009362BE"/>
    <w:rsid w:val="00936370"/>
    <w:rsid w:val="0093646B"/>
    <w:rsid w:val="00936481"/>
    <w:rsid w:val="00936483"/>
    <w:rsid w:val="009364C1"/>
    <w:rsid w:val="009365AD"/>
    <w:rsid w:val="009365C9"/>
    <w:rsid w:val="009365ED"/>
    <w:rsid w:val="00936635"/>
    <w:rsid w:val="00936652"/>
    <w:rsid w:val="00936663"/>
    <w:rsid w:val="009366CE"/>
    <w:rsid w:val="009366EB"/>
    <w:rsid w:val="00936712"/>
    <w:rsid w:val="009367AF"/>
    <w:rsid w:val="009367DA"/>
    <w:rsid w:val="00936801"/>
    <w:rsid w:val="0093697C"/>
    <w:rsid w:val="009369F7"/>
    <w:rsid w:val="00936A36"/>
    <w:rsid w:val="00936B40"/>
    <w:rsid w:val="00936CF1"/>
    <w:rsid w:val="00936D30"/>
    <w:rsid w:val="00936D4C"/>
    <w:rsid w:val="00936D64"/>
    <w:rsid w:val="00936DE5"/>
    <w:rsid w:val="00936E7F"/>
    <w:rsid w:val="00936EA0"/>
    <w:rsid w:val="00936EDF"/>
    <w:rsid w:val="00936FE1"/>
    <w:rsid w:val="00936FF7"/>
    <w:rsid w:val="00937044"/>
    <w:rsid w:val="00937074"/>
    <w:rsid w:val="00937089"/>
    <w:rsid w:val="0093717A"/>
    <w:rsid w:val="009372CD"/>
    <w:rsid w:val="00937332"/>
    <w:rsid w:val="00937397"/>
    <w:rsid w:val="0093747C"/>
    <w:rsid w:val="00937544"/>
    <w:rsid w:val="009375EC"/>
    <w:rsid w:val="009375F4"/>
    <w:rsid w:val="00937621"/>
    <w:rsid w:val="00937670"/>
    <w:rsid w:val="009376B2"/>
    <w:rsid w:val="0093775E"/>
    <w:rsid w:val="00937768"/>
    <w:rsid w:val="009377B7"/>
    <w:rsid w:val="00937836"/>
    <w:rsid w:val="00937898"/>
    <w:rsid w:val="009378F3"/>
    <w:rsid w:val="00937964"/>
    <w:rsid w:val="009379CF"/>
    <w:rsid w:val="00937AF1"/>
    <w:rsid w:val="00937AF5"/>
    <w:rsid w:val="00937B02"/>
    <w:rsid w:val="00937C84"/>
    <w:rsid w:val="00937CB4"/>
    <w:rsid w:val="00937D0F"/>
    <w:rsid w:val="00937D61"/>
    <w:rsid w:val="00937DD1"/>
    <w:rsid w:val="00937F17"/>
    <w:rsid w:val="00937FA7"/>
    <w:rsid w:val="00937FC0"/>
    <w:rsid w:val="0094002F"/>
    <w:rsid w:val="009400B4"/>
    <w:rsid w:val="00940120"/>
    <w:rsid w:val="0094015E"/>
    <w:rsid w:val="0094019C"/>
    <w:rsid w:val="0094019D"/>
    <w:rsid w:val="009401B1"/>
    <w:rsid w:val="0094022D"/>
    <w:rsid w:val="00940245"/>
    <w:rsid w:val="0094025E"/>
    <w:rsid w:val="00940281"/>
    <w:rsid w:val="00940305"/>
    <w:rsid w:val="00940364"/>
    <w:rsid w:val="00940379"/>
    <w:rsid w:val="009403D8"/>
    <w:rsid w:val="00940483"/>
    <w:rsid w:val="009404ED"/>
    <w:rsid w:val="00940586"/>
    <w:rsid w:val="009405A0"/>
    <w:rsid w:val="009405E3"/>
    <w:rsid w:val="0094077C"/>
    <w:rsid w:val="009407A9"/>
    <w:rsid w:val="009407B3"/>
    <w:rsid w:val="00940817"/>
    <w:rsid w:val="0094087D"/>
    <w:rsid w:val="00940959"/>
    <w:rsid w:val="00940976"/>
    <w:rsid w:val="0094098B"/>
    <w:rsid w:val="009409AC"/>
    <w:rsid w:val="00940AB7"/>
    <w:rsid w:val="00940C00"/>
    <w:rsid w:val="00940C1D"/>
    <w:rsid w:val="00940C59"/>
    <w:rsid w:val="00940D5A"/>
    <w:rsid w:val="00940D78"/>
    <w:rsid w:val="00940E62"/>
    <w:rsid w:val="00940E9E"/>
    <w:rsid w:val="00940F1F"/>
    <w:rsid w:val="00940F33"/>
    <w:rsid w:val="00940F5D"/>
    <w:rsid w:val="00940F71"/>
    <w:rsid w:val="00941041"/>
    <w:rsid w:val="0094107D"/>
    <w:rsid w:val="00941246"/>
    <w:rsid w:val="00941438"/>
    <w:rsid w:val="009415BD"/>
    <w:rsid w:val="00941688"/>
    <w:rsid w:val="009416B0"/>
    <w:rsid w:val="0094174C"/>
    <w:rsid w:val="00941767"/>
    <w:rsid w:val="0094177B"/>
    <w:rsid w:val="0094179A"/>
    <w:rsid w:val="009417BC"/>
    <w:rsid w:val="009417EA"/>
    <w:rsid w:val="0094185E"/>
    <w:rsid w:val="00941868"/>
    <w:rsid w:val="0094188A"/>
    <w:rsid w:val="009418FE"/>
    <w:rsid w:val="00941A26"/>
    <w:rsid w:val="00941AA7"/>
    <w:rsid w:val="00941B48"/>
    <w:rsid w:val="00941B6D"/>
    <w:rsid w:val="00941C3D"/>
    <w:rsid w:val="00941CB6"/>
    <w:rsid w:val="00941CC8"/>
    <w:rsid w:val="00941D13"/>
    <w:rsid w:val="00941D62"/>
    <w:rsid w:val="00941D83"/>
    <w:rsid w:val="00941ED3"/>
    <w:rsid w:val="00941F19"/>
    <w:rsid w:val="00941F76"/>
    <w:rsid w:val="00942135"/>
    <w:rsid w:val="0094217A"/>
    <w:rsid w:val="009421AF"/>
    <w:rsid w:val="009421C3"/>
    <w:rsid w:val="0094225D"/>
    <w:rsid w:val="009422F2"/>
    <w:rsid w:val="0094235A"/>
    <w:rsid w:val="00942369"/>
    <w:rsid w:val="00942374"/>
    <w:rsid w:val="00942419"/>
    <w:rsid w:val="00942448"/>
    <w:rsid w:val="00942451"/>
    <w:rsid w:val="00942483"/>
    <w:rsid w:val="009425CC"/>
    <w:rsid w:val="009425DE"/>
    <w:rsid w:val="0094261C"/>
    <w:rsid w:val="00942815"/>
    <w:rsid w:val="0094281F"/>
    <w:rsid w:val="00942830"/>
    <w:rsid w:val="00942850"/>
    <w:rsid w:val="009428B6"/>
    <w:rsid w:val="009429EF"/>
    <w:rsid w:val="00942A4C"/>
    <w:rsid w:val="00942A95"/>
    <w:rsid w:val="00942B29"/>
    <w:rsid w:val="00942B9F"/>
    <w:rsid w:val="00942BA2"/>
    <w:rsid w:val="00942C11"/>
    <w:rsid w:val="00942CFA"/>
    <w:rsid w:val="00942D36"/>
    <w:rsid w:val="00942D76"/>
    <w:rsid w:val="00942DCC"/>
    <w:rsid w:val="00942DE7"/>
    <w:rsid w:val="00942DF8"/>
    <w:rsid w:val="00942E20"/>
    <w:rsid w:val="00942E22"/>
    <w:rsid w:val="00942EC4"/>
    <w:rsid w:val="00942F34"/>
    <w:rsid w:val="00943032"/>
    <w:rsid w:val="0094303F"/>
    <w:rsid w:val="00943099"/>
    <w:rsid w:val="009430EC"/>
    <w:rsid w:val="0094314B"/>
    <w:rsid w:val="00943174"/>
    <w:rsid w:val="00943195"/>
    <w:rsid w:val="0094319A"/>
    <w:rsid w:val="0094319B"/>
    <w:rsid w:val="0094325B"/>
    <w:rsid w:val="009432C2"/>
    <w:rsid w:val="00943340"/>
    <w:rsid w:val="00943362"/>
    <w:rsid w:val="00943387"/>
    <w:rsid w:val="009434CD"/>
    <w:rsid w:val="009434D1"/>
    <w:rsid w:val="009434F5"/>
    <w:rsid w:val="0094351F"/>
    <w:rsid w:val="009435C1"/>
    <w:rsid w:val="009435EA"/>
    <w:rsid w:val="009436BD"/>
    <w:rsid w:val="0094373B"/>
    <w:rsid w:val="0094374E"/>
    <w:rsid w:val="0094375A"/>
    <w:rsid w:val="00943784"/>
    <w:rsid w:val="009437B6"/>
    <w:rsid w:val="0094388F"/>
    <w:rsid w:val="00943960"/>
    <w:rsid w:val="00943A02"/>
    <w:rsid w:val="00943AF1"/>
    <w:rsid w:val="00943B28"/>
    <w:rsid w:val="00943BBE"/>
    <w:rsid w:val="00943C9F"/>
    <w:rsid w:val="00943CC9"/>
    <w:rsid w:val="00943D03"/>
    <w:rsid w:val="00943D36"/>
    <w:rsid w:val="00943DA5"/>
    <w:rsid w:val="00943E1A"/>
    <w:rsid w:val="00943E6C"/>
    <w:rsid w:val="00943EE6"/>
    <w:rsid w:val="00943FED"/>
    <w:rsid w:val="00943FF3"/>
    <w:rsid w:val="00944124"/>
    <w:rsid w:val="0094412E"/>
    <w:rsid w:val="00944155"/>
    <w:rsid w:val="009441CE"/>
    <w:rsid w:val="00944218"/>
    <w:rsid w:val="0094423F"/>
    <w:rsid w:val="00944277"/>
    <w:rsid w:val="009442FD"/>
    <w:rsid w:val="00944357"/>
    <w:rsid w:val="0094441D"/>
    <w:rsid w:val="009444C1"/>
    <w:rsid w:val="009444E9"/>
    <w:rsid w:val="00944515"/>
    <w:rsid w:val="0094467E"/>
    <w:rsid w:val="009446FB"/>
    <w:rsid w:val="00944774"/>
    <w:rsid w:val="009447B9"/>
    <w:rsid w:val="00944808"/>
    <w:rsid w:val="009448B1"/>
    <w:rsid w:val="009448F0"/>
    <w:rsid w:val="00944914"/>
    <w:rsid w:val="00944917"/>
    <w:rsid w:val="009449A1"/>
    <w:rsid w:val="00944A9F"/>
    <w:rsid w:val="00944B16"/>
    <w:rsid w:val="00944B97"/>
    <w:rsid w:val="00944C02"/>
    <w:rsid w:val="00944C51"/>
    <w:rsid w:val="00944C63"/>
    <w:rsid w:val="00944D4E"/>
    <w:rsid w:val="00944DB3"/>
    <w:rsid w:val="00944E1C"/>
    <w:rsid w:val="00944E63"/>
    <w:rsid w:val="00944ECB"/>
    <w:rsid w:val="00944FE6"/>
    <w:rsid w:val="00944FE9"/>
    <w:rsid w:val="0094513B"/>
    <w:rsid w:val="00945144"/>
    <w:rsid w:val="009451F9"/>
    <w:rsid w:val="0094532F"/>
    <w:rsid w:val="0094535A"/>
    <w:rsid w:val="009454B6"/>
    <w:rsid w:val="009454FD"/>
    <w:rsid w:val="0094556A"/>
    <w:rsid w:val="0094557F"/>
    <w:rsid w:val="0094562E"/>
    <w:rsid w:val="009456CF"/>
    <w:rsid w:val="009456F7"/>
    <w:rsid w:val="00945769"/>
    <w:rsid w:val="00945776"/>
    <w:rsid w:val="00945805"/>
    <w:rsid w:val="009458B2"/>
    <w:rsid w:val="009458F3"/>
    <w:rsid w:val="00945962"/>
    <w:rsid w:val="00945984"/>
    <w:rsid w:val="00945A45"/>
    <w:rsid w:val="00945A4A"/>
    <w:rsid w:val="00945A5E"/>
    <w:rsid w:val="00945B45"/>
    <w:rsid w:val="00945C64"/>
    <w:rsid w:val="00945C94"/>
    <w:rsid w:val="00945CA5"/>
    <w:rsid w:val="00945CCC"/>
    <w:rsid w:val="00945D16"/>
    <w:rsid w:val="00945D6F"/>
    <w:rsid w:val="00945DB1"/>
    <w:rsid w:val="00945E0C"/>
    <w:rsid w:val="00945F51"/>
    <w:rsid w:val="00945FDB"/>
    <w:rsid w:val="009460AF"/>
    <w:rsid w:val="0094613C"/>
    <w:rsid w:val="00946150"/>
    <w:rsid w:val="00946216"/>
    <w:rsid w:val="00946244"/>
    <w:rsid w:val="0094629E"/>
    <w:rsid w:val="009462A3"/>
    <w:rsid w:val="0094634D"/>
    <w:rsid w:val="0094635F"/>
    <w:rsid w:val="0094638E"/>
    <w:rsid w:val="00946398"/>
    <w:rsid w:val="009463F3"/>
    <w:rsid w:val="0094644B"/>
    <w:rsid w:val="00946488"/>
    <w:rsid w:val="0094658E"/>
    <w:rsid w:val="009465B2"/>
    <w:rsid w:val="00946617"/>
    <w:rsid w:val="009467B9"/>
    <w:rsid w:val="00946834"/>
    <w:rsid w:val="0094689F"/>
    <w:rsid w:val="009468AF"/>
    <w:rsid w:val="009468FD"/>
    <w:rsid w:val="00946920"/>
    <w:rsid w:val="00946924"/>
    <w:rsid w:val="00946A9D"/>
    <w:rsid w:val="00946ACF"/>
    <w:rsid w:val="00946BB5"/>
    <w:rsid w:val="00946BD9"/>
    <w:rsid w:val="00946BDB"/>
    <w:rsid w:val="00946BE8"/>
    <w:rsid w:val="00946CC1"/>
    <w:rsid w:val="00946D0A"/>
    <w:rsid w:val="00946D57"/>
    <w:rsid w:val="00946D65"/>
    <w:rsid w:val="00946DB4"/>
    <w:rsid w:val="00946EFA"/>
    <w:rsid w:val="00946F13"/>
    <w:rsid w:val="00946F4B"/>
    <w:rsid w:val="00946FB1"/>
    <w:rsid w:val="00946FB4"/>
    <w:rsid w:val="00947044"/>
    <w:rsid w:val="00947091"/>
    <w:rsid w:val="009470AF"/>
    <w:rsid w:val="00947142"/>
    <w:rsid w:val="00947162"/>
    <w:rsid w:val="00947206"/>
    <w:rsid w:val="0094728E"/>
    <w:rsid w:val="00947332"/>
    <w:rsid w:val="00947545"/>
    <w:rsid w:val="009475DE"/>
    <w:rsid w:val="009475E1"/>
    <w:rsid w:val="00947640"/>
    <w:rsid w:val="009476A3"/>
    <w:rsid w:val="00947729"/>
    <w:rsid w:val="009477E8"/>
    <w:rsid w:val="009477F9"/>
    <w:rsid w:val="009478B5"/>
    <w:rsid w:val="009478B6"/>
    <w:rsid w:val="00947940"/>
    <w:rsid w:val="00947B41"/>
    <w:rsid w:val="00947B8B"/>
    <w:rsid w:val="00947BAC"/>
    <w:rsid w:val="00947BE8"/>
    <w:rsid w:val="00947C8D"/>
    <w:rsid w:val="00947C8E"/>
    <w:rsid w:val="00947D51"/>
    <w:rsid w:val="00947DB4"/>
    <w:rsid w:val="00947E36"/>
    <w:rsid w:val="00947E55"/>
    <w:rsid w:val="00947E84"/>
    <w:rsid w:val="00947FF8"/>
    <w:rsid w:val="0095000A"/>
    <w:rsid w:val="0095002F"/>
    <w:rsid w:val="00950075"/>
    <w:rsid w:val="009500B4"/>
    <w:rsid w:val="00950192"/>
    <w:rsid w:val="0095024D"/>
    <w:rsid w:val="009502C2"/>
    <w:rsid w:val="009503E2"/>
    <w:rsid w:val="009504B2"/>
    <w:rsid w:val="00950535"/>
    <w:rsid w:val="00950538"/>
    <w:rsid w:val="0095056A"/>
    <w:rsid w:val="0095057D"/>
    <w:rsid w:val="009505BC"/>
    <w:rsid w:val="009505BD"/>
    <w:rsid w:val="00950600"/>
    <w:rsid w:val="009506B4"/>
    <w:rsid w:val="009506BD"/>
    <w:rsid w:val="0095076A"/>
    <w:rsid w:val="009507AC"/>
    <w:rsid w:val="009507BD"/>
    <w:rsid w:val="009507EE"/>
    <w:rsid w:val="0095082F"/>
    <w:rsid w:val="00950868"/>
    <w:rsid w:val="009508F2"/>
    <w:rsid w:val="0095092B"/>
    <w:rsid w:val="00950AE9"/>
    <w:rsid w:val="00950B25"/>
    <w:rsid w:val="00950B3F"/>
    <w:rsid w:val="00950C59"/>
    <w:rsid w:val="00950C9E"/>
    <w:rsid w:val="00950D1D"/>
    <w:rsid w:val="00950DE9"/>
    <w:rsid w:val="00950EC9"/>
    <w:rsid w:val="00950EDA"/>
    <w:rsid w:val="00950EF3"/>
    <w:rsid w:val="00950F59"/>
    <w:rsid w:val="00950F79"/>
    <w:rsid w:val="00950F92"/>
    <w:rsid w:val="00950FA7"/>
    <w:rsid w:val="009510F5"/>
    <w:rsid w:val="00951190"/>
    <w:rsid w:val="00951195"/>
    <w:rsid w:val="00951280"/>
    <w:rsid w:val="0095129A"/>
    <w:rsid w:val="009512A9"/>
    <w:rsid w:val="009512C8"/>
    <w:rsid w:val="009512CF"/>
    <w:rsid w:val="009512FA"/>
    <w:rsid w:val="0095134D"/>
    <w:rsid w:val="00951381"/>
    <w:rsid w:val="00951509"/>
    <w:rsid w:val="0095150B"/>
    <w:rsid w:val="00951513"/>
    <w:rsid w:val="00951516"/>
    <w:rsid w:val="009515E4"/>
    <w:rsid w:val="0095168D"/>
    <w:rsid w:val="009516FC"/>
    <w:rsid w:val="0095174B"/>
    <w:rsid w:val="0095178C"/>
    <w:rsid w:val="00951806"/>
    <w:rsid w:val="0095190B"/>
    <w:rsid w:val="009519BB"/>
    <w:rsid w:val="009519E9"/>
    <w:rsid w:val="00951A01"/>
    <w:rsid w:val="00951A0F"/>
    <w:rsid w:val="00951AF0"/>
    <w:rsid w:val="00951B3A"/>
    <w:rsid w:val="00951BCE"/>
    <w:rsid w:val="00951D6C"/>
    <w:rsid w:val="00951D71"/>
    <w:rsid w:val="00951D8A"/>
    <w:rsid w:val="00951DA5"/>
    <w:rsid w:val="00951DA9"/>
    <w:rsid w:val="00951F1D"/>
    <w:rsid w:val="00951FEB"/>
    <w:rsid w:val="00952101"/>
    <w:rsid w:val="00952128"/>
    <w:rsid w:val="00952140"/>
    <w:rsid w:val="0095216E"/>
    <w:rsid w:val="009521DE"/>
    <w:rsid w:val="0095239E"/>
    <w:rsid w:val="00952411"/>
    <w:rsid w:val="009524D4"/>
    <w:rsid w:val="00952539"/>
    <w:rsid w:val="009525DD"/>
    <w:rsid w:val="00952663"/>
    <w:rsid w:val="00952682"/>
    <w:rsid w:val="009526D0"/>
    <w:rsid w:val="009526F0"/>
    <w:rsid w:val="00952715"/>
    <w:rsid w:val="00952732"/>
    <w:rsid w:val="00952794"/>
    <w:rsid w:val="00952797"/>
    <w:rsid w:val="009528D3"/>
    <w:rsid w:val="00952905"/>
    <w:rsid w:val="00952929"/>
    <w:rsid w:val="0095293A"/>
    <w:rsid w:val="00952994"/>
    <w:rsid w:val="009529B2"/>
    <w:rsid w:val="009529D7"/>
    <w:rsid w:val="009529E5"/>
    <w:rsid w:val="00952AE2"/>
    <w:rsid w:val="00952BB9"/>
    <w:rsid w:val="00952BC8"/>
    <w:rsid w:val="00952BDD"/>
    <w:rsid w:val="00952C1A"/>
    <w:rsid w:val="00952D07"/>
    <w:rsid w:val="00952D10"/>
    <w:rsid w:val="00952D9C"/>
    <w:rsid w:val="00952DEE"/>
    <w:rsid w:val="00952E38"/>
    <w:rsid w:val="00952E65"/>
    <w:rsid w:val="00952E9F"/>
    <w:rsid w:val="00952F3B"/>
    <w:rsid w:val="00952F42"/>
    <w:rsid w:val="00953073"/>
    <w:rsid w:val="009530C7"/>
    <w:rsid w:val="00953174"/>
    <w:rsid w:val="009531C6"/>
    <w:rsid w:val="00953285"/>
    <w:rsid w:val="00953328"/>
    <w:rsid w:val="00953376"/>
    <w:rsid w:val="009533BB"/>
    <w:rsid w:val="009534C7"/>
    <w:rsid w:val="0095354E"/>
    <w:rsid w:val="00953553"/>
    <w:rsid w:val="009535C0"/>
    <w:rsid w:val="0095368C"/>
    <w:rsid w:val="00953692"/>
    <w:rsid w:val="009536A8"/>
    <w:rsid w:val="009536FE"/>
    <w:rsid w:val="00953779"/>
    <w:rsid w:val="009537A4"/>
    <w:rsid w:val="009537C5"/>
    <w:rsid w:val="0095383D"/>
    <w:rsid w:val="009538EE"/>
    <w:rsid w:val="0095394E"/>
    <w:rsid w:val="009539E6"/>
    <w:rsid w:val="009539FF"/>
    <w:rsid w:val="00953A0A"/>
    <w:rsid w:val="00953A59"/>
    <w:rsid w:val="00953A8F"/>
    <w:rsid w:val="00953A99"/>
    <w:rsid w:val="00953BCE"/>
    <w:rsid w:val="00953BD0"/>
    <w:rsid w:val="00953C9F"/>
    <w:rsid w:val="00953D4B"/>
    <w:rsid w:val="00953DA8"/>
    <w:rsid w:val="00953DDB"/>
    <w:rsid w:val="00953E39"/>
    <w:rsid w:val="00953E83"/>
    <w:rsid w:val="00953F03"/>
    <w:rsid w:val="00953F55"/>
    <w:rsid w:val="00953FCB"/>
    <w:rsid w:val="0095401C"/>
    <w:rsid w:val="00954036"/>
    <w:rsid w:val="00954163"/>
    <w:rsid w:val="00954187"/>
    <w:rsid w:val="00954221"/>
    <w:rsid w:val="009542A0"/>
    <w:rsid w:val="0095444C"/>
    <w:rsid w:val="009544B2"/>
    <w:rsid w:val="009545B3"/>
    <w:rsid w:val="009545F6"/>
    <w:rsid w:val="0095469B"/>
    <w:rsid w:val="009547F8"/>
    <w:rsid w:val="0095483A"/>
    <w:rsid w:val="00954844"/>
    <w:rsid w:val="00954858"/>
    <w:rsid w:val="00954921"/>
    <w:rsid w:val="00954A31"/>
    <w:rsid w:val="00954BE1"/>
    <w:rsid w:val="00954C45"/>
    <w:rsid w:val="00954CF0"/>
    <w:rsid w:val="00954E3F"/>
    <w:rsid w:val="00954ED6"/>
    <w:rsid w:val="00954F18"/>
    <w:rsid w:val="00955013"/>
    <w:rsid w:val="009550E4"/>
    <w:rsid w:val="0095512D"/>
    <w:rsid w:val="0095515B"/>
    <w:rsid w:val="009552F3"/>
    <w:rsid w:val="0095552D"/>
    <w:rsid w:val="00955554"/>
    <w:rsid w:val="009555F9"/>
    <w:rsid w:val="00955922"/>
    <w:rsid w:val="00955952"/>
    <w:rsid w:val="009559B3"/>
    <w:rsid w:val="009559C0"/>
    <w:rsid w:val="00955A68"/>
    <w:rsid w:val="00955A88"/>
    <w:rsid w:val="00955A95"/>
    <w:rsid w:val="00955AD5"/>
    <w:rsid w:val="00955B2F"/>
    <w:rsid w:val="00955B89"/>
    <w:rsid w:val="00955D58"/>
    <w:rsid w:val="00955D83"/>
    <w:rsid w:val="00955E85"/>
    <w:rsid w:val="00955F16"/>
    <w:rsid w:val="00955F9D"/>
    <w:rsid w:val="00955FBC"/>
    <w:rsid w:val="00956006"/>
    <w:rsid w:val="00956053"/>
    <w:rsid w:val="0095606F"/>
    <w:rsid w:val="009560DE"/>
    <w:rsid w:val="00956127"/>
    <w:rsid w:val="00956191"/>
    <w:rsid w:val="009561AB"/>
    <w:rsid w:val="0095627F"/>
    <w:rsid w:val="009562C7"/>
    <w:rsid w:val="009562E8"/>
    <w:rsid w:val="009562F2"/>
    <w:rsid w:val="0095637F"/>
    <w:rsid w:val="009563C3"/>
    <w:rsid w:val="00956435"/>
    <w:rsid w:val="00956439"/>
    <w:rsid w:val="00956506"/>
    <w:rsid w:val="00956507"/>
    <w:rsid w:val="0095665F"/>
    <w:rsid w:val="00956709"/>
    <w:rsid w:val="00956781"/>
    <w:rsid w:val="00956817"/>
    <w:rsid w:val="009568B8"/>
    <w:rsid w:val="00956A11"/>
    <w:rsid w:val="00956A1D"/>
    <w:rsid w:val="00956AD1"/>
    <w:rsid w:val="00956AF2"/>
    <w:rsid w:val="00956B79"/>
    <w:rsid w:val="00956BDF"/>
    <w:rsid w:val="00956C1F"/>
    <w:rsid w:val="00956CB8"/>
    <w:rsid w:val="00956D31"/>
    <w:rsid w:val="00956D65"/>
    <w:rsid w:val="00956D98"/>
    <w:rsid w:val="00956EDA"/>
    <w:rsid w:val="00956FA2"/>
    <w:rsid w:val="00957058"/>
    <w:rsid w:val="0095705B"/>
    <w:rsid w:val="009570A9"/>
    <w:rsid w:val="009570AC"/>
    <w:rsid w:val="00957151"/>
    <w:rsid w:val="00957237"/>
    <w:rsid w:val="0095724F"/>
    <w:rsid w:val="0095725A"/>
    <w:rsid w:val="0095727D"/>
    <w:rsid w:val="009572CC"/>
    <w:rsid w:val="0095732B"/>
    <w:rsid w:val="0095734F"/>
    <w:rsid w:val="0095738F"/>
    <w:rsid w:val="009573D4"/>
    <w:rsid w:val="009574DC"/>
    <w:rsid w:val="009574E7"/>
    <w:rsid w:val="0095750B"/>
    <w:rsid w:val="009575C5"/>
    <w:rsid w:val="0095767A"/>
    <w:rsid w:val="00957693"/>
    <w:rsid w:val="0095787A"/>
    <w:rsid w:val="0095787E"/>
    <w:rsid w:val="009578AB"/>
    <w:rsid w:val="009578D5"/>
    <w:rsid w:val="009578DF"/>
    <w:rsid w:val="009579A9"/>
    <w:rsid w:val="009579E6"/>
    <w:rsid w:val="00957A83"/>
    <w:rsid w:val="00957AEF"/>
    <w:rsid w:val="00957B56"/>
    <w:rsid w:val="00957BB0"/>
    <w:rsid w:val="00957BBE"/>
    <w:rsid w:val="00957C76"/>
    <w:rsid w:val="00957C8B"/>
    <w:rsid w:val="00957CB5"/>
    <w:rsid w:val="00957D16"/>
    <w:rsid w:val="00957D4A"/>
    <w:rsid w:val="00957DEC"/>
    <w:rsid w:val="00957E0D"/>
    <w:rsid w:val="00957E23"/>
    <w:rsid w:val="00957EB5"/>
    <w:rsid w:val="00957F07"/>
    <w:rsid w:val="00957F0F"/>
    <w:rsid w:val="00957F15"/>
    <w:rsid w:val="00960026"/>
    <w:rsid w:val="0096005E"/>
    <w:rsid w:val="009600ED"/>
    <w:rsid w:val="00960136"/>
    <w:rsid w:val="0096013B"/>
    <w:rsid w:val="0096016E"/>
    <w:rsid w:val="009601DD"/>
    <w:rsid w:val="009601F5"/>
    <w:rsid w:val="00960266"/>
    <w:rsid w:val="009602AE"/>
    <w:rsid w:val="009602FF"/>
    <w:rsid w:val="0096031E"/>
    <w:rsid w:val="00960350"/>
    <w:rsid w:val="009604C7"/>
    <w:rsid w:val="00960677"/>
    <w:rsid w:val="0096069A"/>
    <w:rsid w:val="00960718"/>
    <w:rsid w:val="0096072B"/>
    <w:rsid w:val="00960810"/>
    <w:rsid w:val="0096081C"/>
    <w:rsid w:val="009608C3"/>
    <w:rsid w:val="00960928"/>
    <w:rsid w:val="009609A5"/>
    <w:rsid w:val="009609CF"/>
    <w:rsid w:val="009609E1"/>
    <w:rsid w:val="00960A68"/>
    <w:rsid w:val="00960A8B"/>
    <w:rsid w:val="00960B3A"/>
    <w:rsid w:val="00960B76"/>
    <w:rsid w:val="00960BD8"/>
    <w:rsid w:val="00960C09"/>
    <w:rsid w:val="00960CE0"/>
    <w:rsid w:val="00960D6C"/>
    <w:rsid w:val="00960E58"/>
    <w:rsid w:val="00960EDF"/>
    <w:rsid w:val="00960EFB"/>
    <w:rsid w:val="00960F07"/>
    <w:rsid w:val="00960FB2"/>
    <w:rsid w:val="00960FD8"/>
    <w:rsid w:val="00960FFF"/>
    <w:rsid w:val="0096107E"/>
    <w:rsid w:val="00961096"/>
    <w:rsid w:val="00961098"/>
    <w:rsid w:val="009610AA"/>
    <w:rsid w:val="00961107"/>
    <w:rsid w:val="00961171"/>
    <w:rsid w:val="00961281"/>
    <w:rsid w:val="009612AD"/>
    <w:rsid w:val="0096153D"/>
    <w:rsid w:val="00961548"/>
    <w:rsid w:val="009615B4"/>
    <w:rsid w:val="00961672"/>
    <w:rsid w:val="00961752"/>
    <w:rsid w:val="009618F2"/>
    <w:rsid w:val="0096199E"/>
    <w:rsid w:val="009619C2"/>
    <w:rsid w:val="009619EB"/>
    <w:rsid w:val="00961A97"/>
    <w:rsid w:val="00961ADF"/>
    <w:rsid w:val="00961B8B"/>
    <w:rsid w:val="00961BA1"/>
    <w:rsid w:val="00961C02"/>
    <w:rsid w:val="00961D07"/>
    <w:rsid w:val="00961D28"/>
    <w:rsid w:val="00961D2D"/>
    <w:rsid w:val="00961DB6"/>
    <w:rsid w:val="00961E57"/>
    <w:rsid w:val="00961E6A"/>
    <w:rsid w:val="00961ECD"/>
    <w:rsid w:val="00961FBB"/>
    <w:rsid w:val="00961FBC"/>
    <w:rsid w:val="00961FE2"/>
    <w:rsid w:val="00962084"/>
    <w:rsid w:val="009620C8"/>
    <w:rsid w:val="0096213F"/>
    <w:rsid w:val="009621B5"/>
    <w:rsid w:val="00962286"/>
    <w:rsid w:val="009622C1"/>
    <w:rsid w:val="009623A4"/>
    <w:rsid w:val="00962588"/>
    <w:rsid w:val="009625A7"/>
    <w:rsid w:val="00962766"/>
    <w:rsid w:val="0096278B"/>
    <w:rsid w:val="0096289F"/>
    <w:rsid w:val="009628A6"/>
    <w:rsid w:val="009628AE"/>
    <w:rsid w:val="009629A6"/>
    <w:rsid w:val="009629E2"/>
    <w:rsid w:val="00962A14"/>
    <w:rsid w:val="00962A53"/>
    <w:rsid w:val="00962A5A"/>
    <w:rsid w:val="00962ACF"/>
    <w:rsid w:val="00962AD9"/>
    <w:rsid w:val="00962B66"/>
    <w:rsid w:val="00962B6D"/>
    <w:rsid w:val="00962BAF"/>
    <w:rsid w:val="00962C53"/>
    <w:rsid w:val="00962C54"/>
    <w:rsid w:val="00962CD8"/>
    <w:rsid w:val="00962CFA"/>
    <w:rsid w:val="00962D1B"/>
    <w:rsid w:val="00962D63"/>
    <w:rsid w:val="00962D66"/>
    <w:rsid w:val="00962DF0"/>
    <w:rsid w:val="00962E7E"/>
    <w:rsid w:val="00962E97"/>
    <w:rsid w:val="00962F25"/>
    <w:rsid w:val="00962FF9"/>
    <w:rsid w:val="009632B4"/>
    <w:rsid w:val="009632C9"/>
    <w:rsid w:val="00963384"/>
    <w:rsid w:val="009633B1"/>
    <w:rsid w:val="009633CC"/>
    <w:rsid w:val="009635F4"/>
    <w:rsid w:val="00963639"/>
    <w:rsid w:val="0096369F"/>
    <w:rsid w:val="009636DD"/>
    <w:rsid w:val="00963813"/>
    <w:rsid w:val="0096383F"/>
    <w:rsid w:val="009638E5"/>
    <w:rsid w:val="009638EC"/>
    <w:rsid w:val="00963A6C"/>
    <w:rsid w:val="00963AAA"/>
    <w:rsid w:val="00963B2C"/>
    <w:rsid w:val="00963B4C"/>
    <w:rsid w:val="00963C1A"/>
    <w:rsid w:val="00963C5A"/>
    <w:rsid w:val="00963CD8"/>
    <w:rsid w:val="00963D47"/>
    <w:rsid w:val="00963DAE"/>
    <w:rsid w:val="00963EE1"/>
    <w:rsid w:val="00963FBF"/>
    <w:rsid w:val="00963FF5"/>
    <w:rsid w:val="00963FFB"/>
    <w:rsid w:val="009640CE"/>
    <w:rsid w:val="009640F2"/>
    <w:rsid w:val="00964195"/>
    <w:rsid w:val="009641FE"/>
    <w:rsid w:val="00964200"/>
    <w:rsid w:val="009642C7"/>
    <w:rsid w:val="00964414"/>
    <w:rsid w:val="009645D6"/>
    <w:rsid w:val="00964610"/>
    <w:rsid w:val="0096462E"/>
    <w:rsid w:val="00964665"/>
    <w:rsid w:val="00964729"/>
    <w:rsid w:val="00964745"/>
    <w:rsid w:val="00964775"/>
    <w:rsid w:val="0096479F"/>
    <w:rsid w:val="009647E6"/>
    <w:rsid w:val="00964894"/>
    <w:rsid w:val="009648A6"/>
    <w:rsid w:val="00964974"/>
    <w:rsid w:val="00964AD6"/>
    <w:rsid w:val="00964B10"/>
    <w:rsid w:val="00964C3E"/>
    <w:rsid w:val="00964C78"/>
    <w:rsid w:val="00964C7C"/>
    <w:rsid w:val="00964D94"/>
    <w:rsid w:val="00964DA3"/>
    <w:rsid w:val="00964DEF"/>
    <w:rsid w:val="00964E5A"/>
    <w:rsid w:val="00964E64"/>
    <w:rsid w:val="00964E82"/>
    <w:rsid w:val="00964E85"/>
    <w:rsid w:val="00964E8C"/>
    <w:rsid w:val="00964EA2"/>
    <w:rsid w:val="00964ECE"/>
    <w:rsid w:val="00964EEF"/>
    <w:rsid w:val="00964F8A"/>
    <w:rsid w:val="00964FAF"/>
    <w:rsid w:val="0096508F"/>
    <w:rsid w:val="00965131"/>
    <w:rsid w:val="00965137"/>
    <w:rsid w:val="00965176"/>
    <w:rsid w:val="00965251"/>
    <w:rsid w:val="009653A3"/>
    <w:rsid w:val="00965420"/>
    <w:rsid w:val="00965425"/>
    <w:rsid w:val="009654B4"/>
    <w:rsid w:val="009654EA"/>
    <w:rsid w:val="009654F6"/>
    <w:rsid w:val="00965587"/>
    <w:rsid w:val="0096559B"/>
    <w:rsid w:val="00965696"/>
    <w:rsid w:val="0096573B"/>
    <w:rsid w:val="00965751"/>
    <w:rsid w:val="009657A4"/>
    <w:rsid w:val="009657A9"/>
    <w:rsid w:val="0096589A"/>
    <w:rsid w:val="0096589B"/>
    <w:rsid w:val="009658D0"/>
    <w:rsid w:val="00965A17"/>
    <w:rsid w:val="00965A93"/>
    <w:rsid w:val="00965AC4"/>
    <w:rsid w:val="00965AD7"/>
    <w:rsid w:val="00965AE7"/>
    <w:rsid w:val="00965B0B"/>
    <w:rsid w:val="00965B61"/>
    <w:rsid w:val="00965C36"/>
    <w:rsid w:val="00965C91"/>
    <w:rsid w:val="00965D92"/>
    <w:rsid w:val="00965DCF"/>
    <w:rsid w:val="00965DEF"/>
    <w:rsid w:val="00965E2E"/>
    <w:rsid w:val="00965EAB"/>
    <w:rsid w:val="00965EBA"/>
    <w:rsid w:val="00965FBB"/>
    <w:rsid w:val="0096602A"/>
    <w:rsid w:val="0096604F"/>
    <w:rsid w:val="009660F2"/>
    <w:rsid w:val="0096617A"/>
    <w:rsid w:val="0096619A"/>
    <w:rsid w:val="009661D6"/>
    <w:rsid w:val="009662B0"/>
    <w:rsid w:val="00966346"/>
    <w:rsid w:val="00966351"/>
    <w:rsid w:val="009663FB"/>
    <w:rsid w:val="00966404"/>
    <w:rsid w:val="00966433"/>
    <w:rsid w:val="00966445"/>
    <w:rsid w:val="009664C9"/>
    <w:rsid w:val="009664F9"/>
    <w:rsid w:val="0096650C"/>
    <w:rsid w:val="0096654B"/>
    <w:rsid w:val="00966561"/>
    <w:rsid w:val="009665D7"/>
    <w:rsid w:val="00966637"/>
    <w:rsid w:val="0096663F"/>
    <w:rsid w:val="0096673F"/>
    <w:rsid w:val="00966790"/>
    <w:rsid w:val="00966B35"/>
    <w:rsid w:val="00966BF2"/>
    <w:rsid w:val="00966C39"/>
    <w:rsid w:val="00966C68"/>
    <w:rsid w:val="00966DB4"/>
    <w:rsid w:val="00966E1A"/>
    <w:rsid w:val="00967008"/>
    <w:rsid w:val="009671B2"/>
    <w:rsid w:val="009671EE"/>
    <w:rsid w:val="00967201"/>
    <w:rsid w:val="0096720B"/>
    <w:rsid w:val="00967239"/>
    <w:rsid w:val="0096737C"/>
    <w:rsid w:val="009673B1"/>
    <w:rsid w:val="00967454"/>
    <w:rsid w:val="00967473"/>
    <w:rsid w:val="0096748D"/>
    <w:rsid w:val="009674BB"/>
    <w:rsid w:val="009674F6"/>
    <w:rsid w:val="00967512"/>
    <w:rsid w:val="00967515"/>
    <w:rsid w:val="0096753C"/>
    <w:rsid w:val="009676E0"/>
    <w:rsid w:val="00967713"/>
    <w:rsid w:val="00967760"/>
    <w:rsid w:val="009678A1"/>
    <w:rsid w:val="009678A5"/>
    <w:rsid w:val="00967920"/>
    <w:rsid w:val="00967929"/>
    <w:rsid w:val="0096795C"/>
    <w:rsid w:val="00967A0D"/>
    <w:rsid w:val="00967A2C"/>
    <w:rsid w:val="00967A31"/>
    <w:rsid w:val="00967A3B"/>
    <w:rsid w:val="00967B1F"/>
    <w:rsid w:val="00967C99"/>
    <w:rsid w:val="00967CA7"/>
    <w:rsid w:val="00967E2F"/>
    <w:rsid w:val="00967E80"/>
    <w:rsid w:val="00967F46"/>
    <w:rsid w:val="00967F9E"/>
    <w:rsid w:val="00967FE1"/>
    <w:rsid w:val="0097005D"/>
    <w:rsid w:val="009700CF"/>
    <w:rsid w:val="009700D6"/>
    <w:rsid w:val="00970126"/>
    <w:rsid w:val="00970132"/>
    <w:rsid w:val="0097016A"/>
    <w:rsid w:val="009702D8"/>
    <w:rsid w:val="0097042F"/>
    <w:rsid w:val="009704BE"/>
    <w:rsid w:val="009704C3"/>
    <w:rsid w:val="00970566"/>
    <w:rsid w:val="00970636"/>
    <w:rsid w:val="00970644"/>
    <w:rsid w:val="00970689"/>
    <w:rsid w:val="009706F6"/>
    <w:rsid w:val="009707B3"/>
    <w:rsid w:val="00970848"/>
    <w:rsid w:val="0097085E"/>
    <w:rsid w:val="00970912"/>
    <w:rsid w:val="0097091F"/>
    <w:rsid w:val="0097099A"/>
    <w:rsid w:val="009709F3"/>
    <w:rsid w:val="009709F9"/>
    <w:rsid w:val="009709FA"/>
    <w:rsid w:val="00970B4A"/>
    <w:rsid w:val="00970C69"/>
    <w:rsid w:val="00970C7E"/>
    <w:rsid w:val="00970CBB"/>
    <w:rsid w:val="00970D08"/>
    <w:rsid w:val="00970D61"/>
    <w:rsid w:val="00970D6B"/>
    <w:rsid w:val="00970DD4"/>
    <w:rsid w:val="00970E56"/>
    <w:rsid w:val="00970FEC"/>
    <w:rsid w:val="00971018"/>
    <w:rsid w:val="00971023"/>
    <w:rsid w:val="00971191"/>
    <w:rsid w:val="009711C5"/>
    <w:rsid w:val="009711D3"/>
    <w:rsid w:val="0097138D"/>
    <w:rsid w:val="00971392"/>
    <w:rsid w:val="009714E6"/>
    <w:rsid w:val="009714EC"/>
    <w:rsid w:val="00971533"/>
    <w:rsid w:val="00971573"/>
    <w:rsid w:val="0097161A"/>
    <w:rsid w:val="00971672"/>
    <w:rsid w:val="0097170D"/>
    <w:rsid w:val="009717C3"/>
    <w:rsid w:val="00971924"/>
    <w:rsid w:val="00971957"/>
    <w:rsid w:val="00971994"/>
    <w:rsid w:val="00971AB0"/>
    <w:rsid w:val="00971AD7"/>
    <w:rsid w:val="00971BBB"/>
    <w:rsid w:val="00971C88"/>
    <w:rsid w:val="00971DDB"/>
    <w:rsid w:val="00971E82"/>
    <w:rsid w:val="00971E9B"/>
    <w:rsid w:val="00971F84"/>
    <w:rsid w:val="00971FAB"/>
    <w:rsid w:val="00971FC8"/>
    <w:rsid w:val="00971FDF"/>
    <w:rsid w:val="00972035"/>
    <w:rsid w:val="0097206B"/>
    <w:rsid w:val="00972089"/>
    <w:rsid w:val="00972138"/>
    <w:rsid w:val="0097223B"/>
    <w:rsid w:val="009722C3"/>
    <w:rsid w:val="009722ED"/>
    <w:rsid w:val="00972304"/>
    <w:rsid w:val="00972373"/>
    <w:rsid w:val="00972377"/>
    <w:rsid w:val="00972469"/>
    <w:rsid w:val="00972476"/>
    <w:rsid w:val="009724F3"/>
    <w:rsid w:val="00972503"/>
    <w:rsid w:val="00972526"/>
    <w:rsid w:val="00972544"/>
    <w:rsid w:val="00972562"/>
    <w:rsid w:val="0097259F"/>
    <w:rsid w:val="009725AF"/>
    <w:rsid w:val="009725C6"/>
    <w:rsid w:val="009726D7"/>
    <w:rsid w:val="00972709"/>
    <w:rsid w:val="0097277B"/>
    <w:rsid w:val="009727A2"/>
    <w:rsid w:val="009728B0"/>
    <w:rsid w:val="00972961"/>
    <w:rsid w:val="009729CE"/>
    <w:rsid w:val="009729D4"/>
    <w:rsid w:val="00972A36"/>
    <w:rsid w:val="00972AC5"/>
    <w:rsid w:val="00972AEC"/>
    <w:rsid w:val="00972B49"/>
    <w:rsid w:val="00972CDB"/>
    <w:rsid w:val="00972D13"/>
    <w:rsid w:val="00972D7C"/>
    <w:rsid w:val="00972E1A"/>
    <w:rsid w:val="00972EA6"/>
    <w:rsid w:val="00972F81"/>
    <w:rsid w:val="00972F97"/>
    <w:rsid w:val="00972FDB"/>
    <w:rsid w:val="00973007"/>
    <w:rsid w:val="00973081"/>
    <w:rsid w:val="009730B8"/>
    <w:rsid w:val="0097311C"/>
    <w:rsid w:val="00973214"/>
    <w:rsid w:val="0097321C"/>
    <w:rsid w:val="009732AA"/>
    <w:rsid w:val="00973322"/>
    <w:rsid w:val="00973336"/>
    <w:rsid w:val="00973464"/>
    <w:rsid w:val="009734F8"/>
    <w:rsid w:val="00973553"/>
    <w:rsid w:val="0097355B"/>
    <w:rsid w:val="0097356A"/>
    <w:rsid w:val="009736E8"/>
    <w:rsid w:val="0097395B"/>
    <w:rsid w:val="00973967"/>
    <w:rsid w:val="00973A59"/>
    <w:rsid w:val="00973A67"/>
    <w:rsid w:val="00973AE1"/>
    <w:rsid w:val="00973AE2"/>
    <w:rsid w:val="00973AE9"/>
    <w:rsid w:val="00973AEB"/>
    <w:rsid w:val="00973B14"/>
    <w:rsid w:val="00973C1A"/>
    <w:rsid w:val="00973C3A"/>
    <w:rsid w:val="00973C58"/>
    <w:rsid w:val="00973D1A"/>
    <w:rsid w:val="00973DC6"/>
    <w:rsid w:val="00973DF5"/>
    <w:rsid w:val="00973E7C"/>
    <w:rsid w:val="00973EB0"/>
    <w:rsid w:val="00973FB3"/>
    <w:rsid w:val="00973FCC"/>
    <w:rsid w:val="0097401F"/>
    <w:rsid w:val="00974052"/>
    <w:rsid w:val="00974058"/>
    <w:rsid w:val="00974062"/>
    <w:rsid w:val="0097406D"/>
    <w:rsid w:val="00974124"/>
    <w:rsid w:val="0097417E"/>
    <w:rsid w:val="00974184"/>
    <w:rsid w:val="009741D5"/>
    <w:rsid w:val="009742F0"/>
    <w:rsid w:val="00974401"/>
    <w:rsid w:val="00974541"/>
    <w:rsid w:val="009745B9"/>
    <w:rsid w:val="009746E6"/>
    <w:rsid w:val="009747E7"/>
    <w:rsid w:val="009747EB"/>
    <w:rsid w:val="00974902"/>
    <w:rsid w:val="0097495B"/>
    <w:rsid w:val="00974A04"/>
    <w:rsid w:val="00974A7E"/>
    <w:rsid w:val="00974A8F"/>
    <w:rsid w:val="00974B05"/>
    <w:rsid w:val="00974B34"/>
    <w:rsid w:val="00974C5B"/>
    <w:rsid w:val="00974C95"/>
    <w:rsid w:val="00974CCC"/>
    <w:rsid w:val="00974CEB"/>
    <w:rsid w:val="00974D13"/>
    <w:rsid w:val="00974D9C"/>
    <w:rsid w:val="00974DB0"/>
    <w:rsid w:val="00974F42"/>
    <w:rsid w:val="00974F54"/>
    <w:rsid w:val="00974F8B"/>
    <w:rsid w:val="0097509E"/>
    <w:rsid w:val="009750C9"/>
    <w:rsid w:val="00975192"/>
    <w:rsid w:val="0097535C"/>
    <w:rsid w:val="0097539F"/>
    <w:rsid w:val="009754CD"/>
    <w:rsid w:val="00975538"/>
    <w:rsid w:val="00975557"/>
    <w:rsid w:val="009755BE"/>
    <w:rsid w:val="009755DB"/>
    <w:rsid w:val="00975721"/>
    <w:rsid w:val="009757E0"/>
    <w:rsid w:val="00975A7D"/>
    <w:rsid w:val="00975B4E"/>
    <w:rsid w:val="00975EA3"/>
    <w:rsid w:val="00975EFA"/>
    <w:rsid w:val="00975F48"/>
    <w:rsid w:val="00976059"/>
    <w:rsid w:val="00976093"/>
    <w:rsid w:val="009761E7"/>
    <w:rsid w:val="009762A5"/>
    <w:rsid w:val="009763C1"/>
    <w:rsid w:val="009763D8"/>
    <w:rsid w:val="00976593"/>
    <w:rsid w:val="00976648"/>
    <w:rsid w:val="009766A5"/>
    <w:rsid w:val="009766D6"/>
    <w:rsid w:val="009766E9"/>
    <w:rsid w:val="009766F3"/>
    <w:rsid w:val="0097687B"/>
    <w:rsid w:val="00976927"/>
    <w:rsid w:val="009769EB"/>
    <w:rsid w:val="00976A3D"/>
    <w:rsid w:val="00976B08"/>
    <w:rsid w:val="00976B5F"/>
    <w:rsid w:val="00976B7E"/>
    <w:rsid w:val="00976BAE"/>
    <w:rsid w:val="00976BD9"/>
    <w:rsid w:val="00976BDE"/>
    <w:rsid w:val="00976BF3"/>
    <w:rsid w:val="00976C99"/>
    <w:rsid w:val="00976DA3"/>
    <w:rsid w:val="00976E91"/>
    <w:rsid w:val="0097700E"/>
    <w:rsid w:val="00977177"/>
    <w:rsid w:val="0097721A"/>
    <w:rsid w:val="009772D1"/>
    <w:rsid w:val="009772E0"/>
    <w:rsid w:val="00977304"/>
    <w:rsid w:val="00977393"/>
    <w:rsid w:val="0097749E"/>
    <w:rsid w:val="0097750A"/>
    <w:rsid w:val="009775CB"/>
    <w:rsid w:val="0097768A"/>
    <w:rsid w:val="0097768E"/>
    <w:rsid w:val="009776E3"/>
    <w:rsid w:val="0097773F"/>
    <w:rsid w:val="00977796"/>
    <w:rsid w:val="009777B8"/>
    <w:rsid w:val="00977838"/>
    <w:rsid w:val="00977889"/>
    <w:rsid w:val="00977970"/>
    <w:rsid w:val="00977985"/>
    <w:rsid w:val="00977A1C"/>
    <w:rsid w:val="00977A49"/>
    <w:rsid w:val="00977B91"/>
    <w:rsid w:val="00977CD1"/>
    <w:rsid w:val="00977D70"/>
    <w:rsid w:val="00977D8B"/>
    <w:rsid w:val="00977DAE"/>
    <w:rsid w:val="00977F52"/>
    <w:rsid w:val="00980043"/>
    <w:rsid w:val="00980188"/>
    <w:rsid w:val="009802D7"/>
    <w:rsid w:val="0098038E"/>
    <w:rsid w:val="009803BE"/>
    <w:rsid w:val="009803C3"/>
    <w:rsid w:val="009803E8"/>
    <w:rsid w:val="00980413"/>
    <w:rsid w:val="00980525"/>
    <w:rsid w:val="0098052D"/>
    <w:rsid w:val="00980704"/>
    <w:rsid w:val="00980717"/>
    <w:rsid w:val="00980742"/>
    <w:rsid w:val="00980759"/>
    <w:rsid w:val="00980767"/>
    <w:rsid w:val="0098082C"/>
    <w:rsid w:val="00980893"/>
    <w:rsid w:val="009808C4"/>
    <w:rsid w:val="0098093B"/>
    <w:rsid w:val="009809A6"/>
    <w:rsid w:val="009809D5"/>
    <w:rsid w:val="00980A13"/>
    <w:rsid w:val="00980A6B"/>
    <w:rsid w:val="00980A6F"/>
    <w:rsid w:val="00980A90"/>
    <w:rsid w:val="00980C2F"/>
    <w:rsid w:val="00980C9C"/>
    <w:rsid w:val="00980D02"/>
    <w:rsid w:val="00980DCF"/>
    <w:rsid w:val="00980EDD"/>
    <w:rsid w:val="00980F9A"/>
    <w:rsid w:val="00981048"/>
    <w:rsid w:val="0098105C"/>
    <w:rsid w:val="00981102"/>
    <w:rsid w:val="0098111D"/>
    <w:rsid w:val="009811D6"/>
    <w:rsid w:val="00981234"/>
    <w:rsid w:val="009812F0"/>
    <w:rsid w:val="009813F6"/>
    <w:rsid w:val="00981425"/>
    <w:rsid w:val="00981468"/>
    <w:rsid w:val="009814BC"/>
    <w:rsid w:val="009814E6"/>
    <w:rsid w:val="00981550"/>
    <w:rsid w:val="00981589"/>
    <w:rsid w:val="00981647"/>
    <w:rsid w:val="009816FB"/>
    <w:rsid w:val="00981707"/>
    <w:rsid w:val="009817B0"/>
    <w:rsid w:val="009819D9"/>
    <w:rsid w:val="009819F3"/>
    <w:rsid w:val="00981AD9"/>
    <w:rsid w:val="00981DAD"/>
    <w:rsid w:val="00981DC9"/>
    <w:rsid w:val="00981E61"/>
    <w:rsid w:val="00981E69"/>
    <w:rsid w:val="00981EAC"/>
    <w:rsid w:val="00981EBA"/>
    <w:rsid w:val="00981F0B"/>
    <w:rsid w:val="00981F1E"/>
    <w:rsid w:val="00981F95"/>
    <w:rsid w:val="00981FEB"/>
    <w:rsid w:val="0098201B"/>
    <w:rsid w:val="00982030"/>
    <w:rsid w:val="009820BE"/>
    <w:rsid w:val="009821CE"/>
    <w:rsid w:val="00982202"/>
    <w:rsid w:val="0098221B"/>
    <w:rsid w:val="009822E3"/>
    <w:rsid w:val="00982537"/>
    <w:rsid w:val="00982585"/>
    <w:rsid w:val="0098264A"/>
    <w:rsid w:val="0098268C"/>
    <w:rsid w:val="00982826"/>
    <w:rsid w:val="00982856"/>
    <w:rsid w:val="009828C8"/>
    <w:rsid w:val="00982944"/>
    <w:rsid w:val="00982961"/>
    <w:rsid w:val="00982976"/>
    <w:rsid w:val="009829FC"/>
    <w:rsid w:val="00982A0A"/>
    <w:rsid w:val="00982B95"/>
    <w:rsid w:val="00982CD7"/>
    <w:rsid w:val="00982CED"/>
    <w:rsid w:val="00982D8F"/>
    <w:rsid w:val="00982DD7"/>
    <w:rsid w:val="00982E4A"/>
    <w:rsid w:val="00982E4F"/>
    <w:rsid w:val="00982EF8"/>
    <w:rsid w:val="00982F0B"/>
    <w:rsid w:val="0098301E"/>
    <w:rsid w:val="00983036"/>
    <w:rsid w:val="00983079"/>
    <w:rsid w:val="009830C2"/>
    <w:rsid w:val="009831EC"/>
    <w:rsid w:val="00983269"/>
    <w:rsid w:val="009832BC"/>
    <w:rsid w:val="00983315"/>
    <w:rsid w:val="00983345"/>
    <w:rsid w:val="0098361D"/>
    <w:rsid w:val="009836B4"/>
    <w:rsid w:val="009836BE"/>
    <w:rsid w:val="009836BF"/>
    <w:rsid w:val="009837F5"/>
    <w:rsid w:val="00983834"/>
    <w:rsid w:val="009838FD"/>
    <w:rsid w:val="00983911"/>
    <w:rsid w:val="00983A58"/>
    <w:rsid w:val="00983AAA"/>
    <w:rsid w:val="00983AF0"/>
    <w:rsid w:val="00983C4A"/>
    <w:rsid w:val="00983C9B"/>
    <w:rsid w:val="00983D54"/>
    <w:rsid w:val="00983E31"/>
    <w:rsid w:val="00983F0A"/>
    <w:rsid w:val="00983F16"/>
    <w:rsid w:val="00983F64"/>
    <w:rsid w:val="00984052"/>
    <w:rsid w:val="009840AB"/>
    <w:rsid w:val="0098418D"/>
    <w:rsid w:val="009841E0"/>
    <w:rsid w:val="009841EF"/>
    <w:rsid w:val="00984212"/>
    <w:rsid w:val="00984216"/>
    <w:rsid w:val="00984265"/>
    <w:rsid w:val="00984328"/>
    <w:rsid w:val="00984410"/>
    <w:rsid w:val="00984443"/>
    <w:rsid w:val="00984461"/>
    <w:rsid w:val="00984497"/>
    <w:rsid w:val="00984507"/>
    <w:rsid w:val="009845DF"/>
    <w:rsid w:val="00984655"/>
    <w:rsid w:val="0098486F"/>
    <w:rsid w:val="00984A06"/>
    <w:rsid w:val="00984A39"/>
    <w:rsid w:val="00984BC2"/>
    <w:rsid w:val="00984C55"/>
    <w:rsid w:val="00984C7C"/>
    <w:rsid w:val="00984CAA"/>
    <w:rsid w:val="00984E03"/>
    <w:rsid w:val="00984E63"/>
    <w:rsid w:val="00984EDD"/>
    <w:rsid w:val="00984F63"/>
    <w:rsid w:val="00984FAF"/>
    <w:rsid w:val="00985020"/>
    <w:rsid w:val="009850BC"/>
    <w:rsid w:val="009850C6"/>
    <w:rsid w:val="009850ED"/>
    <w:rsid w:val="0098511A"/>
    <w:rsid w:val="0098513A"/>
    <w:rsid w:val="0098518C"/>
    <w:rsid w:val="009851E8"/>
    <w:rsid w:val="00985204"/>
    <w:rsid w:val="00985268"/>
    <w:rsid w:val="0098526D"/>
    <w:rsid w:val="009852D1"/>
    <w:rsid w:val="00985373"/>
    <w:rsid w:val="0098537B"/>
    <w:rsid w:val="00985399"/>
    <w:rsid w:val="009853EF"/>
    <w:rsid w:val="00985405"/>
    <w:rsid w:val="00985438"/>
    <w:rsid w:val="009854D4"/>
    <w:rsid w:val="0098557D"/>
    <w:rsid w:val="00985648"/>
    <w:rsid w:val="009856B4"/>
    <w:rsid w:val="0098579F"/>
    <w:rsid w:val="00985840"/>
    <w:rsid w:val="0098586F"/>
    <w:rsid w:val="00985958"/>
    <w:rsid w:val="009859B5"/>
    <w:rsid w:val="009859E7"/>
    <w:rsid w:val="009859F7"/>
    <w:rsid w:val="00985A04"/>
    <w:rsid w:val="00985A65"/>
    <w:rsid w:val="00985A85"/>
    <w:rsid w:val="00985B51"/>
    <w:rsid w:val="00985B5D"/>
    <w:rsid w:val="00985B8B"/>
    <w:rsid w:val="00985BF1"/>
    <w:rsid w:val="00985CF7"/>
    <w:rsid w:val="00985D63"/>
    <w:rsid w:val="00985DAD"/>
    <w:rsid w:val="00985E3F"/>
    <w:rsid w:val="00985E4C"/>
    <w:rsid w:val="00985F59"/>
    <w:rsid w:val="00985FA4"/>
    <w:rsid w:val="00986014"/>
    <w:rsid w:val="00986038"/>
    <w:rsid w:val="009860AE"/>
    <w:rsid w:val="0098614A"/>
    <w:rsid w:val="0098615D"/>
    <w:rsid w:val="0098616B"/>
    <w:rsid w:val="009861CE"/>
    <w:rsid w:val="00986209"/>
    <w:rsid w:val="0098621E"/>
    <w:rsid w:val="00986224"/>
    <w:rsid w:val="0098625B"/>
    <w:rsid w:val="009863EE"/>
    <w:rsid w:val="00986406"/>
    <w:rsid w:val="009864A2"/>
    <w:rsid w:val="009864BF"/>
    <w:rsid w:val="009864D6"/>
    <w:rsid w:val="009864DB"/>
    <w:rsid w:val="009865CD"/>
    <w:rsid w:val="0098672B"/>
    <w:rsid w:val="009867DE"/>
    <w:rsid w:val="009867FA"/>
    <w:rsid w:val="00986819"/>
    <w:rsid w:val="00986822"/>
    <w:rsid w:val="0098685C"/>
    <w:rsid w:val="00986932"/>
    <w:rsid w:val="00986938"/>
    <w:rsid w:val="00986944"/>
    <w:rsid w:val="00986970"/>
    <w:rsid w:val="009869B2"/>
    <w:rsid w:val="009869BA"/>
    <w:rsid w:val="009869E9"/>
    <w:rsid w:val="00986AAA"/>
    <w:rsid w:val="00986BC0"/>
    <w:rsid w:val="00986BCE"/>
    <w:rsid w:val="00986F24"/>
    <w:rsid w:val="00986F60"/>
    <w:rsid w:val="00986F79"/>
    <w:rsid w:val="00986FED"/>
    <w:rsid w:val="00987006"/>
    <w:rsid w:val="00987187"/>
    <w:rsid w:val="0098719F"/>
    <w:rsid w:val="009871F5"/>
    <w:rsid w:val="009872D8"/>
    <w:rsid w:val="009872E3"/>
    <w:rsid w:val="00987315"/>
    <w:rsid w:val="00987331"/>
    <w:rsid w:val="00987377"/>
    <w:rsid w:val="009874B1"/>
    <w:rsid w:val="0098757C"/>
    <w:rsid w:val="0098764B"/>
    <w:rsid w:val="00987699"/>
    <w:rsid w:val="009876F3"/>
    <w:rsid w:val="00987712"/>
    <w:rsid w:val="00987742"/>
    <w:rsid w:val="00987743"/>
    <w:rsid w:val="00987799"/>
    <w:rsid w:val="009877A8"/>
    <w:rsid w:val="009877B0"/>
    <w:rsid w:val="009877C1"/>
    <w:rsid w:val="009877CC"/>
    <w:rsid w:val="00987831"/>
    <w:rsid w:val="0098787B"/>
    <w:rsid w:val="00987934"/>
    <w:rsid w:val="00987991"/>
    <w:rsid w:val="0098799A"/>
    <w:rsid w:val="009879CD"/>
    <w:rsid w:val="00987A0F"/>
    <w:rsid w:val="00987A22"/>
    <w:rsid w:val="00987C73"/>
    <w:rsid w:val="00987C9A"/>
    <w:rsid w:val="00987DAD"/>
    <w:rsid w:val="00987E2C"/>
    <w:rsid w:val="00987EB4"/>
    <w:rsid w:val="00987ED6"/>
    <w:rsid w:val="00987EFA"/>
    <w:rsid w:val="00987F2A"/>
    <w:rsid w:val="00990023"/>
    <w:rsid w:val="0099007D"/>
    <w:rsid w:val="009900D0"/>
    <w:rsid w:val="00990104"/>
    <w:rsid w:val="009901BC"/>
    <w:rsid w:val="009901E4"/>
    <w:rsid w:val="009902A9"/>
    <w:rsid w:val="009902DB"/>
    <w:rsid w:val="0099035D"/>
    <w:rsid w:val="009903D4"/>
    <w:rsid w:val="009903D9"/>
    <w:rsid w:val="00990407"/>
    <w:rsid w:val="00990465"/>
    <w:rsid w:val="009904B7"/>
    <w:rsid w:val="009905F9"/>
    <w:rsid w:val="00990670"/>
    <w:rsid w:val="009906DB"/>
    <w:rsid w:val="009907B5"/>
    <w:rsid w:val="009907D7"/>
    <w:rsid w:val="00990930"/>
    <w:rsid w:val="00990968"/>
    <w:rsid w:val="00990B35"/>
    <w:rsid w:val="00990B86"/>
    <w:rsid w:val="00990C79"/>
    <w:rsid w:val="00990C7E"/>
    <w:rsid w:val="00990C89"/>
    <w:rsid w:val="00990C95"/>
    <w:rsid w:val="00990C9D"/>
    <w:rsid w:val="00990CB9"/>
    <w:rsid w:val="00990D73"/>
    <w:rsid w:val="00990DD4"/>
    <w:rsid w:val="00990DFB"/>
    <w:rsid w:val="00990E2A"/>
    <w:rsid w:val="00990E46"/>
    <w:rsid w:val="00990F56"/>
    <w:rsid w:val="00990FD0"/>
    <w:rsid w:val="009910AB"/>
    <w:rsid w:val="0099110B"/>
    <w:rsid w:val="009911FA"/>
    <w:rsid w:val="009912D9"/>
    <w:rsid w:val="009913B6"/>
    <w:rsid w:val="009914C2"/>
    <w:rsid w:val="00991513"/>
    <w:rsid w:val="00991567"/>
    <w:rsid w:val="00991599"/>
    <w:rsid w:val="009915AA"/>
    <w:rsid w:val="009915AE"/>
    <w:rsid w:val="0099162B"/>
    <w:rsid w:val="0099166A"/>
    <w:rsid w:val="00991671"/>
    <w:rsid w:val="00991676"/>
    <w:rsid w:val="0099171A"/>
    <w:rsid w:val="0099171C"/>
    <w:rsid w:val="009918AE"/>
    <w:rsid w:val="00991900"/>
    <w:rsid w:val="00991962"/>
    <w:rsid w:val="00991A04"/>
    <w:rsid w:val="00991C09"/>
    <w:rsid w:val="00991C5D"/>
    <w:rsid w:val="00991C75"/>
    <w:rsid w:val="00991CAE"/>
    <w:rsid w:val="00991D16"/>
    <w:rsid w:val="00991E57"/>
    <w:rsid w:val="00991E77"/>
    <w:rsid w:val="00991F0D"/>
    <w:rsid w:val="00991F43"/>
    <w:rsid w:val="00991F6F"/>
    <w:rsid w:val="00991F8A"/>
    <w:rsid w:val="00991F95"/>
    <w:rsid w:val="00991FAD"/>
    <w:rsid w:val="00991FD2"/>
    <w:rsid w:val="00991FE9"/>
    <w:rsid w:val="00992198"/>
    <w:rsid w:val="009921B3"/>
    <w:rsid w:val="00992230"/>
    <w:rsid w:val="009922B8"/>
    <w:rsid w:val="009922B9"/>
    <w:rsid w:val="00992314"/>
    <w:rsid w:val="0099233C"/>
    <w:rsid w:val="009923A6"/>
    <w:rsid w:val="00992414"/>
    <w:rsid w:val="0099246E"/>
    <w:rsid w:val="009924A7"/>
    <w:rsid w:val="00992506"/>
    <w:rsid w:val="00992514"/>
    <w:rsid w:val="009925C3"/>
    <w:rsid w:val="009925D7"/>
    <w:rsid w:val="00992659"/>
    <w:rsid w:val="009926C2"/>
    <w:rsid w:val="009927B0"/>
    <w:rsid w:val="009927C0"/>
    <w:rsid w:val="00992999"/>
    <w:rsid w:val="009929BD"/>
    <w:rsid w:val="00992A94"/>
    <w:rsid w:val="00992BA8"/>
    <w:rsid w:val="00992C09"/>
    <w:rsid w:val="00992C1E"/>
    <w:rsid w:val="00992C70"/>
    <w:rsid w:val="00992DE5"/>
    <w:rsid w:val="00992E74"/>
    <w:rsid w:val="00992E9D"/>
    <w:rsid w:val="00992EDD"/>
    <w:rsid w:val="00992EF8"/>
    <w:rsid w:val="00992FD3"/>
    <w:rsid w:val="009930D6"/>
    <w:rsid w:val="00993155"/>
    <w:rsid w:val="009931F9"/>
    <w:rsid w:val="00993242"/>
    <w:rsid w:val="00993244"/>
    <w:rsid w:val="00993263"/>
    <w:rsid w:val="00993283"/>
    <w:rsid w:val="009932A1"/>
    <w:rsid w:val="0099330A"/>
    <w:rsid w:val="00993338"/>
    <w:rsid w:val="0099334F"/>
    <w:rsid w:val="009933B0"/>
    <w:rsid w:val="009933C3"/>
    <w:rsid w:val="009934EC"/>
    <w:rsid w:val="0099357C"/>
    <w:rsid w:val="0099375C"/>
    <w:rsid w:val="0099384B"/>
    <w:rsid w:val="0099384C"/>
    <w:rsid w:val="00993936"/>
    <w:rsid w:val="0099397D"/>
    <w:rsid w:val="00993A05"/>
    <w:rsid w:val="00993A09"/>
    <w:rsid w:val="00993A83"/>
    <w:rsid w:val="00993B6D"/>
    <w:rsid w:val="00993BB0"/>
    <w:rsid w:val="00993C6C"/>
    <w:rsid w:val="00993E2B"/>
    <w:rsid w:val="00993E85"/>
    <w:rsid w:val="00993F79"/>
    <w:rsid w:val="00993FB5"/>
    <w:rsid w:val="0099414B"/>
    <w:rsid w:val="009941E7"/>
    <w:rsid w:val="00994476"/>
    <w:rsid w:val="00994490"/>
    <w:rsid w:val="00994502"/>
    <w:rsid w:val="00994585"/>
    <w:rsid w:val="009946AE"/>
    <w:rsid w:val="009947F0"/>
    <w:rsid w:val="0099486C"/>
    <w:rsid w:val="00994888"/>
    <w:rsid w:val="009948E1"/>
    <w:rsid w:val="00994A1A"/>
    <w:rsid w:val="00994A78"/>
    <w:rsid w:val="00994AB4"/>
    <w:rsid w:val="00994AB9"/>
    <w:rsid w:val="00994B54"/>
    <w:rsid w:val="00994BA0"/>
    <w:rsid w:val="00994C0F"/>
    <w:rsid w:val="00994CA8"/>
    <w:rsid w:val="00994DF9"/>
    <w:rsid w:val="00994E5E"/>
    <w:rsid w:val="00994FB4"/>
    <w:rsid w:val="00994FD6"/>
    <w:rsid w:val="00995140"/>
    <w:rsid w:val="009951B4"/>
    <w:rsid w:val="009951E1"/>
    <w:rsid w:val="0099534D"/>
    <w:rsid w:val="009953FB"/>
    <w:rsid w:val="00995421"/>
    <w:rsid w:val="00995494"/>
    <w:rsid w:val="009954D0"/>
    <w:rsid w:val="009955F6"/>
    <w:rsid w:val="00995612"/>
    <w:rsid w:val="00995676"/>
    <w:rsid w:val="00995741"/>
    <w:rsid w:val="00995769"/>
    <w:rsid w:val="009957EB"/>
    <w:rsid w:val="00995907"/>
    <w:rsid w:val="00995915"/>
    <w:rsid w:val="009959BE"/>
    <w:rsid w:val="009959E0"/>
    <w:rsid w:val="009959EE"/>
    <w:rsid w:val="00995AF3"/>
    <w:rsid w:val="00995B2C"/>
    <w:rsid w:val="00995BFA"/>
    <w:rsid w:val="00995C16"/>
    <w:rsid w:val="00995C3C"/>
    <w:rsid w:val="00995C82"/>
    <w:rsid w:val="00995CB2"/>
    <w:rsid w:val="00995CCA"/>
    <w:rsid w:val="00995D02"/>
    <w:rsid w:val="00995D1A"/>
    <w:rsid w:val="00995D42"/>
    <w:rsid w:val="00995D48"/>
    <w:rsid w:val="00995D50"/>
    <w:rsid w:val="00995D6F"/>
    <w:rsid w:val="00995E0F"/>
    <w:rsid w:val="00995E80"/>
    <w:rsid w:val="00995EDB"/>
    <w:rsid w:val="00995F43"/>
    <w:rsid w:val="00995F47"/>
    <w:rsid w:val="00995F9D"/>
    <w:rsid w:val="00995FD1"/>
    <w:rsid w:val="00995FF9"/>
    <w:rsid w:val="00996070"/>
    <w:rsid w:val="00996116"/>
    <w:rsid w:val="0099613C"/>
    <w:rsid w:val="009961FE"/>
    <w:rsid w:val="00996261"/>
    <w:rsid w:val="00996367"/>
    <w:rsid w:val="009963E6"/>
    <w:rsid w:val="009963F1"/>
    <w:rsid w:val="00996576"/>
    <w:rsid w:val="009965EC"/>
    <w:rsid w:val="0099662F"/>
    <w:rsid w:val="0099665C"/>
    <w:rsid w:val="009967D1"/>
    <w:rsid w:val="00996840"/>
    <w:rsid w:val="00996843"/>
    <w:rsid w:val="009969B8"/>
    <w:rsid w:val="00996A06"/>
    <w:rsid w:val="00996A4D"/>
    <w:rsid w:val="00996A9A"/>
    <w:rsid w:val="00996AC7"/>
    <w:rsid w:val="00996AE5"/>
    <w:rsid w:val="00996B4E"/>
    <w:rsid w:val="00996B7B"/>
    <w:rsid w:val="00996BA8"/>
    <w:rsid w:val="00996C4F"/>
    <w:rsid w:val="00996C75"/>
    <w:rsid w:val="00996CF6"/>
    <w:rsid w:val="00996DD7"/>
    <w:rsid w:val="00996E09"/>
    <w:rsid w:val="00996E27"/>
    <w:rsid w:val="00996E7E"/>
    <w:rsid w:val="00996E98"/>
    <w:rsid w:val="00996E9E"/>
    <w:rsid w:val="00996EAB"/>
    <w:rsid w:val="00997011"/>
    <w:rsid w:val="00997018"/>
    <w:rsid w:val="009970D0"/>
    <w:rsid w:val="009970EF"/>
    <w:rsid w:val="009971D3"/>
    <w:rsid w:val="009973A1"/>
    <w:rsid w:val="00997486"/>
    <w:rsid w:val="00997528"/>
    <w:rsid w:val="0099764E"/>
    <w:rsid w:val="00997677"/>
    <w:rsid w:val="00997712"/>
    <w:rsid w:val="0099777E"/>
    <w:rsid w:val="009978EB"/>
    <w:rsid w:val="0099799F"/>
    <w:rsid w:val="009979B4"/>
    <w:rsid w:val="009979F1"/>
    <w:rsid w:val="00997AAC"/>
    <w:rsid w:val="00997AD1"/>
    <w:rsid w:val="00997BC4"/>
    <w:rsid w:val="00997BD5"/>
    <w:rsid w:val="00997C59"/>
    <w:rsid w:val="00997CEA"/>
    <w:rsid w:val="00997D66"/>
    <w:rsid w:val="00997E55"/>
    <w:rsid w:val="00997F17"/>
    <w:rsid w:val="00997FA9"/>
    <w:rsid w:val="009A000B"/>
    <w:rsid w:val="009A0065"/>
    <w:rsid w:val="009A00A0"/>
    <w:rsid w:val="009A00D9"/>
    <w:rsid w:val="009A0139"/>
    <w:rsid w:val="009A0163"/>
    <w:rsid w:val="009A02C9"/>
    <w:rsid w:val="009A02F2"/>
    <w:rsid w:val="009A0386"/>
    <w:rsid w:val="009A039C"/>
    <w:rsid w:val="009A039D"/>
    <w:rsid w:val="009A0405"/>
    <w:rsid w:val="009A0470"/>
    <w:rsid w:val="009A0483"/>
    <w:rsid w:val="009A04B6"/>
    <w:rsid w:val="009A04C9"/>
    <w:rsid w:val="009A0679"/>
    <w:rsid w:val="009A06CB"/>
    <w:rsid w:val="009A0906"/>
    <w:rsid w:val="009A0943"/>
    <w:rsid w:val="009A0B96"/>
    <w:rsid w:val="009A0C5C"/>
    <w:rsid w:val="009A0D2B"/>
    <w:rsid w:val="009A0F04"/>
    <w:rsid w:val="009A0F19"/>
    <w:rsid w:val="009A0F69"/>
    <w:rsid w:val="009A0FCA"/>
    <w:rsid w:val="009A0FD9"/>
    <w:rsid w:val="009A0FE3"/>
    <w:rsid w:val="009A0FE7"/>
    <w:rsid w:val="009A1039"/>
    <w:rsid w:val="009A11B9"/>
    <w:rsid w:val="009A11D7"/>
    <w:rsid w:val="009A1295"/>
    <w:rsid w:val="009A12D0"/>
    <w:rsid w:val="009A137F"/>
    <w:rsid w:val="009A13AB"/>
    <w:rsid w:val="009A148B"/>
    <w:rsid w:val="009A14C5"/>
    <w:rsid w:val="009A1513"/>
    <w:rsid w:val="009A15A2"/>
    <w:rsid w:val="009A15B6"/>
    <w:rsid w:val="009A1652"/>
    <w:rsid w:val="009A16DD"/>
    <w:rsid w:val="009A16F7"/>
    <w:rsid w:val="009A177C"/>
    <w:rsid w:val="009A17BA"/>
    <w:rsid w:val="009A183B"/>
    <w:rsid w:val="009A18D2"/>
    <w:rsid w:val="009A19FA"/>
    <w:rsid w:val="009A1A68"/>
    <w:rsid w:val="009A1A95"/>
    <w:rsid w:val="009A1B71"/>
    <w:rsid w:val="009A1B99"/>
    <w:rsid w:val="009A1CF7"/>
    <w:rsid w:val="009A1D7F"/>
    <w:rsid w:val="009A1E0B"/>
    <w:rsid w:val="009A1E1C"/>
    <w:rsid w:val="009A1E2D"/>
    <w:rsid w:val="009A1E8F"/>
    <w:rsid w:val="009A1E94"/>
    <w:rsid w:val="009A1EB5"/>
    <w:rsid w:val="009A1F20"/>
    <w:rsid w:val="009A1F32"/>
    <w:rsid w:val="009A1F37"/>
    <w:rsid w:val="009A1F8A"/>
    <w:rsid w:val="009A1FB0"/>
    <w:rsid w:val="009A201F"/>
    <w:rsid w:val="009A2028"/>
    <w:rsid w:val="009A20AC"/>
    <w:rsid w:val="009A20EB"/>
    <w:rsid w:val="009A20EF"/>
    <w:rsid w:val="009A211C"/>
    <w:rsid w:val="009A215B"/>
    <w:rsid w:val="009A21BB"/>
    <w:rsid w:val="009A223D"/>
    <w:rsid w:val="009A224C"/>
    <w:rsid w:val="009A2259"/>
    <w:rsid w:val="009A2267"/>
    <w:rsid w:val="009A22E1"/>
    <w:rsid w:val="009A2327"/>
    <w:rsid w:val="009A2346"/>
    <w:rsid w:val="009A2365"/>
    <w:rsid w:val="009A2394"/>
    <w:rsid w:val="009A239F"/>
    <w:rsid w:val="009A23C7"/>
    <w:rsid w:val="009A2445"/>
    <w:rsid w:val="009A2582"/>
    <w:rsid w:val="009A2633"/>
    <w:rsid w:val="009A277C"/>
    <w:rsid w:val="009A2816"/>
    <w:rsid w:val="009A2877"/>
    <w:rsid w:val="009A2930"/>
    <w:rsid w:val="009A298B"/>
    <w:rsid w:val="009A2A02"/>
    <w:rsid w:val="009A2A65"/>
    <w:rsid w:val="009A2D44"/>
    <w:rsid w:val="009A2DEF"/>
    <w:rsid w:val="009A2EAA"/>
    <w:rsid w:val="009A2F1B"/>
    <w:rsid w:val="009A2F21"/>
    <w:rsid w:val="009A312C"/>
    <w:rsid w:val="009A3188"/>
    <w:rsid w:val="009A31B4"/>
    <w:rsid w:val="009A31E0"/>
    <w:rsid w:val="009A321E"/>
    <w:rsid w:val="009A3275"/>
    <w:rsid w:val="009A32A2"/>
    <w:rsid w:val="009A32F0"/>
    <w:rsid w:val="009A3357"/>
    <w:rsid w:val="009A3362"/>
    <w:rsid w:val="009A3389"/>
    <w:rsid w:val="009A33F2"/>
    <w:rsid w:val="009A3455"/>
    <w:rsid w:val="009A3478"/>
    <w:rsid w:val="009A3549"/>
    <w:rsid w:val="009A355C"/>
    <w:rsid w:val="009A3576"/>
    <w:rsid w:val="009A3580"/>
    <w:rsid w:val="009A35B9"/>
    <w:rsid w:val="009A3639"/>
    <w:rsid w:val="009A364E"/>
    <w:rsid w:val="009A3654"/>
    <w:rsid w:val="009A369F"/>
    <w:rsid w:val="009A36BB"/>
    <w:rsid w:val="009A37AC"/>
    <w:rsid w:val="009A39D7"/>
    <w:rsid w:val="009A3AC5"/>
    <w:rsid w:val="009A3CAB"/>
    <w:rsid w:val="009A3CB2"/>
    <w:rsid w:val="009A3CE8"/>
    <w:rsid w:val="009A3D88"/>
    <w:rsid w:val="009A3DB9"/>
    <w:rsid w:val="009A3E11"/>
    <w:rsid w:val="009A3ED2"/>
    <w:rsid w:val="009A3F6E"/>
    <w:rsid w:val="009A3F93"/>
    <w:rsid w:val="009A3FCF"/>
    <w:rsid w:val="009A3FDB"/>
    <w:rsid w:val="009A40D1"/>
    <w:rsid w:val="009A40E4"/>
    <w:rsid w:val="009A42D2"/>
    <w:rsid w:val="009A43CF"/>
    <w:rsid w:val="009A4463"/>
    <w:rsid w:val="009A4678"/>
    <w:rsid w:val="009A46B4"/>
    <w:rsid w:val="009A4711"/>
    <w:rsid w:val="009A4743"/>
    <w:rsid w:val="009A477D"/>
    <w:rsid w:val="009A479A"/>
    <w:rsid w:val="009A47A6"/>
    <w:rsid w:val="009A47C0"/>
    <w:rsid w:val="009A47E0"/>
    <w:rsid w:val="009A48AC"/>
    <w:rsid w:val="009A48E4"/>
    <w:rsid w:val="009A494A"/>
    <w:rsid w:val="009A4951"/>
    <w:rsid w:val="009A49DE"/>
    <w:rsid w:val="009A49F3"/>
    <w:rsid w:val="009A4A04"/>
    <w:rsid w:val="009A4ABC"/>
    <w:rsid w:val="009A4AC0"/>
    <w:rsid w:val="009A4AF9"/>
    <w:rsid w:val="009A4BFD"/>
    <w:rsid w:val="009A4C3A"/>
    <w:rsid w:val="009A4CBE"/>
    <w:rsid w:val="009A4E66"/>
    <w:rsid w:val="009A4E7B"/>
    <w:rsid w:val="009A4EFD"/>
    <w:rsid w:val="009A4F23"/>
    <w:rsid w:val="009A4F30"/>
    <w:rsid w:val="009A50DE"/>
    <w:rsid w:val="009A511F"/>
    <w:rsid w:val="009A5257"/>
    <w:rsid w:val="009A5279"/>
    <w:rsid w:val="009A531D"/>
    <w:rsid w:val="009A53B9"/>
    <w:rsid w:val="009A5412"/>
    <w:rsid w:val="009A5477"/>
    <w:rsid w:val="009A54F6"/>
    <w:rsid w:val="009A5578"/>
    <w:rsid w:val="009A55E4"/>
    <w:rsid w:val="009A5770"/>
    <w:rsid w:val="009A5798"/>
    <w:rsid w:val="009A5820"/>
    <w:rsid w:val="009A58A6"/>
    <w:rsid w:val="009A5964"/>
    <w:rsid w:val="009A5965"/>
    <w:rsid w:val="009A5975"/>
    <w:rsid w:val="009A59EE"/>
    <w:rsid w:val="009A5AA4"/>
    <w:rsid w:val="009A5C15"/>
    <w:rsid w:val="009A5C23"/>
    <w:rsid w:val="009A5CFE"/>
    <w:rsid w:val="009A5D72"/>
    <w:rsid w:val="009A5DEC"/>
    <w:rsid w:val="009A5E66"/>
    <w:rsid w:val="009A5E76"/>
    <w:rsid w:val="009A5F79"/>
    <w:rsid w:val="009A5F97"/>
    <w:rsid w:val="009A5FAE"/>
    <w:rsid w:val="009A5FB8"/>
    <w:rsid w:val="009A5FC4"/>
    <w:rsid w:val="009A5FC8"/>
    <w:rsid w:val="009A5FCD"/>
    <w:rsid w:val="009A6063"/>
    <w:rsid w:val="009A60F7"/>
    <w:rsid w:val="009A614B"/>
    <w:rsid w:val="009A616B"/>
    <w:rsid w:val="009A62FA"/>
    <w:rsid w:val="009A646B"/>
    <w:rsid w:val="009A6476"/>
    <w:rsid w:val="009A64E1"/>
    <w:rsid w:val="009A658F"/>
    <w:rsid w:val="009A65C7"/>
    <w:rsid w:val="009A65CD"/>
    <w:rsid w:val="009A660C"/>
    <w:rsid w:val="009A6613"/>
    <w:rsid w:val="009A673D"/>
    <w:rsid w:val="009A6810"/>
    <w:rsid w:val="009A689D"/>
    <w:rsid w:val="009A69C6"/>
    <w:rsid w:val="009A6A65"/>
    <w:rsid w:val="009A6AB0"/>
    <w:rsid w:val="009A6AEA"/>
    <w:rsid w:val="009A6C20"/>
    <w:rsid w:val="009A6C48"/>
    <w:rsid w:val="009A6E0D"/>
    <w:rsid w:val="009A6E1F"/>
    <w:rsid w:val="009A6E58"/>
    <w:rsid w:val="009A6ECB"/>
    <w:rsid w:val="009A6ED6"/>
    <w:rsid w:val="009A6F0A"/>
    <w:rsid w:val="009A6F11"/>
    <w:rsid w:val="009A6F45"/>
    <w:rsid w:val="009A70A0"/>
    <w:rsid w:val="009A70EE"/>
    <w:rsid w:val="009A71F3"/>
    <w:rsid w:val="009A7233"/>
    <w:rsid w:val="009A7418"/>
    <w:rsid w:val="009A741C"/>
    <w:rsid w:val="009A743D"/>
    <w:rsid w:val="009A765B"/>
    <w:rsid w:val="009A766F"/>
    <w:rsid w:val="009A7717"/>
    <w:rsid w:val="009A771B"/>
    <w:rsid w:val="009A771C"/>
    <w:rsid w:val="009A77C7"/>
    <w:rsid w:val="009A78F4"/>
    <w:rsid w:val="009A792D"/>
    <w:rsid w:val="009A7957"/>
    <w:rsid w:val="009A79BC"/>
    <w:rsid w:val="009A7A21"/>
    <w:rsid w:val="009A7A3C"/>
    <w:rsid w:val="009A7A9E"/>
    <w:rsid w:val="009A7B4F"/>
    <w:rsid w:val="009A7BDB"/>
    <w:rsid w:val="009A7CB7"/>
    <w:rsid w:val="009A7CE0"/>
    <w:rsid w:val="009A7CF9"/>
    <w:rsid w:val="009A7E5D"/>
    <w:rsid w:val="009A7E78"/>
    <w:rsid w:val="009A7FF3"/>
    <w:rsid w:val="009B007E"/>
    <w:rsid w:val="009B00A1"/>
    <w:rsid w:val="009B0164"/>
    <w:rsid w:val="009B0171"/>
    <w:rsid w:val="009B01D3"/>
    <w:rsid w:val="009B0204"/>
    <w:rsid w:val="009B0329"/>
    <w:rsid w:val="009B03CE"/>
    <w:rsid w:val="009B059D"/>
    <w:rsid w:val="009B0668"/>
    <w:rsid w:val="009B0796"/>
    <w:rsid w:val="009B07F3"/>
    <w:rsid w:val="009B086B"/>
    <w:rsid w:val="009B088F"/>
    <w:rsid w:val="009B090B"/>
    <w:rsid w:val="009B0934"/>
    <w:rsid w:val="009B0941"/>
    <w:rsid w:val="009B0967"/>
    <w:rsid w:val="009B0A2F"/>
    <w:rsid w:val="009B0A51"/>
    <w:rsid w:val="009B0AAE"/>
    <w:rsid w:val="009B0B09"/>
    <w:rsid w:val="009B0B18"/>
    <w:rsid w:val="009B0B30"/>
    <w:rsid w:val="009B0B3D"/>
    <w:rsid w:val="009B0C98"/>
    <w:rsid w:val="009B0CB5"/>
    <w:rsid w:val="009B0DB0"/>
    <w:rsid w:val="009B0DB9"/>
    <w:rsid w:val="009B0DFE"/>
    <w:rsid w:val="009B0F69"/>
    <w:rsid w:val="009B0FFF"/>
    <w:rsid w:val="009B1063"/>
    <w:rsid w:val="009B106D"/>
    <w:rsid w:val="009B109F"/>
    <w:rsid w:val="009B1154"/>
    <w:rsid w:val="009B1161"/>
    <w:rsid w:val="009B11BB"/>
    <w:rsid w:val="009B11D1"/>
    <w:rsid w:val="009B11F1"/>
    <w:rsid w:val="009B128D"/>
    <w:rsid w:val="009B1408"/>
    <w:rsid w:val="009B147B"/>
    <w:rsid w:val="009B1517"/>
    <w:rsid w:val="009B1518"/>
    <w:rsid w:val="009B1526"/>
    <w:rsid w:val="009B1555"/>
    <w:rsid w:val="009B1710"/>
    <w:rsid w:val="009B17B9"/>
    <w:rsid w:val="009B184D"/>
    <w:rsid w:val="009B18C6"/>
    <w:rsid w:val="009B194E"/>
    <w:rsid w:val="009B19C4"/>
    <w:rsid w:val="009B1A3E"/>
    <w:rsid w:val="009B1A81"/>
    <w:rsid w:val="009B1AC2"/>
    <w:rsid w:val="009B1B19"/>
    <w:rsid w:val="009B1BE6"/>
    <w:rsid w:val="009B1C48"/>
    <w:rsid w:val="009B1CA9"/>
    <w:rsid w:val="009B1EEF"/>
    <w:rsid w:val="009B202C"/>
    <w:rsid w:val="009B202E"/>
    <w:rsid w:val="009B2087"/>
    <w:rsid w:val="009B2141"/>
    <w:rsid w:val="009B2176"/>
    <w:rsid w:val="009B21C0"/>
    <w:rsid w:val="009B2249"/>
    <w:rsid w:val="009B22B6"/>
    <w:rsid w:val="009B237A"/>
    <w:rsid w:val="009B24B1"/>
    <w:rsid w:val="009B24C2"/>
    <w:rsid w:val="009B24D0"/>
    <w:rsid w:val="009B24DD"/>
    <w:rsid w:val="009B25E5"/>
    <w:rsid w:val="009B260F"/>
    <w:rsid w:val="009B261B"/>
    <w:rsid w:val="009B26A2"/>
    <w:rsid w:val="009B2902"/>
    <w:rsid w:val="009B2A14"/>
    <w:rsid w:val="009B2A7E"/>
    <w:rsid w:val="009B2B3C"/>
    <w:rsid w:val="009B2C65"/>
    <w:rsid w:val="009B2CA4"/>
    <w:rsid w:val="009B2D53"/>
    <w:rsid w:val="009B2D9A"/>
    <w:rsid w:val="009B2EA4"/>
    <w:rsid w:val="009B2EB9"/>
    <w:rsid w:val="009B2FAE"/>
    <w:rsid w:val="009B2FCD"/>
    <w:rsid w:val="009B31A7"/>
    <w:rsid w:val="009B31B0"/>
    <w:rsid w:val="009B3273"/>
    <w:rsid w:val="009B3274"/>
    <w:rsid w:val="009B336B"/>
    <w:rsid w:val="009B33AC"/>
    <w:rsid w:val="009B3445"/>
    <w:rsid w:val="009B346D"/>
    <w:rsid w:val="009B3487"/>
    <w:rsid w:val="009B34EA"/>
    <w:rsid w:val="009B3561"/>
    <w:rsid w:val="009B3584"/>
    <w:rsid w:val="009B3592"/>
    <w:rsid w:val="009B3726"/>
    <w:rsid w:val="009B376A"/>
    <w:rsid w:val="009B3775"/>
    <w:rsid w:val="009B3853"/>
    <w:rsid w:val="009B385B"/>
    <w:rsid w:val="009B3878"/>
    <w:rsid w:val="009B38BF"/>
    <w:rsid w:val="009B3926"/>
    <w:rsid w:val="009B3994"/>
    <w:rsid w:val="009B399D"/>
    <w:rsid w:val="009B39EB"/>
    <w:rsid w:val="009B3A00"/>
    <w:rsid w:val="009B3A43"/>
    <w:rsid w:val="009B3AFD"/>
    <w:rsid w:val="009B3B31"/>
    <w:rsid w:val="009B3B6E"/>
    <w:rsid w:val="009B3B73"/>
    <w:rsid w:val="009B3C2B"/>
    <w:rsid w:val="009B3CD8"/>
    <w:rsid w:val="009B3CF0"/>
    <w:rsid w:val="009B3D2E"/>
    <w:rsid w:val="009B3D7F"/>
    <w:rsid w:val="009B3EE1"/>
    <w:rsid w:val="009B3FC4"/>
    <w:rsid w:val="009B4000"/>
    <w:rsid w:val="009B4366"/>
    <w:rsid w:val="009B4438"/>
    <w:rsid w:val="009B446A"/>
    <w:rsid w:val="009B4482"/>
    <w:rsid w:val="009B451D"/>
    <w:rsid w:val="009B472E"/>
    <w:rsid w:val="009B4784"/>
    <w:rsid w:val="009B47A7"/>
    <w:rsid w:val="009B47DC"/>
    <w:rsid w:val="009B47EC"/>
    <w:rsid w:val="009B484A"/>
    <w:rsid w:val="009B4855"/>
    <w:rsid w:val="009B48D2"/>
    <w:rsid w:val="009B4991"/>
    <w:rsid w:val="009B4A97"/>
    <w:rsid w:val="009B4AC8"/>
    <w:rsid w:val="009B4B76"/>
    <w:rsid w:val="009B4BF5"/>
    <w:rsid w:val="009B4CA8"/>
    <w:rsid w:val="009B4CB1"/>
    <w:rsid w:val="009B4D1D"/>
    <w:rsid w:val="009B4D5D"/>
    <w:rsid w:val="009B4DED"/>
    <w:rsid w:val="009B4E3E"/>
    <w:rsid w:val="009B4E46"/>
    <w:rsid w:val="009B5098"/>
    <w:rsid w:val="009B518D"/>
    <w:rsid w:val="009B5210"/>
    <w:rsid w:val="009B5254"/>
    <w:rsid w:val="009B52A2"/>
    <w:rsid w:val="009B52ED"/>
    <w:rsid w:val="009B52F2"/>
    <w:rsid w:val="009B5407"/>
    <w:rsid w:val="009B5426"/>
    <w:rsid w:val="009B547C"/>
    <w:rsid w:val="009B54DA"/>
    <w:rsid w:val="009B54F1"/>
    <w:rsid w:val="009B5588"/>
    <w:rsid w:val="009B564F"/>
    <w:rsid w:val="009B576B"/>
    <w:rsid w:val="009B5773"/>
    <w:rsid w:val="009B5814"/>
    <w:rsid w:val="009B589B"/>
    <w:rsid w:val="009B591D"/>
    <w:rsid w:val="009B5948"/>
    <w:rsid w:val="009B5965"/>
    <w:rsid w:val="009B5A2E"/>
    <w:rsid w:val="009B5A46"/>
    <w:rsid w:val="009B5A73"/>
    <w:rsid w:val="009B5BE2"/>
    <w:rsid w:val="009B5C0A"/>
    <w:rsid w:val="009B5C29"/>
    <w:rsid w:val="009B5C9E"/>
    <w:rsid w:val="009B5CA9"/>
    <w:rsid w:val="009B5D50"/>
    <w:rsid w:val="009B5D62"/>
    <w:rsid w:val="009B5D8B"/>
    <w:rsid w:val="009B5E99"/>
    <w:rsid w:val="009B5ED6"/>
    <w:rsid w:val="009B60B8"/>
    <w:rsid w:val="009B60B9"/>
    <w:rsid w:val="009B60E8"/>
    <w:rsid w:val="009B615C"/>
    <w:rsid w:val="009B61A7"/>
    <w:rsid w:val="009B61AB"/>
    <w:rsid w:val="009B6208"/>
    <w:rsid w:val="009B6276"/>
    <w:rsid w:val="009B6458"/>
    <w:rsid w:val="009B6520"/>
    <w:rsid w:val="009B654F"/>
    <w:rsid w:val="009B65F0"/>
    <w:rsid w:val="009B6607"/>
    <w:rsid w:val="009B668E"/>
    <w:rsid w:val="009B669C"/>
    <w:rsid w:val="009B66AD"/>
    <w:rsid w:val="009B66AE"/>
    <w:rsid w:val="009B672C"/>
    <w:rsid w:val="009B672F"/>
    <w:rsid w:val="009B6754"/>
    <w:rsid w:val="009B6791"/>
    <w:rsid w:val="009B67ED"/>
    <w:rsid w:val="009B6A4A"/>
    <w:rsid w:val="009B6C0C"/>
    <w:rsid w:val="009B6C14"/>
    <w:rsid w:val="009B6C7F"/>
    <w:rsid w:val="009B6C93"/>
    <w:rsid w:val="009B6DE2"/>
    <w:rsid w:val="009B6F42"/>
    <w:rsid w:val="009B705B"/>
    <w:rsid w:val="009B708A"/>
    <w:rsid w:val="009B713E"/>
    <w:rsid w:val="009B7176"/>
    <w:rsid w:val="009B7184"/>
    <w:rsid w:val="009B7235"/>
    <w:rsid w:val="009B7248"/>
    <w:rsid w:val="009B72A4"/>
    <w:rsid w:val="009B72C2"/>
    <w:rsid w:val="009B72C9"/>
    <w:rsid w:val="009B735D"/>
    <w:rsid w:val="009B7471"/>
    <w:rsid w:val="009B74A3"/>
    <w:rsid w:val="009B74C4"/>
    <w:rsid w:val="009B7524"/>
    <w:rsid w:val="009B75F7"/>
    <w:rsid w:val="009B7751"/>
    <w:rsid w:val="009B7765"/>
    <w:rsid w:val="009B779F"/>
    <w:rsid w:val="009B77D7"/>
    <w:rsid w:val="009B77FC"/>
    <w:rsid w:val="009B7800"/>
    <w:rsid w:val="009B7855"/>
    <w:rsid w:val="009B7869"/>
    <w:rsid w:val="009B7882"/>
    <w:rsid w:val="009B7981"/>
    <w:rsid w:val="009B79B4"/>
    <w:rsid w:val="009B79EF"/>
    <w:rsid w:val="009B7A8A"/>
    <w:rsid w:val="009B7B50"/>
    <w:rsid w:val="009B7B7E"/>
    <w:rsid w:val="009B7C0E"/>
    <w:rsid w:val="009B7C18"/>
    <w:rsid w:val="009B7C36"/>
    <w:rsid w:val="009B7CA5"/>
    <w:rsid w:val="009B7CDD"/>
    <w:rsid w:val="009B7CDE"/>
    <w:rsid w:val="009B7CE8"/>
    <w:rsid w:val="009B7E22"/>
    <w:rsid w:val="009B7F74"/>
    <w:rsid w:val="009B7FCD"/>
    <w:rsid w:val="009C0007"/>
    <w:rsid w:val="009C005E"/>
    <w:rsid w:val="009C007C"/>
    <w:rsid w:val="009C007F"/>
    <w:rsid w:val="009C00A7"/>
    <w:rsid w:val="009C00E8"/>
    <w:rsid w:val="009C0116"/>
    <w:rsid w:val="009C016C"/>
    <w:rsid w:val="009C01B5"/>
    <w:rsid w:val="009C01F7"/>
    <w:rsid w:val="009C02B6"/>
    <w:rsid w:val="009C042E"/>
    <w:rsid w:val="009C0480"/>
    <w:rsid w:val="009C049F"/>
    <w:rsid w:val="009C0507"/>
    <w:rsid w:val="009C0543"/>
    <w:rsid w:val="009C0590"/>
    <w:rsid w:val="009C062E"/>
    <w:rsid w:val="009C0668"/>
    <w:rsid w:val="009C06C9"/>
    <w:rsid w:val="009C0759"/>
    <w:rsid w:val="009C0810"/>
    <w:rsid w:val="009C09C2"/>
    <w:rsid w:val="009C09F5"/>
    <w:rsid w:val="009C09FB"/>
    <w:rsid w:val="009C0A08"/>
    <w:rsid w:val="009C0A45"/>
    <w:rsid w:val="009C0AFA"/>
    <w:rsid w:val="009C0B21"/>
    <w:rsid w:val="009C0B94"/>
    <w:rsid w:val="009C0BAE"/>
    <w:rsid w:val="009C0BDF"/>
    <w:rsid w:val="009C0BF3"/>
    <w:rsid w:val="009C0C5A"/>
    <w:rsid w:val="009C0C70"/>
    <w:rsid w:val="009C0D6F"/>
    <w:rsid w:val="009C0D70"/>
    <w:rsid w:val="009C0E01"/>
    <w:rsid w:val="009C0EB0"/>
    <w:rsid w:val="009C0EC5"/>
    <w:rsid w:val="009C0F28"/>
    <w:rsid w:val="009C0F30"/>
    <w:rsid w:val="009C0F76"/>
    <w:rsid w:val="009C1047"/>
    <w:rsid w:val="009C106A"/>
    <w:rsid w:val="009C10AC"/>
    <w:rsid w:val="009C10BC"/>
    <w:rsid w:val="009C10E0"/>
    <w:rsid w:val="009C10E9"/>
    <w:rsid w:val="009C11A1"/>
    <w:rsid w:val="009C1235"/>
    <w:rsid w:val="009C12CE"/>
    <w:rsid w:val="009C1339"/>
    <w:rsid w:val="009C1368"/>
    <w:rsid w:val="009C1478"/>
    <w:rsid w:val="009C15B3"/>
    <w:rsid w:val="009C15D9"/>
    <w:rsid w:val="009C1609"/>
    <w:rsid w:val="009C1689"/>
    <w:rsid w:val="009C16B3"/>
    <w:rsid w:val="009C176D"/>
    <w:rsid w:val="009C1792"/>
    <w:rsid w:val="009C18C0"/>
    <w:rsid w:val="009C18E9"/>
    <w:rsid w:val="009C1913"/>
    <w:rsid w:val="009C1968"/>
    <w:rsid w:val="009C19E6"/>
    <w:rsid w:val="009C1A34"/>
    <w:rsid w:val="009C1BDA"/>
    <w:rsid w:val="009C1CB3"/>
    <w:rsid w:val="009C1D00"/>
    <w:rsid w:val="009C1D57"/>
    <w:rsid w:val="009C1D8C"/>
    <w:rsid w:val="009C1E1A"/>
    <w:rsid w:val="009C1E27"/>
    <w:rsid w:val="009C1EB4"/>
    <w:rsid w:val="009C1EE4"/>
    <w:rsid w:val="009C1F4A"/>
    <w:rsid w:val="009C1FAD"/>
    <w:rsid w:val="009C2041"/>
    <w:rsid w:val="009C2043"/>
    <w:rsid w:val="009C213C"/>
    <w:rsid w:val="009C2190"/>
    <w:rsid w:val="009C22BC"/>
    <w:rsid w:val="009C22DB"/>
    <w:rsid w:val="009C235B"/>
    <w:rsid w:val="009C2438"/>
    <w:rsid w:val="009C243B"/>
    <w:rsid w:val="009C2470"/>
    <w:rsid w:val="009C2489"/>
    <w:rsid w:val="009C24DD"/>
    <w:rsid w:val="009C253C"/>
    <w:rsid w:val="009C2579"/>
    <w:rsid w:val="009C2707"/>
    <w:rsid w:val="009C2787"/>
    <w:rsid w:val="009C27E9"/>
    <w:rsid w:val="009C29D8"/>
    <w:rsid w:val="009C2A4B"/>
    <w:rsid w:val="009C2A4E"/>
    <w:rsid w:val="009C2A7B"/>
    <w:rsid w:val="009C2AEE"/>
    <w:rsid w:val="009C2B1A"/>
    <w:rsid w:val="009C2B96"/>
    <w:rsid w:val="009C2CCD"/>
    <w:rsid w:val="009C2CCE"/>
    <w:rsid w:val="009C2E79"/>
    <w:rsid w:val="009C2EE7"/>
    <w:rsid w:val="009C2FDB"/>
    <w:rsid w:val="009C2FF1"/>
    <w:rsid w:val="009C3069"/>
    <w:rsid w:val="009C3072"/>
    <w:rsid w:val="009C3080"/>
    <w:rsid w:val="009C30A1"/>
    <w:rsid w:val="009C30BC"/>
    <w:rsid w:val="009C31B3"/>
    <w:rsid w:val="009C323E"/>
    <w:rsid w:val="009C3312"/>
    <w:rsid w:val="009C3371"/>
    <w:rsid w:val="009C33BF"/>
    <w:rsid w:val="009C33E5"/>
    <w:rsid w:val="009C35CD"/>
    <w:rsid w:val="009C37C4"/>
    <w:rsid w:val="009C37EB"/>
    <w:rsid w:val="009C3861"/>
    <w:rsid w:val="009C3892"/>
    <w:rsid w:val="009C392C"/>
    <w:rsid w:val="009C395A"/>
    <w:rsid w:val="009C3975"/>
    <w:rsid w:val="009C3A5C"/>
    <w:rsid w:val="009C3ACC"/>
    <w:rsid w:val="009C3B2D"/>
    <w:rsid w:val="009C3B42"/>
    <w:rsid w:val="009C3B9A"/>
    <w:rsid w:val="009C3BA2"/>
    <w:rsid w:val="009C3BC7"/>
    <w:rsid w:val="009C3BD9"/>
    <w:rsid w:val="009C3DFB"/>
    <w:rsid w:val="009C3E65"/>
    <w:rsid w:val="009C3E68"/>
    <w:rsid w:val="009C3E6A"/>
    <w:rsid w:val="009C3F0E"/>
    <w:rsid w:val="009C3F50"/>
    <w:rsid w:val="009C3F65"/>
    <w:rsid w:val="009C3FE1"/>
    <w:rsid w:val="009C40C5"/>
    <w:rsid w:val="009C4180"/>
    <w:rsid w:val="009C4227"/>
    <w:rsid w:val="009C42DF"/>
    <w:rsid w:val="009C42F1"/>
    <w:rsid w:val="009C42FD"/>
    <w:rsid w:val="009C43BC"/>
    <w:rsid w:val="009C4410"/>
    <w:rsid w:val="009C445C"/>
    <w:rsid w:val="009C44BC"/>
    <w:rsid w:val="009C45DE"/>
    <w:rsid w:val="009C4642"/>
    <w:rsid w:val="009C4692"/>
    <w:rsid w:val="009C46B8"/>
    <w:rsid w:val="009C476E"/>
    <w:rsid w:val="009C4804"/>
    <w:rsid w:val="009C480C"/>
    <w:rsid w:val="009C48AD"/>
    <w:rsid w:val="009C4A05"/>
    <w:rsid w:val="009C4AA9"/>
    <w:rsid w:val="009C4BD3"/>
    <w:rsid w:val="009C4C1A"/>
    <w:rsid w:val="009C4C7E"/>
    <w:rsid w:val="009C4CB6"/>
    <w:rsid w:val="009C4CEE"/>
    <w:rsid w:val="009C4D5D"/>
    <w:rsid w:val="009C4E7A"/>
    <w:rsid w:val="009C4EED"/>
    <w:rsid w:val="009C4F1D"/>
    <w:rsid w:val="009C4F28"/>
    <w:rsid w:val="009C4F91"/>
    <w:rsid w:val="009C507A"/>
    <w:rsid w:val="009C517E"/>
    <w:rsid w:val="009C524E"/>
    <w:rsid w:val="009C52B8"/>
    <w:rsid w:val="009C5344"/>
    <w:rsid w:val="009C53EB"/>
    <w:rsid w:val="009C5431"/>
    <w:rsid w:val="009C5451"/>
    <w:rsid w:val="009C546D"/>
    <w:rsid w:val="009C54D4"/>
    <w:rsid w:val="009C5515"/>
    <w:rsid w:val="009C5662"/>
    <w:rsid w:val="009C56B4"/>
    <w:rsid w:val="009C56C9"/>
    <w:rsid w:val="009C58EE"/>
    <w:rsid w:val="009C594F"/>
    <w:rsid w:val="009C59FB"/>
    <w:rsid w:val="009C59FC"/>
    <w:rsid w:val="009C5A00"/>
    <w:rsid w:val="009C5A40"/>
    <w:rsid w:val="009C5B56"/>
    <w:rsid w:val="009C5C3F"/>
    <w:rsid w:val="009C5DBF"/>
    <w:rsid w:val="009C5DFA"/>
    <w:rsid w:val="009C5E13"/>
    <w:rsid w:val="009C5F82"/>
    <w:rsid w:val="009C6034"/>
    <w:rsid w:val="009C60C5"/>
    <w:rsid w:val="009C6115"/>
    <w:rsid w:val="009C6149"/>
    <w:rsid w:val="009C6197"/>
    <w:rsid w:val="009C61C4"/>
    <w:rsid w:val="009C62C5"/>
    <w:rsid w:val="009C6395"/>
    <w:rsid w:val="009C6539"/>
    <w:rsid w:val="009C65EC"/>
    <w:rsid w:val="009C6604"/>
    <w:rsid w:val="009C6671"/>
    <w:rsid w:val="009C6792"/>
    <w:rsid w:val="009C6894"/>
    <w:rsid w:val="009C68C4"/>
    <w:rsid w:val="009C69DE"/>
    <w:rsid w:val="009C69E5"/>
    <w:rsid w:val="009C6A7B"/>
    <w:rsid w:val="009C6A7F"/>
    <w:rsid w:val="009C6C67"/>
    <w:rsid w:val="009C6CA9"/>
    <w:rsid w:val="009C6CB2"/>
    <w:rsid w:val="009C6DAE"/>
    <w:rsid w:val="009C6E52"/>
    <w:rsid w:val="009C6E71"/>
    <w:rsid w:val="009C6F52"/>
    <w:rsid w:val="009C707C"/>
    <w:rsid w:val="009C720D"/>
    <w:rsid w:val="009C72C2"/>
    <w:rsid w:val="009C736C"/>
    <w:rsid w:val="009C742B"/>
    <w:rsid w:val="009C7435"/>
    <w:rsid w:val="009C747C"/>
    <w:rsid w:val="009C7523"/>
    <w:rsid w:val="009C756C"/>
    <w:rsid w:val="009C75A5"/>
    <w:rsid w:val="009C766B"/>
    <w:rsid w:val="009C767B"/>
    <w:rsid w:val="009C781D"/>
    <w:rsid w:val="009C787D"/>
    <w:rsid w:val="009C7BAC"/>
    <w:rsid w:val="009C7D17"/>
    <w:rsid w:val="009C7D2B"/>
    <w:rsid w:val="009C7D57"/>
    <w:rsid w:val="009C7D5C"/>
    <w:rsid w:val="009C7D86"/>
    <w:rsid w:val="009C7E16"/>
    <w:rsid w:val="009C7E6E"/>
    <w:rsid w:val="009C7EDE"/>
    <w:rsid w:val="009C7F7C"/>
    <w:rsid w:val="009C7FB6"/>
    <w:rsid w:val="009D0010"/>
    <w:rsid w:val="009D0161"/>
    <w:rsid w:val="009D0174"/>
    <w:rsid w:val="009D01AC"/>
    <w:rsid w:val="009D0237"/>
    <w:rsid w:val="009D0308"/>
    <w:rsid w:val="009D032B"/>
    <w:rsid w:val="009D03BF"/>
    <w:rsid w:val="009D03C1"/>
    <w:rsid w:val="009D03D5"/>
    <w:rsid w:val="009D041A"/>
    <w:rsid w:val="009D050A"/>
    <w:rsid w:val="009D059A"/>
    <w:rsid w:val="009D06BF"/>
    <w:rsid w:val="009D06CA"/>
    <w:rsid w:val="009D0847"/>
    <w:rsid w:val="009D087F"/>
    <w:rsid w:val="009D0938"/>
    <w:rsid w:val="009D0940"/>
    <w:rsid w:val="009D099C"/>
    <w:rsid w:val="009D0A40"/>
    <w:rsid w:val="009D0A84"/>
    <w:rsid w:val="009D0AE5"/>
    <w:rsid w:val="009D0B1F"/>
    <w:rsid w:val="009D0B94"/>
    <w:rsid w:val="009D0BBF"/>
    <w:rsid w:val="009D0BE5"/>
    <w:rsid w:val="009D0C5C"/>
    <w:rsid w:val="009D0CC9"/>
    <w:rsid w:val="009D0D0E"/>
    <w:rsid w:val="009D0D53"/>
    <w:rsid w:val="009D0D5F"/>
    <w:rsid w:val="009D0DB7"/>
    <w:rsid w:val="009D0E68"/>
    <w:rsid w:val="009D0EB8"/>
    <w:rsid w:val="009D0EE0"/>
    <w:rsid w:val="009D0F74"/>
    <w:rsid w:val="009D10BB"/>
    <w:rsid w:val="009D10C7"/>
    <w:rsid w:val="009D110F"/>
    <w:rsid w:val="009D1152"/>
    <w:rsid w:val="009D1173"/>
    <w:rsid w:val="009D119A"/>
    <w:rsid w:val="009D1292"/>
    <w:rsid w:val="009D131B"/>
    <w:rsid w:val="009D1405"/>
    <w:rsid w:val="009D14D3"/>
    <w:rsid w:val="009D15A5"/>
    <w:rsid w:val="009D15C4"/>
    <w:rsid w:val="009D1640"/>
    <w:rsid w:val="009D170B"/>
    <w:rsid w:val="009D1711"/>
    <w:rsid w:val="009D175C"/>
    <w:rsid w:val="009D17C0"/>
    <w:rsid w:val="009D1869"/>
    <w:rsid w:val="009D18B4"/>
    <w:rsid w:val="009D18FE"/>
    <w:rsid w:val="009D196B"/>
    <w:rsid w:val="009D1A52"/>
    <w:rsid w:val="009D1A8B"/>
    <w:rsid w:val="009D1AB4"/>
    <w:rsid w:val="009D1AE3"/>
    <w:rsid w:val="009D1C03"/>
    <w:rsid w:val="009D1CD2"/>
    <w:rsid w:val="009D1CE6"/>
    <w:rsid w:val="009D1D35"/>
    <w:rsid w:val="009D1E50"/>
    <w:rsid w:val="009D1F50"/>
    <w:rsid w:val="009D1F84"/>
    <w:rsid w:val="009D20F5"/>
    <w:rsid w:val="009D20FC"/>
    <w:rsid w:val="009D215B"/>
    <w:rsid w:val="009D219E"/>
    <w:rsid w:val="009D21DA"/>
    <w:rsid w:val="009D2271"/>
    <w:rsid w:val="009D22CF"/>
    <w:rsid w:val="009D2340"/>
    <w:rsid w:val="009D2349"/>
    <w:rsid w:val="009D2388"/>
    <w:rsid w:val="009D239A"/>
    <w:rsid w:val="009D246B"/>
    <w:rsid w:val="009D247B"/>
    <w:rsid w:val="009D2549"/>
    <w:rsid w:val="009D257A"/>
    <w:rsid w:val="009D25FC"/>
    <w:rsid w:val="009D2617"/>
    <w:rsid w:val="009D26D7"/>
    <w:rsid w:val="009D27A6"/>
    <w:rsid w:val="009D2805"/>
    <w:rsid w:val="009D2828"/>
    <w:rsid w:val="009D287B"/>
    <w:rsid w:val="009D289F"/>
    <w:rsid w:val="009D2936"/>
    <w:rsid w:val="009D297F"/>
    <w:rsid w:val="009D29D0"/>
    <w:rsid w:val="009D2A85"/>
    <w:rsid w:val="009D2AA8"/>
    <w:rsid w:val="009D2AE0"/>
    <w:rsid w:val="009D2B01"/>
    <w:rsid w:val="009D2B4F"/>
    <w:rsid w:val="009D2CA4"/>
    <w:rsid w:val="009D2CFF"/>
    <w:rsid w:val="009D2D0D"/>
    <w:rsid w:val="009D2D4C"/>
    <w:rsid w:val="009D2DF9"/>
    <w:rsid w:val="009D2E8C"/>
    <w:rsid w:val="009D2EA5"/>
    <w:rsid w:val="009D2EA7"/>
    <w:rsid w:val="009D2EFD"/>
    <w:rsid w:val="009D2FB7"/>
    <w:rsid w:val="009D305D"/>
    <w:rsid w:val="009D30E2"/>
    <w:rsid w:val="009D3168"/>
    <w:rsid w:val="009D31DD"/>
    <w:rsid w:val="009D32BE"/>
    <w:rsid w:val="009D3348"/>
    <w:rsid w:val="009D35EC"/>
    <w:rsid w:val="009D3645"/>
    <w:rsid w:val="009D36F9"/>
    <w:rsid w:val="009D3736"/>
    <w:rsid w:val="009D3763"/>
    <w:rsid w:val="009D37F5"/>
    <w:rsid w:val="009D3814"/>
    <w:rsid w:val="009D3886"/>
    <w:rsid w:val="009D3929"/>
    <w:rsid w:val="009D3A38"/>
    <w:rsid w:val="009D3B2E"/>
    <w:rsid w:val="009D3D04"/>
    <w:rsid w:val="009D3D61"/>
    <w:rsid w:val="009D3DC0"/>
    <w:rsid w:val="009D3E60"/>
    <w:rsid w:val="009D3EA8"/>
    <w:rsid w:val="009D3F00"/>
    <w:rsid w:val="009D3F52"/>
    <w:rsid w:val="009D3FB7"/>
    <w:rsid w:val="009D4067"/>
    <w:rsid w:val="009D4117"/>
    <w:rsid w:val="009D42F8"/>
    <w:rsid w:val="009D431E"/>
    <w:rsid w:val="009D4399"/>
    <w:rsid w:val="009D4590"/>
    <w:rsid w:val="009D460E"/>
    <w:rsid w:val="009D462C"/>
    <w:rsid w:val="009D46C5"/>
    <w:rsid w:val="009D474F"/>
    <w:rsid w:val="009D47AE"/>
    <w:rsid w:val="009D4900"/>
    <w:rsid w:val="009D4ACF"/>
    <w:rsid w:val="009D4B57"/>
    <w:rsid w:val="009D4B6C"/>
    <w:rsid w:val="009D4BD7"/>
    <w:rsid w:val="009D4C3B"/>
    <w:rsid w:val="009D4C71"/>
    <w:rsid w:val="009D4D62"/>
    <w:rsid w:val="009D4DC4"/>
    <w:rsid w:val="009D4EEF"/>
    <w:rsid w:val="009D4FA6"/>
    <w:rsid w:val="009D4FF4"/>
    <w:rsid w:val="009D500F"/>
    <w:rsid w:val="009D5016"/>
    <w:rsid w:val="009D50C4"/>
    <w:rsid w:val="009D50E9"/>
    <w:rsid w:val="009D511C"/>
    <w:rsid w:val="009D512B"/>
    <w:rsid w:val="009D5166"/>
    <w:rsid w:val="009D51DF"/>
    <w:rsid w:val="009D531E"/>
    <w:rsid w:val="009D5329"/>
    <w:rsid w:val="009D53A9"/>
    <w:rsid w:val="009D542C"/>
    <w:rsid w:val="009D5438"/>
    <w:rsid w:val="009D54DB"/>
    <w:rsid w:val="009D5516"/>
    <w:rsid w:val="009D5517"/>
    <w:rsid w:val="009D565B"/>
    <w:rsid w:val="009D5761"/>
    <w:rsid w:val="009D579F"/>
    <w:rsid w:val="009D57BC"/>
    <w:rsid w:val="009D57D2"/>
    <w:rsid w:val="009D581A"/>
    <w:rsid w:val="009D5844"/>
    <w:rsid w:val="009D58D5"/>
    <w:rsid w:val="009D58E8"/>
    <w:rsid w:val="009D58FC"/>
    <w:rsid w:val="009D5913"/>
    <w:rsid w:val="009D592E"/>
    <w:rsid w:val="009D5A4B"/>
    <w:rsid w:val="009D5A5C"/>
    <w:rsid w:val="009D5AC7"/>
    <w:rsid w:val="009D5AF6"/>
    <w:rsid w:val="009D5B4C"/>
    <w:rsid w:val="009D5B8F"/>
    <w:rsid w:val="009D5BB1"/>
    <w:rsid w:val="009D5C01"/>
    <w:rsid w:val="009D5C9C"/>
    <w:rsid w:val="009D5DDE"/>
    <w:rsid w:val="009D5E2B"/>
    <w:rsid w:val="009D5E91"/>
    <w:rsid w:val="009D5FCD"/>
    <w:rsid w:val="009D5FFB"/>
    <w:rsid w:val="009D6040"/>
    <w:rsid w:val="009D6068"/>
    <w:rsid w:val="009D607D"/>
    <w:rsid w:val="009D60FD"/>
    <w:rsid w:val="009D610A"/>
    <w:rsid w:val="009D6127"/>
    <w:rsid w:val="009D6131"/>
    <w:rsid w:val="009D6184"/>
    <w:rsid w:val="009D6185"/>
    <w:rsid w:val="009D6269"/>
    <w:rsid w:val="009D6297"/>
    <w:rsid w:val="009D635C"/>
    <w:rsid w:val="009D6367"/>
    <w:rsid w:val="009D63F8"/>
    <w:rsid w:val="009D6475"/>
    <w:rsid w:val="009D64C2"/>
    <w:rsid w:val="009D64D9"/>
    <w:rsid w:val="009D650F"/>
    <w:rsid w:val="009D65C1"/>
    <w:rsid w:val="009D65CE"/>
    <w:rsid w:val="009D669A"/>
    <w:rsid w:val="009D66ED"/>
    <w:rsid w:val="009D66FF"/>
    <w:rsid w:val="009D671D"/>
    <w:rsid w:val="009D6741"/>
    <w:rsid w:val="009D6885"/>
    <w:rsid w:val="009D6971"/>
    <w:rsid w:val="009D69FA"/>
    <w:rsid w:val="009D6A1B"/>
    <w:rsid w:val="009D6A33"/>
    <w:rsid w:val="009D6A4E"/>
    <w:rsid w:val="009D6B13"/>
    <w:rsid w:val="009D6BEA"/>
    <w:rsid w:val="009D6C0E"/>
    <w:rsid w:val="009D6C55"/>
    <w:rsid w:val="009D6DBF"/>
    <w:rsid w:val="009D6DED"/>
    <w:rsid w:val="009D6E5D"/>
    <w:rsid w:val="009D6EAF"/>
    <w:rsid w:val="009D6EC8"/>
    <w:rsid w:val="009D6FE2"/>
    <w:rsid w:val="009D7064"/>
    <w:rsid w:val="009D719D"/>
    <w:rsid w:val="009D7253"/>
    <w:rsid w:val="009D7272"/>
    <w:rsid w:val="009D7282"/>
    <w:rsid w:val="009D72F9"/>
    <w:rsid w:val="009D7372"/>
    <w:rsid w:val="009D737B"/>
    <w:rsid w:val="009D743C"/>
    <w:rsid w:val="009D7490"/>
    <w:rsid w:val="009D74E1"/>
    <w:rsid w:val="009D7554"/>
    <w:rsid w:val="009D75C4"/>
    <w:rsid w:val="009D760F"/>
    <w:rsid w:val="009D7626"/>
    <w:rsid w:val="009D7686"/>
    <w:rsid w:val="009D7771"/>
    <w:rsid w:val="009D7829"/>
    <w:rsid w:val="009D7AA4"/>
    <w:rsid w:val="009D7C23"/>
    <w:rsid w:val="009D7DD3"/>
    <w:rsid w:val="009D7E07"/>
    <w:rsid w:val="009D7E69"/>
    <w:rsid w:val="009D7EA8"/>
    <w:rsid w:val="009D7ECF"/>
    <w:rsid w:val="009D7EF0"/>
    <w:rsid w:val="009D7F53"/>
    <w:rsid w:val="009E01CA"/>
    <w:rsid w:val="009E01E5"/>
    <w:rsid w:val="009E021C"/>
    <w:rsid w:val="009E02EE"/>
    <w:rsid w:val="009E033B"/>
    <w:rsid w:val="009E0395"/>
    <w:rsid w:val="009E03ED"/>
    <w:rsid w:val="009E0493"/>
    <w:rsid w:val="009E04E4"/>
    <w:rsid w:val="009E0604"/>
    <w:rsid w:val="009E060C"/>
    <w:rsid w:val="009E0679"/>
    <w:rsid w:val="009E06D5"/>
    <w:rsid w:val="009E0702"/>
    <w:rsid w:val="009E0728"/>
    <w:rsid w:val="009E0757"/>
    <w:rsid w:val="009E0795"/>
    <w:rsid w:val="009E07CE"/>
    <w:rsid w:val="009E0814"/>
    <w:rsid w:val="009E0851"/>
    <w:rsid w:val="009E0889"/>
    <w:rsid w:val="009E0961"/>
    <w:rsid w:val="009E09C1"/>
    <w:rsid w:val="009E09D8"/>
    <w:rsid w:val="009E0A52"/>
    <w:rsid w:val="009E0A9C"/>
    <w:rsid w:val="009E0AE2"/>
    <w:rsid w:val="009E0B62"/>
    <w:rsid w:val="009E0BD1"/>
    <w:rsid w:val="009E0C87"/>
    <w:rsid w:val="009E0CA5"/>
    <w:rsid w:val="009E0E3B"/>
    <w:rsid w:val="009E0E85"/>
    <w:rsid w:val="009E0F4E"/>
    <w:rsid w:val="009E1037"/>
    <w:rsid w:val="009E10D5"/>
    <w:rsid w:val="009E1128"/>
    <w:rsid w:val="009E1130"/>
    <w:rsid w:val="009E12ED"/>
    <w:rsid w:val="009E135E"/>
    <w:rsid w:val="009E139E"/>
    <w:rsid w:val="009E13AF"/>
    <w:rsid w:val="009E13F6"/>
    <w:rsid w:val="009E153B"/>
    <w:rsid w:val="009E1560"/>
    <w:rsid w:val="009E15CF"/>
    <w:rsid w:val="009E15F3"/>
    <w:rsid w:val="009E1687"/>
    <w:rsid w:val="009E16F7"/>
    <w:rsid w:val="009E171B"/>
    <w:rsid w:val="009E180C"/>
    <w:rsid w:val="009E1871"/>
    <w:rsid w:val="009E199E"/>
    <w:rsid w:val="009E19E9"/>
    <w:rsid w:val="009E1A2D"/>
    <w:rsid w:val="009E1A97"/>
    <w:rsid w:val="009E1B14"/>
    <w:rsid w:val="009E1B62"/>
    <w:rsid w:val="009E1B98"/>
    <w:rsid w:val="009E1BA2"/>
    <w:rsid w:val="009E1BB7"/>
    <w:rsid w:val="009E1C29"/>
    <w:rsid w:val="009E1C8E"/>
    <w:rsid w:val="009E1CA4"/>
    <w:rsid w:val="009E1CE4"/>
    <w:rsid w:val="009E1D22"/>
    <w:rsid w:val="009E1D24"/>
    <w:rsid w:val="009E21E9"/>
    <w:rsid w:val="009E222D"/>
    <w:rsid w:val="009E2244"/>
    <w:rsid w:val="009E22C0"/>
    <w:rsid w:val="009E22C3"/>
    <w:rsid w:val="009E2401"/>
    <w:rsid w:val="009E2526"/>
    <w:rsid w:val="009E2590"/>
    <w:rsid w:val="009E2596"/>
    <w:rsid w:val="009E26FC"/>
    <w:rsid w:val="009E27E5"/>
    <w:rsid w:val="009E282F"/>
    <w:rsid w:val="009E28C7"/>
    <w:rsid w:val="009E28D0"/>
    <w:rsid w:val="009E293F"/>
    <w:rsid w:val="009E2A5F"/>
    <w:rsid w:val="009E2AB5"/>
    <w:rsid w:val="009E2BB1"/>
    <w:rsid w:val="009E2BE8"/>
    <w:rsid w:val="009E2C14"/>
    <w:rsid w:val="009E2C3B"/>
    <w:rsid w:val="009E2CAC"/>
    <w:rsid w:val="009E2D12"/>
    <w:rsid w:val="009E2D72"/>
    <w:rsid w:val="009E2DF2"/>
    <w:rsid w:val="009E2DFE"/>
    <w:rsid w:val="009E2E12"/>
    <w:rsid w:val="009E2ED2"/>
    <w:rsid w:val="009E2EFE"/>
    <w:rsid w:val="009E2F9B"/>
    <w:rsid w:val="009E3003"/>
    <w:rsid w:val="009E3147"/>
    <w:rsid w:val="009E31B5"/>
    <w:rsid w:val="009E3245"/>
    <w:rsid w:val="009E3248"/>
    <w:rsid w:val="009E3333"/>
    <w:rsid w:val="009E348E"/>
    <w:rsid w:val="009E3508"/>
    <w:rsid w:val="009E357C"/>
    <w:rsid w:val="009E35D2"/>
    <w:rsid w:val="009E362D"/>
    <w:rsid w:val="009E3635"/>
    <w:rsid w:val="009E36E5"/>
    <w:rsid w:val="009E3774"/>
    <w:rsid w:val="009E37D9"/>
    <w:rsid w:val="009E37F9"/>
    <w:rsid w:val="009E3846"/>
    <w:rsid w:val="009E3855"/>
    <w:rsid w:val="009E3882"/>
    <w:rsid w:val="009E3982"/>
    <w:rsid w:val="009E39A2"/>
    <w:rsid w:val="009E3A2F"/>
    <w:rsid w:val="009E3B6C"/>
    <w:rsid w:val="009E3CF6"/>
    <w:rsid w:val="009E3D66"/>
    <w:rsid w:val="009E3DB2"/>
    <w:rsid w:val="009E3E30"/>
    <w:rsid w:val="009E3F0A"/>
    <w:rsid w:val="009E3F37"/>
    <w:rsid w:val="009E3F44"/>
    <w:rsid w:val="009E3F9E"/>
    <w:rsid w:val="009E400B"/>
    <w:rsid w:val="009E4016"/>
    <w:rsid w:val="009E403D"/>
    <w:rsid w:val="009E407A"/>
    <w:rsid w:val="009E409B"/>
    <w:rsid w:val="009E40B1"/>
    <w:rsid w:val="009E40CD"/>
    <w:rsid w:val="009E410E"/>
    <w:rsid w:val="009E4129"/>
    <w:rsid w:val="009E426E"/>
    <w:rsid w:val="009E42A7"/>
    <w:rsid w:val="009E4567"/>
    <w:rsid w:val="009E45F2"/>
    <w:rsid w:val="009E462E"/>
    <w:rsid w:val="009E4682"/>
    <w:rsid w:val="009E46B1"/>
    <w:rsid w:val="009E46C0"/>
    <w:rsid w:val="009E4739"/>
    <w:rsid w:val="009E4829"/>
    <w:rsid w:val="009E4912"/>
    <w:rsid w:val="009E498C"/>
    <w:rsid w:val="009E4992"/>
    <w:rsid w:val="009E4A93"/>
    <w:rsid w:val="009E4B4D"/>
    <w:rsid w:val="009E4C0E"/>
    <w:rsid w:val="009E4C72"/>
    <w:rsid w:val="009E4C98"/>
    <w:rsid w:val="009E4CEA"/>
    <w:rsid w:val="009E4CF5"/>
    <w:rsid w:val="009E4D0D"/>
    <w:rsid w:val="009E4D9B"/>
    <w:rsid w:val="009E4DA6"/>
    <w:rsid w:val="009E4E08"/>
    <w:rsid w:val="009E4E54"/>
    <w:rsid w:val="009E4EA6"/>
    <w:rsid w:val="009E4EB4"/>
    <w:rsid w:val="009E4EC7"/>
    <w:rsid w:val="009E4F72"/>
    <w:rsid w:val="009E4F73"/>
    <w:rsid w:val="009E4FD1"/>
    <w:rsid w:val="009E4FE8"/>
    <w:rsid w:val="009E5119"/>
    <w:rsid w:val="009E519F"/>
    <w:rsid w:val="009E52AC"/>
    <w:rsid w:val="009E52D4"/>
    <w:rsid w:val="009E535C"/>
    <w:rsid w:val="009E537A"/>
    <w:rsid w:val="009E53D2"/>
    <w:rsid w:val="009E5405"/>
    <w:rsid w:val="009E5438"/>
    <w:rsid w:val="009E5530"/>
    <w:rsid w:val="009E5578"/>
    <w:rsid w:val="009E56FC"/>
    <w:rsid w:val="009E5910"/>
    <w:rsid w:val="009E5958"/>
    <w:rsid w:val="009E5962"/>
    <w:rsid w:val="009E5BB4"/>
    <w:rsid w:val="009E5C53"/>
    <w:rsid w:val="009E5CD8"/>
    <w:rsid w:val="009E5CF4"/>
    <w:rsid w:val="009E5D0E"/>
    <w:rsid w:val="009E5D2A"/>
    <w:rsid w:val="009E5DC2"/>
    <w:rsid w:val="009E5DCB"/>
    <w:rsid w:val="009E5E63"/>
    <w:rsid w:val="009E5E94"/>
    <w:rsid w:val="009E5F6E"/>
    <w:rsid w:val="009E6006"/>
    <w:rsid w:val="009E60EB"/>
    <w:rsid w:val="009E6132"/>
    <w:rsid w:val="009E6133"/>
    <w:rsid w:val="009E6193"/>
    <w:rsid w:val="009E61C5"/>
    <w:rsid w:val="009E6386"/>
    <w:rsid w:val="009E63E6"/>
    <w:rsid w:val="009E6400"/>
    <w:rsid w:val="009E6463"/>
    <w:rsid w:val="009E66BC"/>
    <w:rsid w:val="009E673E"/>
    <w:rsid w:val="009E6802"/>
    <w:rsid w:val="009E6859"/>
    <w:rsid w:val="009E6961"/>
    <w:rsid w:val="009E6B7C"/>
    <w:rsid w:val="009E6B80"/>
    <w:rsid w:val="009E6B9B"/>
    <w:rsid w:val="009E6BF4"/>
    <w:rsid w:val="009E6C3E"/>
    <w:rsid w:val="009E6D24"/>
    <w:rsid w:val="009E6D3E"/>
    <w:rsid w:val="009E6D84"/>
    <w:rsid w:val="009E6E37"/>
    <w:rsid w:val="009E6EA3"/>
    <w:rsid w:val="009E6FB7"/>
    <w:rsid w:val="009E7034"/>
    <w:rsid w:val="009E723A"/>
    <w:rsid w:val="009E72A2"/>
    <w:rsid w:val="009E733E"/>
    <w:rsid w:val="009E7384"/>
    <w:rsid w:val="009E7430"/>
    <w:rsid w:val="009E7520"/>
    <w:rsid w:val="009E7609"/>
    <w:rsid w:val="009E76FF"/>
    <w:rsid w:val="009E7725"/>
    <w:rsid w:val="009E789F"/>
    <w:rsid w:val="009E79B4"/>
    <w:rsid w:val="009E7A39"/>
    <w:rsid w:val="009E7AC5"/>
    <w:rsid w:val="009E7AD4"/>
    <w:rsid w:val="009E7B1E"/>
    <w:rsid w:val="009E7B23"/>
    <w:rsid w:val="009E7B73"/>
    <w:rsid w:val="009E7B91"/>
    <w:rsid w:val="009E7C4F"/>
    <w:rsid w:val="009E7C8F"/>
    <w:rsid w:val="009E7CE3"/>
    <w:rsid w:val="009E7D05"/>
    <w:rsid w:val="009E7D1B"/>
    <w:rsid w:val="009E7D3D"/>
    <w:rsid w:val="009E7DAC"/>
    <w:rsid w:val="009E7DF4"/>
    <w:rsid w:val="009E7F58"/>
    <w:rsid w:val="009F00EA"/>
    <w:rsid w:val="009F0173"/>
    <w:rsid w:val="009F0196"/>
    <w:rsid w:val="009F01DA"/>
    <w:rsid w:val="009F024F"/>
    <w:rsid w:val="009F02B2"/>
    <w:rsid w:val="009F02DA"/>
    <w:rsid w:val="009F034E"/>
    <w:rsid w:val="009F0370"/>
    <w:rsid w:val="009F0380"/>
    <w:rsid w:val="009F03FE"/>
    <w:rsid w:val="009F0420"/>
    <w:rsid w:val="009F048B"/>
    <w:rsid w:val="009F0561"/>
    <w:rsid w:val="009F0695"/>
    <w:rsid w:val="009F06C6"/>
    <w:rsid w:val="009F06FC"/>
    <w:rsid w:val="009F0713"/>
    <w:rsid w:val="009F0716"/>
    <w:rsid w:val="009F073A"/>
    <w:rsid w:val="009F07C8"/>
    <w:rsid w:val="009F089E"/>
    <w:rsid w:val="009F08BB"/>
    <w:rsid w:val="009F08D4"/>
    <w:rsid w:val="009F0981"/>
    <w:rsid w:val="009F0AD7"/>
    <w:rsid w:val="009F0B1A"/>
    <w:rsid w:val="009F0B3D"/>
    <w:rsid w:val="009F0BC1"/>
    <w:rsid w:val="009F0C04"/>
    <w:rsid w:val="009F0C85"/>
    <w:rsid w:val="009F0D71"/>
    <w:rsid w:val="009F0E66"/>
    <w:rsid w:val="009F0FF3"/>
    <w:rsid w:val="009F1019"/>
    <w:rsid w:val="009F108A"/>
    <w:rsid w:val="009F108B"/>
    <w:rsid w:val="009F10F5"/>
    <w:rsid w:val="009F119C"/>
    <w:rsid w:val="009F11BF"/>
    <w:rsid w:val="009F124D"/>
    <w:rsid w:val="009F1284"/>
    <w:rsid w:val="009F137D"/>
    <w:rsid w:val="009F1380"/>
    <w:rsid w:val="009F140D"/>
    <w:rsid w:val="009F1424"/>
    <w:rsid w:val="009F1463"/>
    <w:rsid w:val="009F146C"/>
    <w:rsid w:val="009F14B5"/>
    <w:rsid w:val="009F14D5"/>
    <w:rsid w:val="009F1519"/>
    <w:rsid w:val="009F161A"/>
    <w:rsid w:val="009F1623"/>
    <w:rsid w:val="009F164A"/>
    <w:rsid w:val="009F1723"/>
    <w:rsid w:val="009F17CA"/>
    <w:rsid w:val="009F18F3"/>
    <w:rsid w:val="009F1A10"/>
    <w:rsid w:val="009F1A3E"/>
    <w:rsid w:val="009F1B51"/>
    <w:rsid w:val="009F1B9B"/>
    <w:rsid w:val="009F1CBC"/>
    <w:rsid w:val="009F1CF2"/>
    <w:rsid w:val="009F1D2E"/>
    <w:rsid w:val="009F1DA7"/>
    <w:rsid w:val="009F1DCC"/>
    <w:rsid w:val="009F1DDF"/>
    <w:rsid w:val="009F1DE3"/>
    <w:rsid w:val="009F1DE6"/>
    <w:rsid w:val="009F1E40"/>
    <w:rsid w:val="009F1E55"/>
    <w:rsid w:val="009F1EA7"/>
    <w:rsid w:val="009F1F0B"/>
    <w:rsid w:val="009F1F4D"/>
    <w:rsid w:val="009F1FF2"/>
    <w:rsid w:val="009F2003"/>
    <w:rsid w:val="009F2016"/>
    <w:rsid w:val="009F2048"/>
    <w:rsid w:val="009F20A9"/>
    <w:rsid w:val="009F20DD"/>
    <w:rsid w:val="009F2125"/>
    <w:rsid w:val="009F2182"/>
    <w:rsid w:val="009F2207"/>
    <w:rsid w:val="009F2243"/>
    <w:rsid w:val="009F22DD"/>
    <w:rsid w:val="009F2308"/>
    <w:rsid w:val="009F231B"/>
    <w:rsid w:val="009F2352"/>
    <w:rsid w:val="009F2386"/>
    <w:rsid w:val="009F24A6"/>
    <w:rsid w:val="009F250C"/>
    <w:rsid w:val="009F254F"/>
    <w:rsid w:val="009F265F"/>
    <w:rsid w:val="009F2703"/>
    <w:rsid w:val="009F2743"/>
    <w:rsid w:val="009F2768"/>
    <w:rsid w:val="009F2809"/>
    <w:rsid w:val="009F28A7"/>
    <w:rsid w:val="009F2952"/>
    <w:rsid w:val="009F29ED"/>
    <w:rsid w:val="009F2A3C"/>
    <w:rsid w:val="009F2A8E"/>
    <w:rsid w:val="009F2AD0"/>
    <w:rsid w:val="009F2AF1"/>
    <w:rsid w:val="009F2BFA"/>
    <w:rsid w:val="009F2C34"/>
    <w:rsid w:val="009F2C6E"/>
    <w:rsid w:val="009F2D3C"/>
    <w:rsid w:val="009F2D7A"/>
    <w:rsid w:val="009F2DA5"/>
    <w:rsid w:val="009F2E57"/>
    <w:rsid w:val="009F2FDA"/>
    <w:rsid w:val="009F3088"/>
    <w:rsid w:val="009F3123"/>
    <w:rsid w:val="009F312E"/>
    <w:rsid w:val="009F31E6"/>
    <w:rsid w:val="009F326D"/>
    <w:rsid w:val="009F3285"/>
    <w:rsid w:val="009F328B"/>
    <w:rsid w:val="009F333C"/>
    <w:rsid w:val="009F333E"/>
    <w:rsid w:val="009F361E"/>
    <w:rsid w:val="009F3674"/>
    <w:rsid w:val="009F3708"/>
    <w:rsid w:val="009F371F"/>
    <w:rsid w:val="009F37DE"/>
    <w:rsid w:val="009F37EF"/>
    <w:rsid w:val="009F383B"/>
    <w:rsid w:val="009F3844"/>
    <w:rsid w:val="009F392F"/>
    <w:rsid w:val="009F3930"/>
    <w:rsid w:val="009F39CF"/>
    <w:rsid w:val="009F3A12"/>
    <w:rsid w:val="009F3AC9"/>
    <w:rsid w:val="009F3B5E"/>
    <w:rsid w:val="009F3B65"/>
    <w:rsid w:val="009F3BB3"/>
    <w:rsid w:val="009F3BC1"/>
    <w:rsid w:val="009F3BE7"/>
    <w:rsid w:val="009F3C96"/>
    <w:rsid w:val="009F3CB7"/>
    <w:rsid w:val="009F3CCE"/>
    <w:rsid w:val="009F3D8A"/>
    <w:rsid w:val="009F3E10"/>
    <w:rsid w:val="009F3EFD"/>
    <w:rsid w:val="009F3FE4"/>
    <w:rsid w:val="009F3FE8"/>
    <w:rsid w:val="009F400A"/>
    <w:rsid w:val="009F4242"/>
    <w:rsid w:val="009F4247"/>
    <w:rsid w:val="009F4276"/>
    <w:rsid w:val="009F4302"/>
    <w:rsid w:val="009F4308"/>
    <w:rsid w:val="009F4423"/>
    <w:rsid w:val="009F4537"/>
    <w:rsid w:val="009F4574"/>
    <w:rsid w:val="009F4694"/>
    <w:rsid w:val="009F46BB"/>
    <w:rsid w:val="009F4798"/>
    <w:rsid w:val="009F47B5"/>
    <w:rsid w:val="009F47E5"/>
    <w:rsid w:val="009F47F0"/>
    <w:rsid w:val="009F486D"/>
    <w:rsid w:val="009F492D"/>
    <w:rsid w:val="009F49F3"/>
    <w:rsid w:val="009F4A33"/>
    <w:rsid w:val="009F4A86"/>
    <w:rsid w:val="009F4AD5"/>
    <w:rsid w:val="009F4B1A"/>
    <w:rsid w:val="009F4B55"/>
    <w:rsid w:val="009F4BA2"/>
    <w:rsid w:val="009F4BD7"/>
    <w:rsid w:val="009F4CE1"/>
    <w:rsid w:val="009F4D64"/>
    <w:rsid w:val="009F4E16"/>
    <w:rsid w:val="009F4E2C"/>
    <w:rsid w:val="009F4F03"/>
    <w:rsid w:val="009F4F1F"/>
    <w:rsid w:val="009F4FCF"/>
    <w:rsid w:val="009F508B"/>
    <w:rsid w:val="009F5199"/>
    <w:rsid w:val="009F51D1"/>
    <w:rsid w:val="009F51EB"/>
    <w:rsid w:val="009F5272"/>
    <w:rsid w:val="009F527E"/>
    <w:rsid w:val="009F52AC"/>
    <w:rsid w:val="009F530D"/>
    <w:rsid w:val="009F530F"/>
    <w:rsid w:val="009F53E0"/>
    <w:rsid w:val="009F540C"/>
    <w:rsid w:val="009F549C"/>
    <w:rsid w:val="009F5529"/>
    <w:rsid w:val="009F556F"/>
    <w:rsid w:val="009F557E"/>
    <w:rsid w:val="009F563D"/>
    <w:rsid w:val="009F5684"/>
    <w:rsid w:val="009F56B1"/>
    <w:rsid w:val="009F56CB"/>
    <w:rsid w:val="009F585A"/>
    <w:rsid w:val="009F59E5"/>
    <w:rsid w:val="009F5A32"/>
    <w:rsid w:val="009F5A83"/>
    <w:rsid w:val="009F5AEE"/>
    <w:rsid w:val="009F5B96"/>
    <w:rsid w:val="009F5BB9"/>
    <w:rsid w:val="009F5C54"/>
    <w:rsid w:val="009F5C66"/>
    <w:rsid w:val="009F5C91"/>
    <w:rsid w:val="009F5DF4"/>
    <w:rsid w:val="009F5DFB"/>
    <w:rsid w:val="009F5EB6"/>
    <w:rsid w:val="009F5EC6"/>
    <w:rsid w:val="009F5EC8"/>
    <w:rsid w:val="009F5F24"/>
    <w:rsid w:val="009F60BB"/>
    <w:rsid w:val="009F60D9"/>
    <w:rsid w:val="009F6264"/>
    <w:rsid w:val="009F62FD"/>
    <w:rsid w:val="009F6366"/>
    <w:rsid w:val="009F639C"/>
    <w:rsid w:val="009F642D"/>
    <w:rsid w:val="009F652E"/>
    <w:rsid w:val="009F6817"/>
    <w:rsid w:val="009F691E"/>
    <w:rsid w:val="009F6970"/>
    <w:rsid w:val="009F69EE"/>
    <w:rsid w:val="009F6A02"/>
    <w:rsid w:val="009F6B93"/>
    <w:rsid w:val="009F6BA2"/>
    <w:rsid w:val="009F6BC2"/>
    <w:rsid w:val="009F6C0E"/>
    <w:rsid w:val="009F6CA0"/>
    <w:rsid w:val="009F6E23"/>
    <w:rsid w:val="009F6E30"/>
    <w:rsid w:val="009F6E49"/>
    <w:rsid w:val="009F6E5D"/>
    <w:rsid w:val="009F6FBC"/>
    <w:rsid w:val="009F6FCB"/>
    <w:rsid w:val="009F6FD6"/>
    <w:rsid w:val="009F6FF8"/>
    <w:rsid w:val="009F703F"/>
    <w:rsid w:val="009F70B5"/>
    <w:rsid w:val="009F70C5"/>
    <w:rsid w:val="009F7120"/>
    <w:rsid w:val="009F713D"/>
    <w:rsid w:val="009F716A"/>
    <w:rsid w:val="009F718A"/>
    <w:rsid w:val="009F71A3"/>
    <w:rsid w:val="009F71C9"/>
    <w:rsid w:val="009F7278"/>
    <w:rsid w:val="009F72A0"/>
    <w:rsid w:val="009F72BD"/>
    <w:rsid w:val="009F72E0"/>
    <w:rsid w:val="009F7318"/>
    <w:rsid w:val="009F73FA"/>
    <w:rsid w:val="009F7406"/>
    <w:rsid w:val="009F7435"/>
    <w:rsid w:val="009F749A"/>
    <w:rsid w:val="009F74EA"/>
    <w:rsid w:val="009F74FD"/>
    <w:rsid w:val="009F76CB"/>
    <w:rsid w:val="009F7749"/>
    <w:rsid w:val="009F7774"/>
    <w:rsid w:val="009F77CE"/>
    <w:rsid w:val="009F77F3"/>
    <w:rsid w:val="009F7899"/>
    <w:rsid w:val="009F7A02"/>
    <w:rsid w:val="009F7ABB"/>
    <w:rsid w:val="009F7ACF"/>
    <w:rsid w:val="009F7B23"/>
    <w:rsid w:val="009F7B56"/>
    <w:rsid w:val="009F7C60"/>
    <w:rsid w:val="009F7C7C"/>
    <w:rsid w:val="009F7D20"/>
    <w:rsid w:val="009F7D65"/>
    <w:rsid w:val="009F7D75"/>
    <w:rsid w:val="009F7E11"/>
    <w:rsid w:val="009F7E21"/>
    <w:rsid w:val="009F7E43"/>
    <w:rsid w:val="009F7E97"/>
    <w:rsid w:val="009F7EA2"/>
    <w:rsid w:val="00A0002E"/>
    <w:rsid w:val="00A0015E"/>
    <w:rsid w:val="00A001BA"/>
    <w:rsid w:val="00A00201"/>
    <w:rsid w:val="00A002CA"/>
    <w:rsid w:val="00A002CF"/>
    <w:rsid w:val="00A003CE"/>
    <w:rsid w:val="00A00416"/>
    <w:rsid w:val="00A00436"/>
    <w:rsid w:val="00A004FD"/>
    <w:rsid w:val="00A005B9"/>
    <w:rsid w:val="00A00651"/>
    <w:rsid w:val="00A00652"/>
    <w:rsid w:val="00A0065B"/>
    <w:rsid w:val="00A0086B"/>
    <w:rsid w:val="00A00894"/>
    <w:rsid w:val="00A0093A"/>
    <w:rsid w:val="00A00A64"/>
    <w:rsid w:val="00A00AB1"/>
    <w:rsid w:val="00A00C35"/>
    <w:rsid w:val="00A00C53"/>
    <w:rsid w:val="00A00CDF"/>
    <w:rsid w:val="00A00D18"/>
    <w:rsid w:val="00A00D36"/>
    <w:rsid w:val="00A00D48"/>
    <w:rsid w:val="00A00DE6"/>
    <w:rsid w:val="00A00EA5"/>
    <w:rsid w:val="00A00EDB"/>
    <w:rsid w:val="00A00F50"/>
    <w:rsid w:val="00A00F8E"/>
    <w:rsid w:val="00A00FE3"/>
    <w:rsid w:val="00A01178"/>
    <w:rsid w:val="00A01182"/>
    <w:rsid w:val="00A0130C"/>
    <w:rsid w:val="00A01403"/>
    <w:rsid w:val="00A014A5"/>
    <w:rsid w:val="00A014E3"/>
    <w:rsid w:val="00A01571"/>
    <w:rsid w:val="00A01573"/>
    <w:rsid w:val="00A015DF"/>
    <w:rsid w:val="00A015E8"/>
    <w:rsid w:val="00A0163D"/>
    <w:rsid w:val="00A016CC"/>
    <w:rsid w:val="00A016DD"/>
    <w:rsid w:val="00A016EF"/>
    <w:rsid w:val="00A016F8"/>
    <w:rsid w:val="00A01851"/>
    <w:rsid w:val="00A018D4"/>
    <w:rsid w:val="00A0190C"/>
    <w:rsid w:val="00A01A4A"/>
    <w:rsid w:val="00A01A55"/>
    <w:rsid w:val="00A01A66"/>
    <w:rsid w:val="00A01AE7"/>
    <w:rsid w:val="00A01C75"/>
    <w:rsid w:val="00A01C85"/>
    <w:rsid w:val="00A01CC3"/>
    <w:rsid w:val="00A01D3A"/>
    <w:rsid w:val="00A01DD1"/>
    <w:rsid w:val="00A01E08"/>
    <w:rsid w:val="00A01E39"/>
    <w:rsid w:val="00A01E3F"/>
    <w:rsid w:val="00A01F52"/>
    <w:rsid w:val="00A01F64"/>
    <w:rsid w:val="00A01FA7"/>
    <w:rsid w:val="00A02032"/>
    <w:rsid w:val="00A02051"/>
    <w:rsid w:val="00A0205C"/>
    <w:rsid w:val="00A02076"/>
    <w:rsid w:val="00A02134"/>
    <w:rsid w:val="00A02136"/>
    <w:rsid w:val="00A021EC"/>
    <w:rsid w:val="00A02226"/>
    <w:rsid w:val="00A02410"/>
    <w:rsid w:val="00A0243B"/>
    <w:rsid w:val="00A024A8"/>
    <w:rsid w:val="00A025F5"/>
    <w:rsid w:val="00A025F8"/>
    <w:rsid w:val="00A02653"/>
    <w:rsid w:val="00A026CB"/>
    <w:rsid w:val="00A026F3"/>
    <w:rsid w:val="00A02765"/>
    <w:rsid w:val="00A0278A"/>
    <w:rsid w:val="00A0278D"/>
    <w:rsid w:val="00A0284D"/>
    <w:rsid w:val="00A029B0"/>
    <w:rsid w:val="00A02A36"/>
    <w:rsid w:val="00A02A6F"/>
    <w:rsid w:val="00A02A98"/>
    <w:rsid w:val="00A02B31"/>
    <w:rsid w:val="00A02C31"/>
    <w:rsid w:val="00A02C70"/>
    <w:rsid w:val="00A02CA6"/>
    <w:rsid w:val="00A02CB9"/>
    <w:rsid w:val="00A02CBB"/>
    <w:rsid w:val="00A02DA2"/>
    <w:rsid w:val="00A02E95"/>
    <w:rsid w:val="00A02ECB"/>
    <w:rsid w:val="00A02ED7"/>
    <w:rsid w:val="00A02FF0"/>
    <w:rsid w:val="00A03088"/>
    <w:rsid w:val="00A03187"/>
    <w:rsid w:val="00A0319C"/>
    <w:rsid w:val="00A031E3"/>
    <w:rsid w:val="00A031F9"/>
    <w:rsid w:val="00A032B0"/>
    <w:rsid w:val="00A0330C"/>
    <w:rsid w:val="00A033B8"/>
    <w:rsid w:val="00A03422"/>
    <w:rsid w:val="00A0359B"/>
    <w:rsid w:val="00A036A9"/>
    <w:rsid w:val="00A03820"/>
    <w:rsid w:val="00A038A8"/>
    <w:rsid w:val="00A038BD"/>
    <w:rsid w:val="00A03B04"/>
    <w:rsid w:val="00A03B2A"/>
    <w:rsid w:val="00A03C00"/>
    <w:rsid w:val="00A03D15"/>
    <w:rsid w:val="00A03D68"/>
    <w:rsid w:val="00A03D94"/>
    <w:rsid w:val="00A03F15"/>
    <w:rsid w:val="00A03F25"/>
    <w:rsid w:val="00A03F6C"/>
    <w:rsid w:val="00A040B4"/>
    <w:rsid w:val="00A040F3"/>
    <w:rsid w:val="00A04110"/>
    <w:rsid w:val="00A0418C"/>
    <w:rsid w:val="00A04209"/>
    <w:rsid w:val="00A0423D"/>
    <w:rsid w:val="00A04248"/>
    <w:rsid w:val="00A04266"/>
    <w:rsid w:val="00A04272"/>
    <w:rsid w:val="00A042B8"/>
    <w:rsid w:val="00A043E5"/>
    <w:rsid w:val="00A0441E"/>
    <w:rsid w:val="00A04450"/>
    <w:rsid w:val="00A0448E"/>
    <w:rsid w:val="00A0451A"/>
    <w:rsid w:val="00A04528"/>
    <w:rsid w:val="00A04537"/>
    <w:rsid w:val="00A0454E"/>
    <w:rsid w:val="00A045ED"/>
    <w:rsid w:val="00A04632"/>
    <w:rsid w:val="00A0463C"/>
    <w:rsid w:val="00A04693"/>
    <w:rsid w:val="00A04732"/>
    <w:rsid w:val="00A0473C"/>
    <w:rsid w:val="00A04820"/>
    <w:rsid w:val="00A04855"/>
    <w:rsid w:val="00A04870"/>
    <w:rsid w:val="00A04891"/>
    <w:rsid w:val="00A048C2"/>
    <w:rsid w:val="00A0495D"/>
    <w:rsid w:val="00A049AA"/>
    <w:rsid w:val="00A04A1A"/>
    <w:rsid w:val="00A04A72"/>
    <w:rsid w:val="00A04ADD"/>
    <w:rsid w:val="00A04AFD"/>
    <w:rsid w:val="00A04B46"/>
    <w:rsid w:val="00A04BFB"/>
    <w:rsid w:val="00A04BFE"/>
    <w:rsid w:val="00A04CB6"/>
    <w:rsid w:val="00A04D10"/>
    <w:rsid w:val="00A04EDD"/>
    <w:rsid w:val="00A04F3D"/>
    <w:rsid w:val="00A04FB7"/>
    <w:rsid w:val="00A04FB8"/>
    <w:rsid w:val="00A04FBE"/>
    <w:rsid w:val="00A05075"/>
    <w:rsid w:val="00A0510E"/>
    <w:rsid w:val="00A05124"/>
    <w:rsid w:val="00A0512C"/>
    <w:rsid w:val="00A05137"/>
    <w:rsid w:val="00A05144"/>
    <w:rsid w:val="00A05190"/>
    <w:rsid w:val="00A051D8"/>
    <w:rsid w:val="00A0521E"/>
    <w:rsid w:val="00A05232"/>
    <w:rsid w:val="00A05266"/>
    <w:rsid w:val="00A054F1"/>
    <w:rsid w:val="00A0558A"/>
    <w:rsid w:val="00A055A4"/>
    <w:rsid w:val="00A055D4"/>
    <w:rsid w:val="00A055E8"/>
    <w:rsid w:val="00A05619"/>
    <w:rsid w:val="00A05714"/>
    <w:rsid w:val="00A0571A"/>
    <w:rsid w:val="00A0577B"/>
    <w:rsid w:val="00A0588D"/>
    <w:rsid w:val="00A058E4"/>
    <w:rsid w:val="00A058E9"/>
    <w:rsid w:val="00A05979"/>
    <w:rsid w:val="00A05A1A"/>
    <w:rsid w:val="00A05A2B"/>
    <w:rsid w:val="00A05ACC"/>
    <w:rsid w:val="00A05BC1"/>
    <w:rsid w:val="00A05BEE"/>
    <w:rsid w:val="00A05C62"/>
    <w:rsid w:val="00A05C65"/>
    <w:rsid w:val="00A05C6E"/>
    <w:rsid w:val="00A05C7F"/>
    <w:rsid w:val="00A05CAD"/>
    <w:rsid w:val="00A05CE4"/>
    <w:rsid w:val="00A05CFE"/>
    <w:rsid w:val="00A05D53"/>
    <w:rsid w:val="00A05E82"/>
    <w:rsid w:val="00A05E8A"/>
    <w:rsid w:val="00A06036"/>
    <w:rsid w:val="00A06073"/>
    <w:rsid w:val="00A0609A"/>
    <w:rsid w:val="00A06206"/>
    <w:rsid w:val="00A06244"/>
    <w:rsid w:val="00A0627C"/>
    <w:rsid w:val="00A0629E"/>
    <w:rsid w:val="00A06310"/>
    <w:rsid w:val="00A06543"/>
    <w:rsid w:val="00A066A9"/>
    <w:rsid w:val="00A066B0"/>
    <w:rsid w:val="00A067A5"/>
    <w:rsid w:val="00A067E9"/>
    <w:rsid w:val="00A06841"/>
    <w:rsid w:val="00A06860"/>
    <w:rsid w:val="00A068B2"/>
    <w:rsid w:val="00A068CD"/>
    <w:rsid w:val="00A06A3E"/>
    <w:rsid w:val="00A06C62"/>
    <w:rsid w:val="00A06C80"/>
    <w:rsid w:val="00A06C96"/>
    <w:rsid w:val="00A06CBB"/>
    <w:rsid w:val="00A06CDE"/>
    <w:rsid w:val="00A06D0A"/>
    <w:rsid w:val="00A06D97"/>
    <w:rsid w:val="00A06DB1"/>
    <w:rsid w:val="00A06FC6"/>
    <w:rsid w:val="00A07173"/>
    <w:rsid w:val="00A071C2"/>
    <w:rsid w:val="00A071F3"/>
    <w:rsid w:val="00A072B5"/>
    <w:rsid w:val="00A0746C"/>
    <w:rsid w:val="00A0759D"/>
    <w:rsid w:val="00A07628"/>
    <w:rsid w:val="00A07716"/>
    <w:rsid w:val="00A0778C"/>
    <w:rsid w:val="00A077BA"/>
    <w:rsid w:val="00A077E2"/>
    <w:rsid w:val="00A078F8"/>
    <w:rsid w:val="00A07B22"/>
    <w:rsid w:val="00A07B36"/>
    <w:rsid w:val="00A07B5A"/>
    <w:rsid w:val="00A07C0E"/>
    <w:rsid w:val="00A07CC5"/>
    <w:rsid w:val="00A07D47"/>
    <w:rsid w:val="00A07DAD"/>
    <w:rsid w:val="00A07DED"/>
    <w:rsid w:val="00A07E92"/>
    <w:rsid w:val="00A07F5F"/>
    <w:rsid w:val="00A07F6C"/>
    <w:rsid w:val="00A10002"/>
    <w:rsid w:val="00A10044"/>
    <w:rsid w:val="00A10055"/>
    <w:rsid w:val="00A100D2"/>
    <w:rsid w:val="00A10189"/>
    <w:rsid w:val="00A10191"/>
    <w:rsid w:val="00A103C0"/>
    <w:rsid w:val="00A10421"/>
    <w:rsid w:val="00A10445"/>
    <w:rsid w:val="00A10460"/>
    <w:rsid w:val="00A10593"/>
    <w:rsid w:val="00A10620"/>
    <w:rsid w:val="00A10650"/>
    <w:rsid w:val="00A10800"/>
    <w:rsid w:val="00A1084C"/>
    <w:rsid w:val="00A108CC"/>
    <w:rsid w:val="00A108E1"/>
    <w:rsid w:val="00A108E4"/>
    <w:rsid w:val="00A1093E"/>
    <w:rsid w:val="00A109AD"/>
    <w:rsid w:val="00A10A0B"/>
    <w:rsid w:val="00A10A9A"/>
    <w:rsid w:val="00A10A9F"/>
    <w:rsid w:val="00A10AAC"/>
    <w:rsid w:val="00A10B40"/>
    <w:rsid w:val="00A10B5B"/>
    <w:rsid w:val="00A10B60"/>
    <w:rsid w:val="00A10BFB"/>
    <w:rsid w:val="00A10C52"/>
    <w:rsid w:val="00A10DB3"/>
    <w:rsid w:val="00A10DED"/>
    <w:rsid w:val="00A10E84"/>
    <w:rsid w:val="00A10FD4"/>
    <w:rsid w:val="00A11024"/>
    <w:rsid w:val="00A110EB"/>
    <w:rsid w:val="00A11151"/>
    <w:rsid w:val="00A111AC"/>
    <w:rsid w:val="00A111B4"/>
    <w:rsid w:val="00A111C1"/>
    <w:rsid w:val="00A11235"/>
    <w:rsid w:val="00A112C1"/>
    <w:rsid w:val="00A1131F"/>
    <w:rsid w:val="00A11344"/>
    <w:rsid w:val="00A113BC"/>
    <w:rsid w:val="00A113F6"/>
    <w:rsid w:val="00A11425"/>
    <w:rsid w:val="00A11575"/>
    <w:rsid w:val="00A115FC"/>
    <w:rsid w:val="00A11600"/>
    <w:rsid w:val="00A1160C"/>
    <w:rsid w:val="00A1165E"/>
    <w:rsid w:val="00A1168C"/>
    <w:rsid w:val="00A1175E"/>
    <w:rsid w:val="00A118A0"/>
    <w:rsid w:val="00A118AC"/>
    <w:rsid w:val="00A1194C"/>
    <w:rsid w:val="00A119A2"/>
    <w:rsid w:val="00A11A8B"/>
    <w:rsid w:val="00A11AAA"/>
    <w:rsid w:val="00A11ACB"/>
    <w:rsid w:val="00A11BBF"/>
    <w:rsid w:val="00A11BD6"/>
    <w:rsid w:val="00A11BDB"/>
    <w:rsid w:val="00A11C09"/>
    <w:rsid w:val="00A11D6A"/>
    <w:rsid w:val="00A11DCB"/>
    <w:rsid w:val="00A11E99"/>
    <w:rsid w:val="00A11ED3"/>
    <w:rsid w:val="00A11EE6"/>
    <w:rsid w:val="00A11F82"/>
    <w:rsid w:val="00A11FD5"/>
    <w:rsid w:val="00A12010"/>
    <w:rsid w:val="00A12039"/>
    <w:rsid w:val="00A120A7"/>
    <w:rsid w:val="00A120B6"/>
    <w:rsid w:val="00A121C9"/>
    <w:rsid w:val="00A12260"/>
    <w:rsid w:val="00A122CB"/>
    <w:rsid w:val="00A12339"/>
    <w:rsid w:val="00A12394"/>
    <w:rsid w:val="00A123A5"/>
    <w:rsid w:val="00A123F9"/>
    <w:rsid w:val="00A12526"/>
    <w:rsid w:val="00A1265F"/>
    <w:rsid w:val="00A12680"/>
    <w:rsid w:val="00A12683"/>
    <w:rsid w:val="00A12741"/>
    <w:rsid w:val="00A127BF"/>
    <w:rsid w:val="00A127FD"/>
    <w:rsid w:val="00A1283E"/>
    <w:rsid w:val="00A12889"/>
    <w:rsid w:val="00A128AA"/>
    <w:rsid w:val="00A128F3"/>
    <w:rsid w:val="00A12936"/>
    <w:rsid w:val="00A129D2"/>
    <w:rsid w:val="00A129DF"/>
    <w:rsid w:val="00A12A86"/>
    <w:rsid w:val="00A12A9D"/>
    <w:rsid w:val="00A12ABA"/>
    <w:rsid w:val="00A12BBB"/>
    <w:rsid w:val="00A12BE5"/>
    <w:rsid w:val="00A12C19"/>
    <w:rsid w:val="00A12DAA"/>
    <w:rsid w:val="00A12DF7"/>
    <w:rsid w:val="00A12DF8"/>
    <w:rsid w:val="00A12E1A"/>
    <w:rsid w:val="00A12E2F"/>
    <w:rsid w:val="00A12EDA"/>
    <w:rsid w:val="00A12F62"/>
    <w:rsid w:val="00A12F89"/>
    <w:rsid w:val="00A130A7"/>
    <w:rsid w:val="00A130BC"/>
    <w:rsid w:val="00A130F6"/>
    <w:rsid w:val="00A13260"/>
    <w:rsid w:val="00A132E8"/>
    <w:rsid w:val="00A13316"/>
    <w:rsid w:val="00A13317"/>
    <w:rsid w:val="00A1331F"/>
    <w:rsid w:val="00A133E6"/>
    <w:rsid w:val="00A13427"/>
    <w:rsid w:val="00A134B0"/>
    <w:rsid w:val="00A13570"/>
    <w:rsid w:val="00A136B9"/>
    <w:rsid w:val="00A1379E"/>
    <w:rsid w:val="00A137E7"/>
    <w:rsid w:val="00A13864"/>
    <w:rsid w:val="00A138F4"/>
    <w:rsid w:val="00A13933"/>
    <w:rsid w:val="00A13997"/>
    <w:rsid w:val="00A13A74"/>
    <w:rsid w:val="00A13AAC"/>
    <w:rsid w:val="00A13BC9"/>
    <w:rsid w:val="00A13CD9"/>
    <w:rsid w:val="00A13CFF"/>
    <w:rsid w:val="00A13DB6"/>
    <w:rsid w:val="00A13E35"/>
    <w:rsid w:val="00A13E39"/>
    <w:rsid w:val="00A13E3D"/>
    <w:rsid w:val="00A13E45"/>
    <w:rsid w:val="00A13EFE"/>
    <w:rsid w:val="00A13F29"/>
    <w:rsid w:val="00A13F4C"/>
    <w:rsid w:val="00A14051"/>
    <w:rsid w:val="00A1405A"/>
    <w:rsid w:val="00A1418B"/>
    <w:rsid w:val="00A14370"/>
    <w:rsid w:val="00A143E2"/>
    <w:rsid w:val="00A14401"/>
    <w:rsid w:val="00A1445E"/>
    <w:rsid w:val="00A14561"/>
    <w:rsid w:val="00A145A3"/>
    <w:rsid w:val="00A1469C"/>
    <w:rsid w:val="00A147F2"/>
    <w:rsid w:val="00A1485E"/>
    <w:rsid w:val="00A14899"/>
    <w:rsid w:val="00A148AA"/>
    <w:rsid w:val="00A14962"/>
    <w:rsid w:val="00A14A02"/>
    <w:rsid w:val="00A14A39"/>
    <w:rsid w:val="00A14A7B"/>
    <w:rsid w:val="00A14A87"/>
    <w:rsid w:val="00A14AC1"/>
    <w:rsid w:val="00A14B38"/>
    <w:rsid w:val="00A14B69"/>
    <w:rsid w:val="00A14B84"/>
    <w:rsid w:val="00A14C90"/>
    <w:rsid w:val="00A14CEA"/>
    <w:rsid w:val="00A14D09"/>
    <w:rsid w:val="00A14D7C"/>
    <w:rsid w:val="00A14E2A"/>
    <w:rsid w:val="00A14E45"/>
    <w:rsid w:val="00A14E5E"/>
    <w:rsid w:val="00A14E7B"/>
    <w:rsid w:val="00A14F48"/>
    <w:rsid w:val="00A14FE9"/>
    <w:rsid w:val="00A15055"/>
    <w:rsid w:val="00A15194"/>
    <w:rsid w:val="00A15313"/>
    <w:rsid w:val="00A15332"/>
    <w:rsid w:val="00A1534B"/>
    <w:rsid w:val="00A15396"/>
    <w:rsid w:val="00A1547D"/>
    <w:rsid w:val="00A15593"/>
    <w:rsid w:val="00A1565A"/>
    <w:rsid w:val="00A15691"/>
    <w:rsid w:val="00A15695"/>
    <w:rsid w:val="00A1569E"/>
    <w:rsid w:val="00A15763"/>
    <w:rsid w:val="00A1584A"/>
    <w:rsid w:val="00A15936"/>
    <w:rsid w:val="00A159B4"/>
    <w:rsid w:val="00A159D6"/>
    <w:rsid w:val="00A159F1"/>
    <w:rsid w:val="00A15B09"/>
    <w:rsid w:val="00A15B1B"/>
    <w:rsid w:val="00A15B76"/>
    <w:rsid w:val="00A15B84"/>
    <w:rsid w:val="00A15BD2"/>
    <w:rsid w:val="00A15C46"/>
    <w:rsid w:val="00A15C7E"/>
    <w:rsid w:val="00A15CC1"/>
    <w:rsid w:val="00A15D08"/>
    <w:rsid w:val="00A15D13"/>
    <w:rsid w:val="00A15D1F"/>
    <w:rsid w:val="00A15E44"/>
    <w:rsid w:val="00A15E80"/>
    <w:rsid w:val="00A15E98"/>
    <w:rsid w:val="00A15EE7"/>
    <w:rsid w:val="00A1605A"/>
    <w:rsid w:val="00A160D4"/>
    <w:rsid w:val="00A16191"/>
    <w:rsid w:val="00A1619F"/>
    <w:rsid w:val="00A161C1"/>
    <w:rsid w:val="00A161C5"/>
    <w:rsid w:val="00A16212"/>
    <w:rsid w:val="00A1622B"/>
    <w:rsid w:val="00A1622F"/>
    <w:rsid w:val="00A1632A"/>
    <w:rsid w:val="00A16350"/>
    <w:rsid w:val="00A1638F"/>
    <w:rsid w:val="00A163A1"/>
    <w:rsid w:val="00A163AB"/>
    <w:rsid w:val="00A163F2"/>
    <w:rsid w:val="00A1642F"/>
    <w:rsid w:val="00A16451"/>
    <w:rsid w:val="00A1650B"/>
    <w:rsid w:val="00A16517"/>
    <w:rsid w:val="00A16560"/>
    <w:rsid w:val="00A16575"/>
    <w:rsid w:val="00A16579"/>
    <w:rsid w:val="00A16596"/>
    <w:rsid w:val="00A165AC"/>
    <w:rsid w:val="00A165C2"/>
    <w:rsid w:val="00A16694"/>
    <w:rsid w:val="00A16780"/>
    <w:rsid w:val="00A1681D"/>
    <w:rsid w:val="00A168FB"/>
    <w:rsid w:val="00A16986"/>
    <w:rsid w:val="00A169E2"/>
    <w:rsid w:val="00A169E6"/>
    <w:rsid w:val="00A16A01"/>
    <w:rsid w:val="00A16AA8"/>
    <w:rsid w:val="00A16B2B"/>
    <w:rsid w:val="00A16B30"/>
    <w:rsid w:val="00A16B82"/>
    <w:rsid w:val="00A16BBD"/>
    <w:rsid w:val="00A16C29"/>
    <w:rsid w:val="00A16C5E"/>
    <w:rsid w:val="00A16C79"/>
    <w:rsid w:val="00A16D07"/>
    <w:rsid w:val="00A16D91"/>
    <w:rsid w:val="00A16DA1"/>
    <w:rsid w:val="00A16E14"/>
    <w:rsid w:val="00A16E6D"/>
    <w:rsid w:val="00A16ED6"/>
    <w:rsid w:val="00A16ED9"/>
    <w:rsid w:val="00A16EDC"/>
    <w:rsid w:val="00A16EE6"/>
    <w:rsid w:val="00A16EF5"/>
    <w:rsid w:val="00A16F51"/>
    <w:rsid w:val="00A16F55"/>
    <w:rsid w:val="00A170B1"/>
    <w:rsid w:val="00A170E7"/>
    <w:rsid w:val="00A170EA"/>
    <w:rsid w:val="00A17132"/>
    <w:rsid w:val="00A17260"/>
    <w:rsid w:val="00A1728B"/>
    <w:rsid w:val="00A17307"/>
    <w:rsid w:val="00A174BC"/>
    <w:rsid w:val="00A174C1"/>
    <w:rsid w:val="00A17536"/>
    <w:rsid w:val="00A17541"/>
    <w:rsid w:val="00A1759B"/>
    <w:rsid w:val="00A175BA"/>
    <w:rsid w:val="00A176C2"/>
    <w:rsid w:val="00A176EE"/>
    <w:rsid w:val="00A17714"/>
    <w:rsid w:val="00A17729"/>
    <w:rsid w:val="00A1777F"/>
    <w:rsid w:val="00A177E7"/>
    <w:rsid w:val="00A17807"/>
    <w:rsid w:val="00A1794C"/>
    <w:rsid w:val="00A17991"/>
    <w:rsid w:val="00A179E8"/>
    <w:rsid w:val="00A17A15"/>
    <w:rsid w:val="00A17A7E"/>
    <w:rsid w:val="00A17AA4"/>
    <w:rsid w:val="00A17B00"/>
    <w:rsid w:val="00A17B45"/>
    <w:rsid w:val="00A17B7C"/>
    <w:rsid w:val="00A17BC6"/>
    <w:rsid w:val="00A17CC1"/>
    <w:rsid w:val="00A17CF2"/>
    <w:rsid w:val="00A20040"/>
    <w:rsid w:val="00A20075"/>
    <w:rsid w:val="00A20113"/>
    <w:rsid w:val="00A20188"/>
    <w:rsid w:val="00A201A2"/>
    <w:rsid w:val="00A20328"/>
    <w:rsid w:val="00A2034D"/>
    <w:rsid w:val="00A203B8"/>
    <w:rsid w:val="00A2049A"/>
    <w:rsid w:val="00A20724"/>
    <w:rsid w:val="00A20780"/>
    <w:rsid w:val="00A207E0"/>
    <w:rsid w:val="00A207EB"/>
    <w:rsid w:val="00A20930"/>
    <w:rsid w:val="00A209E8"/>
    <w:rsid w:val="00A20A02"/>
    <w:rsid w:val="00A20B36"/>
    <w:rsid w:val="00A20B3A"/>
    <w:rsid w:val="00A20B4C"/>
    <w:rsid w:val="00A20BAD"/>
    <w:rsid w:val="00A20CDB"/>
    <w:rsid w:val="00A20DA9"/>
    <w:rsid w:val="00A20E0F"/>
    <w:rsid w:val="00A20E17"/>
    <w:rsid w:val="00A20F09"/>
    <w:rsid w:val="00A20F3E"/>
    <w:rsid w:val="00A20F70"/>
    <w:rsid w:val="00A20F86"/>
    <w:rsid w:val="00A2102C"/>
    <w:rsid w:val="00A210E3"/>
    <w:rsid w:val="00A21102"/>
    <w:rsid w:val="00A21279"/>
    <w:rsid w:val="00A212E4"/>
    <w:rsid w:val="00A21392"/>
    <w:rsid w:val="00A21476"/>
    <w:rsid w:val="00A214FB"/>
    <w:rsid w:val="00A21527"/>
    <w:rsid w:val="00A21549"/>
    <w:rsid w:val="00A21551"/>
    <w:rsid w:val="00A21552"/>
    <w:rsid w:val="00A216A6"/>
    <w:rsid w:val="00A216CF"/>
    <w:rsid w:val="00A216DB"/>
    <w:rsid w:val="00A21787"/>
    <w:rsid w:val="00A2178C"/>
    <w:rsid w:val="00A21897"/>
    <w:rsid w:val="00A218AA"/>
    <w:rsid w:val="00A218CE"/>
    <w:rsid w:val="00A21915"/>
    <w:rsid w:val="00A2195A"/>
    <w:rsid w:val="00A219B5"/>
    <w:rsid w:val="00A21A60"/>
    <w:rsid w:val="00A21D26"/>
    <w:rsid w:val="00A21D61"/>
    <w:rsid w:val="00A21D6D"/>
    <w:rsid w:val="00A21E25"/>
    <w:rsid w:val="00A21E48"/>
    <w:rsid w:val="00A21EF3"/>
    <w:rsid w:val="00A21F97"/>
    <w:rsid w:val="00A21FE2"/>
    <w:rsid w:val="00A22042"/>
    <w:rsid w:val="00A2206D"/>
    <w:rsid w:val="00A22080"/>
    <w:rsid w:val="00A2209E"/>
    <w:rsid w:val="00A2212A"/>
    <w:rsid w:val="00A22145"/>
    <w:rsid w:val="00A221B0"/>
    <w:rsid w:val="00A22202"/>
    <w:rsid w:val="00A22244"/>
    <w:rsid w:val="00A2226A"/>
    <w:rsid w:val="00A222AB"/>
    <w:rsid w:val="00A223CF"/>
    <w:rsid w:val="00A22439"/>
    <w:rsid w:val="00A224A1"/>
    <w:rsid w:val="00A224A7"/>
    <w:rsid w:val="00A224D7"/>
    <w:rsid w:val="00A225A0"/>
    <w:rsid w:val="00A225A6"/>
    <w:rsid w:val="00A22663"/>
    <w:rsid w:val="00A2271F"/>
    <w:rsid w:val="00A22755"/>
    <w:rsid w:val="00A22850"/>
    <w:rsid w:val="00A22861"/>
    <w:rsid w:val="00A228E5"/>
    <w:rsid w:val="00A228E9"/>
    <w:rsid w:val="00A22953"/>
    <w:rsid w:val="00A229BC"/>
    <w:rsid w:val="00A229C5"/>
    <w:rsid w:val="00A22B49"/>
    <w:rsid w:val="00A22BD4"/>
    <w:rsid w:val="00A22C27"/>
    <w:rsid w:val="00A22C29"/>
    <w:rsid w:val="00A22C5A"/>
    <w:rsid w:val="00A22C7D"/>
    <w:rsid w:val="00A22C88"/>
    <w:rsid w:val="00A22D21"/>
    <w:rsid w:val="00A22DB6"/>
    <w:rsid w:val="00A22DE5"/>
    <w:rsid w:val="00A22DF3"/>
    <w:rsid w:val="00A22E0F"/>
    <w:rsid w:val="00A22EC6"/>
    <w:rsid w:val="00A22F73"/>
    <w:rsid w:val="00A22F9C"/>
    <w:rsid w:val="00A22FBA"/>
    <w:rsid w:val="00A22FD2"/>
    <w:rsid w:val="00A22FD4"/>
    <w:rsid w:val="00A22FF2"/>
    <w:rsid w:val="00A23073"/>
    <w:rsid w:val="00A230DD"/>
    <w:rsid w:val="00A23108"/>
    <w:rsid w:val="00A23314"/>
    <w:rsid w:val="00A23430"/>
    <w:rsid w:val="00A23462"/>
    <w:rsid w:val="00A234D2"/>
    <w:rsid w:val="00A2367C"/>
    <w:rsid w:val="00A2367F"/>
    <w:rsid w:val="00A236EA"/>
    <w:rsid w:val="00A23706"/>
    <w:rsid w:val="00A23936"/>
    <w:rsid w:val="00A23A91"/>
    <w:rsid w:val="00A23B62"/>
    <w:rsid w:val="00A23B99"/>
    <w:rsid w:val="00A23BE8"/>
    <w:rsid w:val="00A23C0C"/>
    <w:rsid w:val="00A23C49"/>
    <w:rsid w:val="00A23D57"/>
    <w:rsid w:val="00A23DE3"/>
    <w:rsid w:val="00A23E46"/>
    <w:rsid w:val="00A24125"/>
    <w:rsid w:val="00A2417E"/>
    <w:rsid w:val="00A24195"/>
    <w:rsid w:val="00A24239"/>
    <w:rsid w:val="00A2429F"/>
    <w:rsid w:val="00A242A6"/>
    <w:rsid w:val="00A242A7"/>
    <w:rsid w:val="00A242D7"/>
    <w:rsid w:val="00A2433F"/>
    <w:rsid w:val="00A2435E"/>
    <w:rsid w:val="00A24637"/>
    <w:rsid w:val="00A24731"/>
    <w:rsid w:val="00A247AF"/>
    <w:rsid w:val="00A2489F"/>
    <w:rsid w:val="00A24911"/>
    <w:rsid w:val="00A24969"/>
    <w:rsid w:val="00A2497C"/>
    <w:rsid w:val="00A249FB"/>
    <w:rsid w:val="00A24A2F"/>
    <w:rsid w:val="00A24A9D"/>
    <w:rsid w:val="00A24AE4"/>
    <w:rsid w:val="00A24AF0"/>
    <w:rsid w:val="00A24C01"/>
    <w:rsid w:val="00A24D50"/>
    <w:rsid w:val="00A24DCF"/>
    <w:rsid w:val="00A24E18"/>
    <w:rsid w:val="00A24E3E"/>
    <w:rsid w:val="00A24ECC"/>
    <w:rsid w:val="00A24EE3"/>
    <w:rsid w:val="00A24EF2"/>
    <w:rsid w:val="00A24EF4"/>
    <w:rsid w:val="00A24F09"/>
    <w:rsid w:val="00A25051"/>
    <w:rsid w:val="00A25056"/>
    <w:rsid w:val="00A2527B"/>
    <w:rsid w:val="00A252BC"/>
    <w:rsid w:val="00A25323"/>
    <w:rsid w:val="00A253B0"/>
    <w:rsid w:val="00A25514"/>
    <w:rsid w:val="00A25528"/>
    <w:rsid w:val="00A25548"/>
    <w:rsid w:val="00A25575"/>
    <w:rsid w:val="00A255D6"/>
    <w:rsid w:val="00A255FF"/>
    <w:rsid w:val="00A25601"/>
    <w:rsid w:val="00A25630"/>
    <w:rsid w:val="00A25722"/>
    <w:rsid w:val="00A2576C"/>
    <w:rsid w:val="00A257F3"/>
    <w:rsid w:val="00A25812"/>
    <w:rsid w:val="00A2581D"/>
    <w:rsid w:val="00A25870"/>
    <w:rsid w:val="00A25880"/>
    <w:rsid w:val="00A258EC"/>
    <w:rsid w:val="00A25951"/>
    <w:rsid w:val="00A2599C"/>
    <w:rsid w:val="00A25A49"/>
    <w:rsid w:val="00A25A70"/>
    <w:rsid w:val="00A25A98"/>
    <w:rsid w:val="00A25AE0"/>
    <w:rsid w:val="00A25B15"/>
    <w:rsid w:val="00A25B25"/>
    <w:rsid w:val="00A25C1E"/>
    <w:rsid w:val="00A25C38"/>
    <w:rsid w:val="00A25C3C"/>
    <w:rsid w:val="00A25C7E"/>
    <w:rsid w:val="00A25CC2"/>
    <w:rsid w:val="00A25DDD"/>
    <w:rsid w:val="00A25E24"/>
    <w:rsid w:val="00A25E72"/>
    <w:rsid w:val="00A25E98"/>
    <w:rsid w:val="00A25F46"/>
    <w:rsid w:val="00A25F85"/>
    <w:rsid w:val="00A26036"/>
    <w:rsid w:val="00A26056"/>
    <w:rsid w:val="00A26136"/>
    <w:rsid w:val="00A26289"/>
    <w:rsid w:val="00A26298"/>
    <w:rsid w:val="00A26305"/>
    <w:rsid w:val="00A2634C"/>
    <w:rsid w:val="00A263B5"/>
    <w:rsid w:val="00A263BA"/>
    <w:rsid w:val="00A263DD"/>
    <w:rsid w:val="00A265E7"/>
    <w:rsid w:val="00A267A4"/>
    <w:rsid w:val="00A268AB"/>
    <w:rsid w:val="00A268B7"/>
    <w:rsid w:val="00A268D4"/>
    <w:rsid w:val="00A26A6A"/>
    <w:rsid w:val="00A26A6B"/>
    <w:rsid w:val="00A26A7F"/>
    <w:rsid w:val="00A26A97"/>
    <w:rsid w:val="00A26AB5"/>
    <w:rsid w:val="00A26AB6"/>
    <w:rsid w:val="00A26ACB"/>
    <w:rsid w:val="00A26AF3"/>
    <w:rsid w:val="00A26B18"/>
    <w:rsid w:val="00A26B61"/>
    <w:rsid w:val="00A26CB7"/>
    <w:rsid w:val="00A26D5B"/>
    <w:rsid w:val="00A26DED"/>
    <w:rsid w:val="00A26E46"/>
    <w:rsid w:val="00A26E81"/>
    <w:rsid w:val="00A26E95"/>
    <w:rsid w:val="00A26EF4"/>
    <w:rsid w:val="00A270EF"/>
    <w:rsid w:val="00A271F1"/>
    <w:rsid w:val="00A271FC"/>
    <w:rsid w:val="00A2721C"/>
    <w:rsid w:val="00A27237"/>
    <w:rsid w:val="00A27262"/>
    <w:rsid w:val="00A2728B"/>
    <w:rsid w:val="00A272C7"/>
    <w:rsid w:val="00A272CC"/>
    <w:rsid w:val="00A272DD"/>
    <w:rsid w:val="00A27341"/>
    <w:rsid w:val="00A27365"/>
    <w:rsid w:val="00A27402"/>
    <w:rsid w:val="00A27475"/>
    <w:rsid w:val="00A27484"/>
    <w:rsid w:val="00A274DF"/>
    <w:rsid w:val="00A27603"/>
    <w:rsid w:val="00A27716"/>
    <w:rsid w:val="00A27726"/>
    <w:rsid w:val="00A277E7"/>
    <w:rsid w:val="00A278E1"/>
    <w:rsid w:val="00A27902"/>
    <w:rsid w:val="00A27910"/>
    <w:rsid w:val="00A2796B"/>
    <w:rsid w:val="00A279A5"/>
    <w:rsid w:val="00A279C2"/>
    <w:rsid w:val="00A27AA8"/>
    <w:rsid w:val="00A27AB0"/>
    <w:rsid w:val="00A27BE5"/>
    <w:rsid w:val="00A27BF1"/>
    <w:rsid w:val="00A27C5B"/>
    <w:rsid w:val="00A27D17"/>
    <w:rsid w:val="00A27DEA"/>
    <w:rsid w:val="00A27E5C"/>
    <w:rsid w:val="00A27EF6"/>
    <w:rsid w:val="00A27FE0"/>
    <w:rsid w:val="00A3008F"/>
    <w:rsid w:val="00A3011A"/>
    <w:rsid w:val="00A30128"/>
    <w:rsid w:val="00A3012B"/>
    <w:rsid w:val="00A301BE"/>
    <w:rsid w:val="00A301D8"/>
    <w:rsid w:val="00A3030A"/>
    <w:rsid w:val="00A3044A"/>
    <w:rsid w:val="00A30547"/>
    <w:rsid w:val="00A30551"/>
    <w:rsid w:val="00A30656"/>
    <w:rsid w:val="00A30661"/>
    <w:rsid w:val="00A30685"/>
    <w:rsid w:val="00A306A9"/>
    <w:rsid w:val="00A30765"/>
    <w:rsid w:val="00A3076E"/>
    <w:rsid w:val="00A30868"/>
    <w:rsid w:val="00A30912"/>
    <w:rsid w:val="00A30919"/>
    <w:rsid w:val="00A3094F"/>
    <w:rsid w:val="00A30A00"/>
    <w:rsid w:val="00A30A11"/>
    <w:rsid w:val="00A30A59"/>
    <w:rsid w:val="00A30AC0"/>
    <w:rsid w:val="00A30B79"/>
    <w:rsid w:val="00A30BB7"/>
    <w:rsid w:val="00A30C1C"/>
    <w:rsid w:val="00A30C61"/>
    <w:rsid w:val="00A30D10"/>
    <w:rsid w:val="00A30DA5"/>
    <w:rsid w:val="00A30E1C"/>
    <w:rsid w:val="00A30ED0"/>
    <w:rsid w:val="00A30F0D"/>
    <w:rsid w:val="00A30F92"/>
    <w:rsid w:val="00A30FED"/>
    <w:rsid w:val="00A3107F"/>
    <w:rsid w:val="00A311F0"/>
    <w:rsid w:val="00A31229"/>
    <w:rsid w:val="00A3122C"/>
    <w:rsid w:val="00A31330"/>
    <w:rsid w:val="00A31335"/>
    <w:rsid w:val="00A3133F"/>
    <w:rsid w:val="00A31366"/>
    <w:rsid w:val="00A3136E"/>
    <w:rsid w:val="00A313F2"/>
    <w:rsid w:val="00A31489"/>
    <w:rsid w:val="00A314BE"/>
    <w:rsid w:val="00A314ED"/>
    <w:rsid w:val="00A3163B"/>
    <w:rsid w:val="00A316DF"/>
    <w:rsid w:val="00A31831"/>
    <w:rsid w:val="00A31860"/>
    <w:rsid w:val="00A31878"/>
    <w:rsid w:val="00A318BE"/>
    <w:rsid w:val="00A318C4"/>
    <w:rsid w:val="00A318D8"/>
    <w:rsid w:val="00A318D9"/>
    <w:rsid w:val="00A31903"/>
    <w:rsid w:val="00A3193E"/>
    <w:rsid w:val="00A319EB"/>
    <w:rsid w:val="00A31AA0"/>
    <w:rsid w:val="00A31AAD"/>
    <w:rsid w:val="00A31B0F"/>
    <w:rsid w:val="00A31B55"/>
    <w:rsid w:val="00A31BE1"/>
    <w:rsid w:val="00A31C3D"/>
    <w:rsid w:val="00A31C77"/>
    <w:rsid w:val="00A31C8D"/>
    <w:rsid w:val="00A31CD3"/>
    <w:rsid w:val="00A31D1C"/>
    <w:rsid w:val="00A31F53"/>
    <w:rsid w:val="00A32036"/>
    <w:rsid w:val="00A32061"/>
    <w:rsid w:val="00A32097"/>
    <w:rsid w:val="00A3217D"/>
    <w:rsid w:val="00A3218A"/>
    <w:rsid w:val="00A321F0"/>
    <w:rsid w:val="00A3225C"/>
    <w:rsid w:val="00A3246D"/>
    <w:rsid w:val="00A324C9"/>
    <w:rsid w:val="00A3252C"/>
    <w:rsid w:val="00A3252E"/>
    <w:rsid w:val="00A32537"/>
    <w:rsid w:val="00A32543"/>
    <w:rsid w:val="00A32571"/>
    <w:rsid w:val="00A32656"/>
    <w:rsid w:val="00A32664"/>
    <w:rsid w:val="00A326B6"/>
    <w:rsid w:val="00A327B2"/>
    <w:rsid w:val="00A327FC"/>
    <w:rsid w:val="00A32867"/>
    <w:rsid w:val="00A328B8"/>
    <w:rsid w:val="00A328CE"/>
    <w:rsid w:val="00A328DC"/>
    <w:rsid w:val="00A32A31"/>
    <w:rsid w:val="00A32A43"/>
    <w:rsid w:val="00A32A85"/>
    <w:rsid w:val="00A32BCF"/>
    <w:rsid w:val="00A32DAC"/>
    <w:rsid w:val="00A32DDE"/>
    <w:rsid w:val="00A32E36"/>
    <w:rsid w:val="00A32F75"/>
    <w:rsid w:val="00A32F95"/>
    <w:rsid w:val="00A32F9D"/>
    <w:rsid w:val="00A32FC5"/>
    <w:rsid w:val="00A32FFD"/>
    <w:rsid w:val="00A33012"/>
    <w:rsid w:val="00A33023"/>
    <w:rsid w:val="00A33038"/>
    <w:rsid w:val="00A33106"/>
    <w:rsid w:val="00A3312F"/>
    <w:rsid w:val="00A331BE"/>
    <w:rsid w:val="00A331CB"/>
    <w:rsid w:val="00A33248"/>
    <w:rsid w:val="00A332CB"/>
    <w:rsid w:val="00A332CD"/>
    <w:rsid w:val="00A33359"/>
    <w:rsid w:val="00A33465"/>
    <w:rsid w:val="00A33571"/>
    <w:rsid w:val="00A335E6"/>
    <w:rsid w:val="00A336C5"/>
    <w:rsid w:val="00A33707"/>
    <w:rsid w:val="00A33807"/>
    <w:rsid w:val="00A3386F"/>
    <w:rsid w:val="00A33940"/>
    <w:rsid w:val="00A33974"/>
    <w:rsid w:val="00A339FA"/>
    <w:rsid w:val="00A33A00"/>
    <w:rsid w:val="00A33C0C"/>
    <w:rsid w:val="00A33C2E"/>
    <w:rsid w:val="00A33D6E"/>
    <w:rsid w:val="00A33D79"/>
    <w:rsid w:val="00A33DE2"/>
    <w:rsid w:val="00A33E9E"/>
    <w:rsid w:val="00A34001"/>
    <w:rsid w:val="00A34057"/>
    <w:rsid w:val="00A34171"/>
    <w:rsid w:val="00A341CA"/>
    <w:rsid w:val="00A341F2"/>
    <w:rsid w:val="00A34284"/>
    <w:rsid w:val="00A342A7"/>
    <w:rsid w:val="00A34302"/>
    <w:rsid w:val="00A34346"/>
    <w:rsid w:val="00A34355"/>
    <w:rsid w:val="00A3443E"/>
    <w:rsid w:val="00A34463"/>
    <w:rsid w:val="00A344F3"/>
    <w:rsid w:val="00A34501"/>
    <w:rsid w:val="00A34583"/>
    <w:rsid w:val="00A3459C"/>
    <w:rsid w:val="00A345D2"/>
    <w:rsid w:val="00A345E1"/>
    <w:rsid w:val="00A347CB"/>
    <w:rsid w:val="00A34807"/>
    <w:rsid w:val="00A34817"/>
    <w:rsid w:val="00A3481F"/>
    <w:rsid w:val="00A34875"/>
    <w:rsid w:val="00A34896"/>
    <w:rsid w:val="00A348B8"/>
    <w:rsid w:val="00A348C1"/>
    <w:rsid w:val="00A348FB"/>
    <w:rsid w:val="00A34A7D"/>
    <w:rsid w:val="00A34B54"/>
    <w:rsid w:val="00A34BBE"/>
    <w:rsid w:val="00A34C52"/>
    <w:rsid w:val="00A34D17"/>
    <w:rsid w:val="00A34D53"/>
    <w:rsid w:val="00A34D6F"/>
    <w:rsid w:val="00A34DE6"/>
    <w:rsid w:val="00A34E63"/>
    <w:rsid w:val="00A34ED7"/>
    <w:rsid w:val="00A34F15"/>
    <w:rsid w:val="00A34F60"/>
    <w:rsid w:val="00A35022"/>
    <w:rsid w:val="00A35138"/>
    <w:rsid w:val="00A3514B"/>
    <w:rsid w:val="00A3518E"/>
    <w:rsid w:val="00A3524D"/>
    <w:rsid w:val="00A352CE"/>
    <w:rsid w:val="00A352FB"/>
    <w:rsid w:val="00A3530F"/>
    <w:rsid w:val="00A35348"/>
    <w:rsid w:val="00A353B4"/>
    <w:rsid w:val="00A353D1"/>
    <w:rsid w:val="00A3543B"/>
    <w:rsid w:val="00A35473"/>
    <w:rsid w:val="00A354A2"/>
    <w:rsid w:val="00A354BC"/>
    <w:rsid w:val="00A354D3"/>
    <w:rsid w:val="00A354E0"/>
    <w:rsid w:val="00A35603"/>
    <w:rsid w:val="00A35702"/>
    <w:rsid w:val="00A35724"/>
    <w:rsid w:val="00A3583B"/>
    <w:rsid w:val="00A35865"/>
    <w:rsid w:val="00A35882"/>
    <w:rsid w:val="00A358E2"/>
    <w:rsid w:val="00A35909"/>
    <w:rsid w:val="00A3593A"/>
    <w:rsid w:val="00A35A10"/>
    <w:rsid w:val="00A35A91"/>
    <w:rsid w:val="00A35B06"/>
    <w:rsid w:val="00A35B8D"/>
    <w:rsid w:val="00A35C09"/>
    <w:rsid w:val="00A35C26"/>
    <w:rsid w:val="00A35C6C"/>
    <w:rsid w:val="00A35EA4"/>
    <w:rsid w:val="00A35FA7"/>
    <w:rsid w:val="00A35FFF"/>
    <w:rsid w:val="00A3601C"/>
    <w:rsid w:val="00A36065"/>
    <w:rsid w:val="00A360C7"/>
    <w:rsid w:val="00A36288"/>
    <w:rsid w:val="00A362CA"/>
    <w:rsid w:val="00A3636C"/>
    <w:rsid w:val="00A36396"/>
    <w:rsid w:val="00A3651D"/>
    <w:rsid w:val="00A3667D"/>
    <w:rsid w:val="00A3687B"/>
    <w:rsid w:val="00A3697B"/>
    <w:rsid w:val="00A3697F"/>
    <w:rsid w:val="00A3699B"/>
    <w:rsid w:val="00A369BA"/>
    <w:rsid w:val="00A36A3C"/>
    <w:rsid w:val="00A36AB1"/>
    <w:rsid w:val="00A36AE3"/>
    <w:rsid w:val="00A36C36"/>
    <w:rsid w:val="00A36C57"/>
    <w:rsid w:val="00A36C86"/>
    <w:rsid w:val="00A36CB3"/>
    <w:rsid w:val="00A36CB6"/>
    <w:rsid w:val="00A36CEA"/>
    <w:rsid w:val="00A36D00"/>
    <w:rsid w:val="00A36DA9"/>
    <w:rsid w:val="00A36F03"/>
    <w:rsid w:val="00A36F31"/>
    <w:rsid w:val="00A37032"/>
    <w:rsid w:val="00A3706F"/>
    <w:rsid w:val="00A371BA"/>
    <w:rsid w:val="00A37252"/>
    <w:rsid w:val="00A37272"/>
    <w:rsid w:val="00A372A2"/>
    <w:rsid w:val="00A372F2"/>
    <w:rsid w:val="00A3732F"/>
    <w:rsid w:val="00A3743E"/>
    <w:rsid w:val="00A3749B"/>
    <w:rsid w:val="00A3749E"/>
    <w:rsid w:val="00A374BB"/>
    <w:rsid w:val="00A3755E"/>
    <w:rsid w:val="00A37574"/>
    <w:rsid w:val="00A37626"/>
    <w:rsid w:val="00A376B9"/>
    <w:rsid w:val="00A376C6"/>
    <w:rsid w:val="00A376DF"/>
    <w:rsid w:val="00A377EE"/>
    <w:rsid w:val="00A37902"/>
    <w:rsid w:val="00A3792E"/>
    <w:rsid w:val="00A37A44"/>
    <w:rsid w:val="00A37A76"/>
    <w:rsid w:val="00A37AAA"/>
    <w:rsid w:val="00A37AEF"/>
    <w:rsid w:val="00A37B07"/>
    <w:rsid w:val="00A37BC1"/>
    <w:rsid w:val="00A37BC9"/>
    <w:rsid w:val="00A37C3C"/>
    <w:rsid w:val="00A37C8A"/>
    <w:rsid w:val="00A37D12"/>
    <w:rsid w:val="00A37D87"/>
    <w:rsid w:val="00A37D8A"/>
    <w:rsid w:val="00A37E24"/>
    <w:rsid w:val="00A37E59"/>
    <w:rsid w:val="00A37E8B"/>
    <w:rsid w:val="00A37EB4"/>
    <w:rsid w:val="00A37EC7"/>
    <w:rsid w:val="00A37F1C"/>
    <w:rsid w:val="00A37F20"/>
    <w:rsid w:val="00A37FA1"/>
    <w:rsid w:val="00A37FB7"/>
    <w:rsid w:val="00A40014"/>
    <w:rsid w:val="00A40097"/>
    <w:rsid w:val="00A400E3"/>
    <w:rsid w:val="00A4014C"/>
    <w:rsid w:val="00A4015A"/>
    <w:rsid w:val="00A4017F"/>
    <w:rsid w:val="00A40190"/>
    <w:rsid w:val="00A4030D"/>
    <w:rsid w:val="00A40320"/>
    <w:rsid w:val="00A40335"/>
    <w:rsid w:val="00A403DA"/>
    <w:rsid w:val="00A40408"/>
    <w:rsid w:val="00A40412"/>
    <w:rsid w:val="00A4051F"/>
    <w:rsid w:val="00A40540"/>
    <w:rsid w:val="00A405EE"/>
    <w:rsid w:val="00A40680"/>
    <w:rsid w:val="00A40785"/>
    <w:rsid w:val="00A4089A"/>
    <w:rsid w:val="00A408D3"/>
    <w:rsid w:val="00A40956"/>
    <w:rsid w:val="00A40964"/>
    <w:rsid w:val="00A409BC"/>
    <w:rsid w:val="00A40BE2"/>
    <w:rsid w:val="00A40BF7"/>
    <w:rsid w:val="00A40DA3"/>
    <w:rsid w:val="00A40E60"/>
    <w:rsid w:val="00A40EB9"/>
    <w:rsid w:val="00A40FC2"/>
    <w:rsid w:val="00A4104B"/>
    <w:rsid w:val="00A41126"/>
    <w:rsid w:val="00A41197"/>
    <w:rsid w:val="00A4120A"/>
    <w:rsid w:val="00A412D2"/>
    <w:rsid w:val="00A413F0"/>
    <w:rsid w:val="00A41437"/>
    <w:rsid w:val="00A417AD"/>
    <w:rsid w:val="00A417DA"/>
    <w:rsid w:val="00A4180A"/>
    <w:rsid w:val="00A41831"/>
    <w:rsid w:val="00A4186A"/>
    <w:rsid w:val="00A418B8"/>
    <w:rsid w:val="00A4198C"/>
    <w:rsid w:val="00A41A38"/>
    <w:rsid w:val="00A41A49"/>
    <w:rsid w:val="00A41A65"/>
    <w:rsid w:val="00A41B2C"/>
    <w:rsid w:val="00A41BA8"/>
    <w:rsid w:val="00A41BFE"/>
    <w:rsid w:val="00A41DCD"/>
    <w:rsid w:val="00A41DE0"/>
    <w:rsid w:val="00A42054"/>
    <w:rsid w:val="00A42099"/>
    <w:rsid w:val="00A42177"/>
    <w:rsid w:val="00A421D5"/>
    <w:rsid w:val="00A42202"/>
    <w:rsid w:val="00A4222F"/>
    <w:rsid w:val="00A422B1"/>
    <w:rsid w:val="00A423F4"/>
    <w:rsid w:val="00A424FF"/>
    <w:rsid w:val="00A425C4"/>
    <w:rsid w:val="00A42670"/>
    <w:rsid w:val="00A426EA"/>
    <w:rsid w:val="00A427B5"/>
    <w:rsid w:val="00A4282C"/>
    <w:rsid w:val="00A42A00"/>
    <w:rsid w:val="00A42A72"/>
    <w:rsid w:val="00A42AE1"/>
    <w:rsid w:val="00A42B3E"/>
    <w:rsid w:val="00A42BBB"/>
    <w:rsid w:val="00A42C41"/>
    <w:rsid w:val="00A42CDE"/>
    <w:rsid w:val="00A42CF0"/>
    <w:rsid w:val="00A42D18"/>
    <w:rsid w:val="00A42D54"/>
    <w:rsid w:val="00A42D63"/>
    <w:rsid w:val="00A42DDF"/>
    <w:rsid w:val="00A42E6D"/>
    <w:rsid w:val="00A42FA1"/>
    <w:rsid w:val="00A42FD1"/>
    <w:rsid w:val="00A42FEC"/>
    <w:rsid w:val="00A43098"/>
    <w:rsid w:val="00A431C7"/>
    <w:rsid w:val="00A431D1"/>
    <w:rsid w:val="00A431EF"/>
    <w:rsid w:val="00A43233"/>
    <w:rsid w:val="00A43287"/>
    <w:rsid w:val="00A432F1"/>
    <w:rsid w:val="00A43317"/>
    <w:rsid w:val="00A43330"/>
    <w:rsid w:val="00A4335F"/>
    <w:rsid w:val="00A433AA"/>
    <w:rsid w:val="00A433CD"/>
    <w:rsid w:val="00A433E7"/>
    <w:rsid w:val="00A433EE"/>
    <w:rsid w:val="00A43422"/>
    <w:rsid w:val="00A4343C"/>
    <w:rsid w:val="00A43540"/>
    <w:rsid w:val="00A43689"/>
    <w:rsid w:val="00A43698"/>
    <w:rsid w:val="00A436BD"/>
    <w:rsid w:val="00A43714"/>
    <w:rsid w:val="00A437DB"/>
    <w:rsid w:val="00A437E0"/>
    <w:rsid w:val="00A43894"/>
    <w:rsid w:val="00A438B5"/>
    <w:rsid w:val="00A4390C"/>
    <w:rsid w:val="00A43A2C"/>
    <w:rsid w:val="00A43A30"/>
    <w:rsid w:val="00A43C6A"/>
    <w:rsid w:val="00A43C8A"/>
    <w:rsid w:val="00A43DAF"/>
    <w:rsid w:val="00A43DF5"/>
    <w:rsid w:val="00A43E2B"/>
    <w:rsid w:val="00A43E3F"/>
    <w:rsid w:val="00A43EBE"/>
    <w:rsid w:val="00A43F21"/>
    <w:rsid w:val="00A44060"/>
    <w:rsid w:val="00A44120"/>
    <w:rsid w:val="00A441E6"/>
    <w:rsid w:val="00A4425B"/>
    <w:rsid w:val="00A44354"/>
    <w:rsid w:val="00A4437B"/>
    <w:rsid w:val="00A443A3"/>
    <w:rsid w:val="00A44434"/>
    <w:rsid w:val="00A4453F"/>
    <w:rsid w:val="00A44591"/>
    <w:rsid w:val="00A44599"/>
    <w:rsid w:val="00A445FA"/>
    <w:rsid w:val="00A4473C"/>
    <w:rsid w:val="00A44785"/>
    <w:rsid w:val="00A44791"/>
    <w:rsid w:val="00A44812"/>
    <w:rsid w:val="00A44814"/>
    <w:rsid w:val="00A4484A"/>
    <w:rsid w:val="00A448A6"/>
    <w:rsid w:val="00A449BE"/>
    <w:rsid w:val="00A449DE"/>
    <w:rsid w:val="00A44A4E"/>
    <w:rsid w:val="00A44B4E"/>
    <w:rsid w:val="00A44B4F"/>
    <w:rsid w:val="00A44D6D"/>
    <w:rsid w:val="00A44EE2"/>
    <w:rsid w:val="00A44F23"/>
    <w:rsid w:val="00A44FC7"/>
    <w:rsid w:val="00A45093"/>
    <w:rsid w:val="00A4509D"/>
    <w:rsid w:val="00A450A6"/>
    <w:rsid w:val="00A451D9"/>
    <w:rsid w:val="00A45249"/>
    <w:rsid w:val="00A452C5"/>
    <w:rsid w:val="00A4533A"/>
    <w:rsid w:val="00A45407"/>
    <w:rsid w:val="00A45456"/>
    <w:rsid w:val="00A454D8"/>
    <w:rsid w:val="00A454F9"/>
    <w:rsid w:val="00A455D4"/>
    <w:rsid w:val="00A45616"/>
    <w:rsid w:val="00A45695"/>
    <w:rsid w:val="00A456BD"/>
    <w:rsid w:val="00A45774"/>
    <w:rsid w:val="00A4579A"/>
    <w:rsid w:val="00A45847"/>
    <w:rsid w:val="00A458B4"/>
    <w:rsid w:val="00A458FB"/>
    <w:rsid w:val="00A4591E"/>
    <w:rsid w:val="00A45956"/>
    <w:rsid w:val="00A45A44"/>
    <w:rsid w:val="00A45AB6"/>
    <w:rsid w:val="00A45AD9"/>
    <w:rsid w:val="00A45B6C"/>
    <w:rsid w:val="00A45D3A"/>
    <w:rsid w:val="00A45DC2"/>
    <w:rsid w:val="00A45F22"/>
    <w:rsid w:val="00A45F2A"/>
    <w:rsid w:val="00A45F58"/>
    <w:rsid w:val="00A45F6A"/>
    <w:rsid w:val="00A45FC7"/>
    <w:rsid w:val="00A46019"/>
    <w:rsid w:val="00A46078"/>
    <w:rsid w:val="00A4622D"/>
    <w:rsid w:val="00A462B5"/>
    <w:rsid w:val="00A463B4"/>
    <w:rsid w:val="00A46423"/>
    <w:rsid w:val="00A46437"/>
    <w:rsid w:val="00A464FA"/>
    <w:rsid w:val="00A46535"/>
    <w:rsid w:val="00A465A6"/>
    <w:rsid w:val="00A46616"/>
    <w:rsid w:val="00A46627"/>
    <w:rsid w:val="00A46700"/>
    <w:rsid w:val="00A4671D"/>
    <w:rsid w:val="00A467B7"/>
    <w:rsid w:val="00A46875"/>
    <w:rsid w:val="00A4687D"/>
    <w:rsid w:val="00A468B5"/>
    <w:rsid w:val="00A4692D"/>
    <w:rsid w:val="00A46996"/>
    <w:rsid w:val="00A46A0C"/>
    <w:rsid w:val="00A46B35"/>
    <w:rsid w:val="00A46CF6"/>
    <w:rsid w:val="00A46F79"/>
    <w:rsid w:val="00A46FA6"/>
    <w:rsid w:val="00A46FCC"/>
    <w:rsid w:val="00A47075"/>
    <w:rsid w:val="00A47084"/>
    <w:rsid w:val="00A47253"/>
    <w:rsid w:val="00A472E9"/>
    <w:rsid w:val="00A47305"/>
    <w:rsid w:val="00A473F8"/>
    <w:rsid w:val="00A47422"/>
    <w:rsid w:val="00A47433"/>
    <w:rsid w:val="00A47446"/>
    <w:rsid w:val="00A4749C"/>
    <w:rsid w:val="00A4752B"/>
    <w:rsid w:val="00A475B8"/>
    <w:rsid w:val="00A47776"/>
    <w:rsid w:val="00A47812"/>
    <w:rsid w:val="00A4789E"/>
    <w:rsid w:val="00A4796B"/>
    <w:rsid w:val="00A47A4C"/>
    <w:rsid w:val="00A47ABD"/>
    <w:rsid w:val="00A47B92"/>
    <w:rsid w:val="00A47C1C"/>
    <w:rsid w:val="00A47C4B"/>
    <w:rsid w:val="00A47C85"/>
    <w:rsid w:val="00A47CC7"/>
    <w:rsid w:val="00A47D97"/>
    <w:rsid w:val="00A47EC3"/>
    <w:rsid w:val="00A47F13"/>
    <w:rsid w:val="00A47F62"/>
    <w:rsid w:val="00A47FA7"/>
    <w:rsid w:val="00A50096"/>
    <w:rsid w:val="00A500CB"/>
    <w:rsid w:val="00A500F0"/>
    <w:rsid w:val="00A5029B"/>
    <w:rsid w:val="00A502A2"/>
    <w:rsid w:val="00A50384"/>
    <w:rsid w:val="00A503B6"/>
    <w:rsid w:val="00A503C5"/>
    <w:rsid w:val="00A50454"/>
    <w:rsid w:val="00A504A4"/>
    <w:rsid w:val="00A50563"/>
    <w:rsid w:val="00A50576"/>
    <w:rsid w:val="00A50622"/>
    <w:rsid w:val="00A50640"/>
    <w:rsid w:val="00A50702"/>
    <w:rsid w:val="00A50722"/>
    <w:rsid w:val="00A50761"/>
    <w:rsid w:val="00A50783"/>
    <w:rsid w:val="00A5085F"/>
    <w:rsid w:val="00A50979"/>
    <w:rsid w:val="00A50A04"/>
    <w:rsid w:val="00A50A83"/>
    <w:rsid w:val="00A50BAD"/>
    <w:rsid w:val="00A50BC2"/>
    <w:rsid w:val="00A50C09"/>
    <w:rsid w:val="00A50C35"/>
    <w:rsid w:val="00A50C3B"/>
    <w:rsid w:val="00A50C75"/>
    <w:rsid w:val="00A50D62"/>
    <w:rsid w:val="00A50D78"/>
    <w:rsid w:val="00A50D88"/>
    <w:rsid w:val="00A50DA7"/>
    <w:rsid w:val="00A50DAF"/>
    <w:rsid w:val="00A50DBA"/>
    <w:rsid w:val="00A50E3A"/>
    <w:rsid w:val="00A50FA4"/>
    <w:rsid w:val="00A50FC6"/>
    <w:rsid w:val="00A5105C"/>
    <w:rsid w:val="00A51072"/>
    <w:rsid w:val="00A51087"/>
    <w:rsid w:val="00A5111B"/>
    <w:rsid w:val="00A51149"/>
    <w:rsid w:val="00A5118B"/>
    <w:rsid w:val="00A5118C"/>
    <w:rsid w:val="00A511AC"/>
    <w:rsid w:val="00A512D9"/>
    <w:rsid w:val="00A512FF"/>
    <w:rsid w:val="00A51316"/>
    <w:rsid w:val="00A51337"/>
    <w:rsid w:val="00A5133E"/>
    <w:rsid w:val="00A5137D"/>
    <w:rsid w:val="00A5139A"/>
    <w:rsid w:val="00A513B0"/>
    <w:rsid w:val="00A51418"/>
    <w:rsid w:val="00A5146C"/>
    <w:rsid w:val="00A514BF"/>
    <w:rsid w:val="00A51545"/>
    <w:rsid w:val="00A5161B"/>
    <w:rsid w:val="00A51657"/>
    <w:rsid w:val="00A5170F"/>
    <w:rsid w:val="00A5171D"/>
    <w:rsid w:val="00A517E5"/>
    <w:rsid w:val="00A517EE"/>
    <w:rsid w:val="00A5182C"/>
    <w:rsid w:val="00A51851"/>
    <w:rsid w:val="00A518D4"/>
    <w:rsid w:val="00A5195F"/>
    <w:rsid w:val="00A5197C"/>
    <w:rsid w:val="00A51A10"/>
    <w:rsid w:val="00A51AA8"/>
    <w:rsid w:val="00A51AF9"/>
    <w:rsid w:val="00A51D2F"/>
    <w:rsid w:val="00A51D3A"/>
    <w:rsid w:val="00A51D62"/>
    <w:rsid w:val="00A51D7F"/>
    <w:rsid w:val="00A51E7B"/>
    <w:rsid w:val="00A51F1E"/>
    <w:rsid w:val="00A51F63"/>
    <w:rsid w:val="00A52028"/>
    <w:rsid w:val="00A520DA"/>
    <w:rsid w:val="00A5214F"/>
    <w:rsid w:val="00A52155"/>
    <w:rsid w:val="00A521A4"/>
    <w:rsid w:val="00A524A3"/>
    <w:rsid w:val="00A524EC"/>
    <w:rsid w:val="00A52515"/>
    <w:rsid w:val="00A52616"/>
    <w:rsid w:val="00A5265B"/>
    <w:rsid w:val="00A5275B"/>
    <w:rsid w:val="00A52777"/>
    <w:rsid w:val="00A528E6"/>
    <w:rsid w:val="00A52954"/>
    <w:rsid w:val="00A52A25"/>
    <w:rsid w:val="00A52B18"/>
    <w:rsid w:val="00A52B82"/>
    <w:rsid w:val="00A52BF8"/>
    <w:rsid w:val="00A52CA0"/>
    <w:rsid w:val="00A52E46"/>
    <w:rsid w:val="00A52F2B"/>
    <w:rsid w:val="00A52FAC"/>
    <w:rsid w:val="00A5301B"/>
    <w:rsid w:val="00A5310C"/>
    <w:rsid w:val="00A531AF"/>
    <w:rsid w:val="00A531FB"/>
    <w:rsid w:val="00A5320B"/>
    <w:rsid w:val="00A53211"/>
    <w:rsid w:val="00A53264"/>
    <w:rsid w:val="00A53322"/>
    <w:rsid w:val="00A5334B"/>
    <w:rsid w:val="00A53366"/>
    <w:rsid w:val="00A5336B"/>
    <w:rsid w:val="00A533CA"/>
    <w:rsid w:val="00A53626"/>
    <w:rsid w:val="00A5373D"/>
    <w:rsid w:val="00A537C5"/>
    <w:rsid w:val="00A537E2"/>
    <w:rsid w:val="00A53828"/>
    <w:rsid w:val="00A53887"/>
    <w:rsid w:val="00A538BB"/>
    <w:rsid w:val="00A538CA"/>
    <w:rsid w:val="00A538D5"/>
    <w:rsid w:val="00A5391F"/>
    <w:rsid w:val="00A539A2"/>
    <w:rsid w:val="00A539FC"/>
    <w:rsid w:val="00A53A14"/>
    <w:rsid w:val="00A53AEA"/>
    <w:rsid w:val="00A53C73"/>
    <w:rsid w:val="00A53CBA"/>
    <w:rsid w:val="00A53CDB"/>
    <w:rsid w:val="00A53DB3"/>
    <w:rsid w:val="00A53F0C"/>
    <w:rsid w:val="00A53F1F"/>
    <w:rsid w:val="00A53FF7"/>
    <w:rsid w:val="00A5405D"/>
    <w:rsid w:val="00A54216"/>
    <w:rsid w:val="00A542DB"/>
    <w:rsid w:val="00A54363"/>
    <w:rsid w:val="00A5436E"/>
    <w:rsid w:val="00A543BD"/>
    <w:rsid w:val="00A5446D"/>
    <w:rsid w:val="00A5448A"/>
    <w:rsid w:val="00A544BC"/>
    <w:rsid w:val="00A544BD"/>
    <w:rsid w:val="00A54536"/>
    <w:rsid w:val="00A54654"/>
    <w:rsid w:val="00A546CC"/>
    <w:rsid w:val="00A546E8"/>
    <w:rsid w:val="00A548AC"/>
    <w:rsid w:val="00A548CA"/>
    <w:rsid w:val="00A54909"/>
    <w:rsid w:val="00A54A83"/>
    <w:rsid w:val="00A54AE8"/>
    <w:rsid w:val="00A54B3D"/>
    <w:rsid w:val="00A54B7D"/>
    <w:rsid w:val="00A54BB2"/>
    <w:rsid w:val="00A54C47"/>
    <w:rsid w:val="00A54C52"/>
    <w:rsid w:val="00A54DF5"/>
    <w:rsid w:val="00A54EAF"/>
    <w:rsid w:val="00A54F55"/>
    <w:rsid w:val="00A54F6B"/>
    <w:rsid w:val="00A55046"/>
    <w:rsid w:val="00A55136"/>
    <w:rsid w:val="00A55185"/>
    <w:rsid w:val="00A55192"/>
    <w:rsid w:val="00A55196"/>
    <w:rsid w:val="00A551C2"/>
    <w:rsid w:val="00A55214"/>
    <w:rsid w:val="00A5527D"/>
    <w:rsid w:val="00A55298"/>
    <w:rsid w:val="00A55366"/>
    <w:rsid w:val="00A553F6"/>
    <w:rsid w:val="00A55468"/>
    <w:rsid w:val="00A555E3"/>
    <w:rsid w:val="00A55643"/>
    <w:rsid w:val="00A556F8"/>
    <w:rsid w:val="00A55806"/>
    <w:rsid w:val="00A559EB"/>
    <w:rsid w:val="00A559EC"/>
    <w:rsid w:val="00A559F3"/>
    <w:rsid w:val="00A559F7"/>
    <w:rsid w:val="00A55AB4"/>
    <w:rsid w:val="00A55ABC"/>
    <w:rsid w:val="00A55B61"/>
    <w:rsid w:val="00A55BB4"/>
    <w:rsid w:val="00A55BCD"/>
    <w:rsid w:val="00A55C02"/>
    <w:rsid w:val="00A55C84"/>
    <w:rsid w:val="00A55D04"/>
    <w:rsid w:val="00A55D6D"/>
    <w:rsid w:val="00A55DD8"/>
    <w:rsid w:val="00A55DFA"/>
    <w:rsid w:val="00A55E2A"/>
    <w:rsid w:val="00A55FC4"/>
    <w:rsid w:val="00A5601B"/>
    <w:rsid w:val="00A560CD"/>
    <w:rsid w:val="00A561B0"/>
    <w:rsid w:val="00A56206"/>
    <w:rsid w:val="00A56217"/>
    <w:rsid w:val="00A5629E"/>
    <w:rsid w:val="00A562E1"/>
    <w:rsid w:val="00A5631A"/>
    <w:rsid w:val="00A563DD"/>
    <w:rsid w:val="00A56534"/>
    <w:rsid w:val="00A5654B"/>
    <w:rsid w:val="00A56589"/>
    <w:rsid w:val="00A5658C"/>
    <w:rsid w:val="00A565D7"/>
    <w:rsid w:val="00A566C7"/>
    <w:rsid w:val="00A56779"/>
    <w:rsid w:val="00A567D3"/>
    <w:rsid w:val="00A567E9"/>
    <w:rsid w:val="00A56813"/>
    <w:rsid w:val="00A56831"/>
    <w:rsid w:val="00A56877"/>
    <w:rsid w:val="00A568C5"/>
    <w:rsid w:val="00A568C7"/>
    <w:rsid w:val="00A56923"/>
    <w:rsid w:val="00A56A60"/>
    <w:rsid w:val="00A56AD2"/>
    <w:rsid w:val="00A56C2D"/>
    <w:rsid w:val="00A56DAE"/>
    <w:rsid w:val="00A56E56"/>
    <w:rsid w:val="00A56E83"/>
    <w:rsid w:val="00A56F19"/>
    <w:rsid w:val="00A56FB9"/>
    <w:rsid w:val="00A57033"/>
    <w:rsid w:val="00A57073"/>
    <w:rsid w:val="00A570A5"/>
    <w:rsid w:val="00A571A4"/>
    <w:rsid w:val="00A571F8"/>
    <w:rsid w:val="00A5724C"/>
    <w:rsid w:val="00A5726B"/>
    <w:rsid w:val="00A572E7"/>
    <w:rsid w:val="00A57366"/>
    <w:rsid w:val="00A5736A"/>
    <w:rsid w:val="00A573A7"/>
    <w:rsid w:val="00A573F3"/>
    <w:rsid w:val="00A5744C"/>
    <w:rsid w:val="00A57545"/>
    <w:rsid w:val="00A5759B"/>
    <w:rsid w:val="00A575FE"/>
    <w:rsid w:val="00A577B2"/>
    <w:rsid w:val="00A57801"/>
    <w:rsid w:val="00A57864"/>
    <w:rsid w:val="00A57921"/>
    <w:rsid w:val="00A57946"/>
    <w:rsid w:val="00A5799B"/>
    <w:rsid w:val="00A57A45"/>
    <w:rsid w:val="00A57B15"/>
    <w:rsid w:val="00A57B3A"/>
    <w:rsid w:val="00A57C67"/>
    <w:rsid w:val="00A57D71"/>
    <w:rsid w:val="00A57D82"/>
    <w:rsid w:val="00A57D8A"/>
    <w:rsid w:val="00A57E4C"/>
    <w:rsid w:val="00A57F1F"/>
    <w:rsid w:val="00A57F45"/>
    <w:rsid w:val="00A57F85"/>
    <w:rsid w:val="00A57F87"/>
    <w:rsid w:val="00A57FD9"/>
    <w:rsid w:val="00A60060"/>
    <w:rsid w:val="00A6006B"/>
    <w:rsid w:val="00A600A8"/>
    <w:rsid w:val="00A60123"/>
    <w:rsid w:val="00A6015D"/>
    <w:rsid w:val="00A601D3"/>
    <w:rsid w:val="00A60310"/>
    <w:rsid w:val="00A60318"/>
    <w:rsid w:val="00A603B3"/>
    <w:rsid w:val="00A6041A"/>
    <w:rsid w:val="00A604CB"/>
    <w:rsid w:val="00A604E7"/>
    <w:rsid w:val="00A6051D"/>
    <w:rsid w:val="00A6057A"/>
    <w:rsid w:val="00A605A4"/>
    <w:rsid w:val="00A605B9"/>
    <w:rsid w:val="00A60798"/>
    <w:rsid w:val="00A60807"/>
    <w:rsid w:val="00A608FB"/>
    <w:rsid w:val="00A60985"/>
    <w:rsid w:val="00A60A54"/>
    <w:rsid w:val="00A60A94"/>
    <w:rsid w:val="00A60BC2"/>
    <w:rsid w:val="00A60BF0"/>
    <w:rsid w:val="00A60C13"/>
    <w:rsid w:val="00A60D33"/>
    <w:rsid w:val="00A61151"/>
    <w:rsid w:val="00A61216"/>
    <w:rsid w:val="00A61276"/>
    <w:rsid w:val="00A61313"/>
    <w:rsid w:val="00A613DA"/>
    <w:rsid w:val="00A613F7"/>
    <w:rsid w:val="00A61499"/>
    <w:rsid w:val="00A614CA"/>
    <w:rsid w:val="00A6152D"/>
    <w:rsid w:val="00A615D5"/>
    <w:rsid w:val="00A615DC"/>
    <w:rsid w:val="00A61726"/>
    <w:rsid w:val="00A61801"/>
    <w:rsid w:val="00A618BB"/>
    <w:rsid w:val="00A6197D"/>
    <w:rsid w:val="00A61992"/>
    <w:rsid w:val="00A619D4"/>
    <w:rsid w:val="00A61A3D"/>
    <w:rsid w:val="00A61A66"/>
    <w:rsid w:val="00A61AF0"/>
    <w:rsid w:val="00A61B2E"/>
    <w:rsid w:val="00A61BB2"/>
    <w:rsid w:val="00A61C11"/>
    <w:rsid w:val="00A61CDC"/>
    <w:rsid w:val="00A61D24"/>
    <w:rsid w:val="00A61D4C"/>
    <w:rsid w:val="00A61DBE"/>
    <w:rsid w:val="00A61DEB"/>
    <w:rsid w:val="00A61F0F"/>
    <w:rsid w:val="00A61F33"/>
    <w:rsid w:val="00A61FCA"/>
    <w:rsid w:val="00A6204F"/>
    <w:rsid w:val="00A62162"/>
    <w:rsid w:val="00A6226C"/>
    <w:rsid w:val="00A62298"/>
    <w:rsid w:val="00A622DD"/>
    <w:rsid w:val="00A62370"/>
    <w:rsid w:val="00A623B8"/>
    <w:rsid w:val="00A62410"/>
    <w:rsid w:val="00A6248D"/>
    <w:rsid w:val="00A624FE"/>
    <w:rsid w:val="00A62542"/>
    <w:rsid w:val="00A62572"/>
    <w:rsid w:val="00A62604"/>
    <w:rsid w:val="00A62703"/>
    <w:rsid w:val="00A62768"/>
    <w:rsid w:val="00A627B6"/>
    <w:rsid w:val="00A628D1"/>
    <w:rsid w:val="00A62914"/>
    <w:rsid w:val="00A6299E"/>
    <w:rsid w:val="00A629E8"/>
    <w:rsid w:val="00A62A66"/>
    <w:rsid w:val="00A62C1E"/>
    <w:rsid w:val="00A62CF0"/>
    <w:rsid w:val="00A62D89"/>
    <w:rsid w:val="00A62DA3"/>
    <w:rsid w:val="00A62DED"/>
    <w:rsid w:val="00A62E42"/>
    <w:rsid w:val="00A62EA2"/>
    <w:rsid w:val="00A62F9A"/>
    <w:rsid w:val="00A63025"/>
    <w:rsid w:val="00A63095"/>
    <w:rsid w:val="00A6311F"/>
    <w:rsid w:val="00A63141"/>
    <w:rsid w:val="00A63192"/>
    <w:rsid w:val="00A631B1"/>
    <w:rsid w:val="00A631F5"/>
    <w:rsid w:val="00A632E1"/>
    <w:rsid w:val="00A63367"/>
    <w:rsid w:val="00A63368"/>
    <w:rsid w:val="00A63417"/>
    <w:rsid w:val="00A63430"/>
    <w:rsid w:val="00A63455"/>
    <w:rsid w:val="00A63477"/>
    <w:rsid w:val="00A63754"/>
    <w:rsid w:val="00A63778"/>
    <w:rsid w:val="00A63816"/>
    <w:rsid w:val="00A6381C"/>
    <w:rsid w:val="00A6386A"/>
    <w:rsid w:val="00A63928"/>
    <w:rsid w:val="00A6395B"/>
    <w:rsid w:val="00A6395C"/>
    <w:rsid w:val="00A6396D"/>
    <w:rsid w:val="00A639C9"/>
    <w:rsid w:val="00A639CB"/>
    <w:rsid w:val="00A63AA1"/>
    <w:rsid w:val="00A63ABA"/>
    <w:rsid w:val="00A63B2E"/>
    <w:rsid w:val="00A63B61"/>
    <w:rsid w:val="00A63BE5"/>
    <w:rsid w:val="00A63C54"/>
    <w:rsid w:val="00A63C66"/>
    <w:rsid w:val="00A63D55"/>
    <w:rsid w:val="00A63E30"/>
    <w:rsid w:val="00A63EDC"/>
    <w:rsid w:val="00A63EF3"/>
    <w:rsid w:val="00A63F2D"/>
    <w:rsid w:val="00A63FAB"/>
    <w:rsid w:val="00A6400B"/>
    <w:rsid w:val="00A64018"/>
    <w:rsid w:val="00A6404D"/>
    <w:rsid w:val="00A6408E"/>
    <w:rsid w:val="00A6412C"/>
    <w:rsid w:val="00A64253"/>
    <w:rsid w:val="00A64275"/>
    <w:rsid w:val="00A642A0"/>
    <w:rsid w:val="00A64354"/>
    <w:rsid w:val="00A6435F"/>
    <w:rsid w:val="00A6447A"/>
    <w:rsid w:val="00A6457E"/>
    <w:rsid w:val="00A645AC"/>
    <w:rsid w:val="00A645ED"/>
    <w:rsid w:val="00A64643"/>
    <w:rsid w:val="00A64671"/>
    <w:rsid w:val="00A6468D"/>
    <w:rsid w:val="00A646AF"/>
    <w:rsid w:val="00A646E2"/>
    <w:rsid w:val="00A64726"/>
    <w:rsid w:val="00A647A4"/>
    <w:rsid w:val="00A6480F"/>
    <w:rsid w:val="00A6482F"/>
    <w:rsid w:val="00A648EA"/>
    <w:rsid w:val="00A64937"/>
    <w:rsid w:val="00A64991"/>
    <w:rsid w:val="00A649F7"/>
    <w:rsid w:val="00A64A71"/>
    <w:rsid w:val="00A64B07"/>
    <w:rsid w:val="00A64BBC"/>
    <w:rsid w:val="00A64C78"/>
    <w:rsid w:val="00A64CD5"/>
    <w:rsid w:val="00A64CE7"/>
    <w:rsid w:val="00A64FA2"/>
    <w:rsid w:val="00A64FC3"/>
    <w:rsid w:val="00A65098"/>
    <w:rsid w:val="00A65143"/>
    <w:rsid w:val="00A6514B"/>
    <w:rsid w:val="00A651B1"/>
    <w:rsid w:val="00A65342"/>
    <w:rsid w:val="00A6537D"/>
    <w:rsid w:val="00A65414"/>
    <w:rsid w:val="00A65427"/>
    <w:rsid w:val="00A654BF"/>
    <w:rsid w:val="00A6551E"/>
    <w:rsid w:val="00A655AE"/>
    <w:rsid w:val="00A65608"/>
    <w:rsid w:val="00A65677"/>
    <w:rsid w:val="00A656D7"/>
    <w:rsid w:val="00A656E6"/>
    <w:rsid w:val="00A65704"/>
    <w:rsid w:val="00A65773"/>
    <w:rsid w:val="00A65819"/>
    <w:rsid w:val="00A65820"/>
    <w:rsid w:val="00A6583E"/>
    <w:rsid w:val="00A6584C"/>
    <w:rsid w:val="00A6586D"/>
    <w:rsid w:val="00A658CA"/>
    <w:rsid w:val="00A659EF"/>
    <w:rsid w:val="00A65B06"/>
    <w:rsid w:val="00A65B89"/>
    <w:rsid w:val="00A65BDC"/>
    <w:rsid w:val="00A65C14"/>
    <w:rsid w:val="00A65C48"/>
    <w:rsid w:val="00A65CBE"/>
    <w:rsid w:val="00A65CD3"/>
    <w:rsid w:val="00A65D2B"/>
    <w:rsid w:val="00A65D3B"/>
    <w:rsid w:val="00A65E38"/>
    <w:rsid w:val="00A65E49"/>
    <w:rsid w:val="00A65E7C"/>
    <w:rsid w:val="00A65F64"/>
    <w:rsid w:val="00A65FE3"/>
    <w:rsid w:val="00A6603C"/>
    <w:rsid w:val="00A66171"/>
    <w:rsid w:val="00A661A0"/>
    <w:rsid w:val="00A661C8"/>
    <w:rsid w:val="00A66217"/>
    <w:rsid w:val="00A6623A"/>
    <w:rsid w:val="00A6627C"/>
    <w:rsid w:val="00A66334"/>
    <w:rsid w:val="00A6636A"/>
    <w:rsid w:val="00A663AC"/>
    <w:rsid w:val="00A6640E"/>
    <w:rsid w:val="00A66479"/>
    <w:rsid w:val="00A66625"/>
    <w:rsid w:val="00A6664B"/>
    <w:rsid w:val="00A666A5"/>
    <w:rsid w:val="00A666C5"/>
    <w:rsid w:val="00A6674F"/>
    <w:rsid w:val="00A6679F"/>
    <w:rsid w:val="00A66835"/>
    <w:rsid w:val="00A6684B"/>
    <w:rsid w:val="00A668AB"/>
    <w:rsid w:val="00A668D7"/>
    <w:rsid w:val="00A668E6"/>
    <w:rsid w:val="00A668F4"/>
    <w:rsid w:val="00A669B6"/>
    <w:rsid w:val="00A66AEC"/>
    <w:rsid w:val="00A66B30"/>
    <w:rsid w:val="00A66C45"/>
    <w:rsid w:val="00A66C4E"/>
    <w:rsid w:val="00A66C7F"/>
    <w:rsid w:val="00A66CB3"/>
    <w:rsid w:val="00A66CDB"/>
    <w:rsid w:val="00A66D63"/>
    <w:rsid w:val="00A66DD2"/>
    <w:rsid w:val="00A66DE3"/>
    <w:rsid w:val="00A66F1B"/>
    <w:rsid w:val="00A66F2A"/>
    <w:rsid w:val="00A66FA9"/>
    <w:rsid w:val="00A6701B"/>
    <w:rsid w:val="00A67072"/>
    <w:rsid w:val="00A67239"/>
    <w:rsid w:val="00A67314"/>
    <w:rsid w:val="00A6732F"/>
    <w:rsid w:val="00A67427"/>
    <w:rsid w:val="00A6748D"/>
    <w:rsid w:val="00A674C5"/>
    <w:rsid w:val="00A675A9"/>
    <w:rsid w:val="00A675F8"/>
    <w:rsid w:val="00A675FF"/>
    <w:rsid w:val="00A67640"/>
    <w:rsid w:val="00A676C6"/>
    <w:rsid w:val="00A677B5"/>
    <w:rsid w:val="00A677BC"/>
    <w:rsid w:val="00A677EA"/>
    <w:rsid w:val="00A678A5"/>
    <w:rsid w:val="00A678B6"/>
    <w:rsid w:val="00A678EC"/>
    <w:rsid w:val="00A679C8"/>
    <w:rsid w:val="00A67A34"/>
    <w:rsid w:val="00A67A59"/>
    <w:rsid w:val="00A67ABD"/>
    <w:rsid w:val="00A67AD8"/>
    <w:rsid w:val="00A67B3A"/>
    <w:rsid w:val="00A67D12"/>
    <w:rsid w:val="00A67DF8"/>
    <w:rsid w:val="00A67E36"/>
    <w:rsid w:val="00A67F9A"/>
    <w:rsid w:val="00A67FFB"/>
    <w:rsid w:val="00A70015"/>
    <w:rsid w:val="00A70080"/>
    <w:rsid w:val="00A7008B"/>
    <w:rsid w:val="00A70163"/>
    <w:rsid w:val="00A701CF"/>
    <w:rsid w:val="00A70305"/>
    <w:rsid w:val="00A70333"/>
    <w:rsid w:val="00A70338"/>
    <w:rsid w:val="00A70369"/>
    <w:rsid w:val="00A7039F"/>
    <w:rsid w:val="00A704A0"/>
    <w:rsid w:val="00A704DC"/>
    <w:rsid w:val="00A704ED"/>
    <w:rsid w:val="00A70561"/>
    <w:rsid w:val="00A70566"/>
    <w:rsid w:val="00A705DD"/>
    <w:rsid w:val="00A70737"/>
    <w:rsid w:val="00A7076C"/>
    <w:rsid w:val="00A7077E"/>
    <w:rsid w:val="00A707C1"/>
    <w:rsid w:val="00A70946"/>
    <w:rsid w:val="00A709D3"/>
    <w:rsid w:val="00A70A96"/>
    <w:rsid w:val="00A70AA7"/>
    <w:rsid w:val="00A70AD8"/>
    <w:rsid w:val="00A70B00"/>
    <w:rsid w:val="00A70B2B"/>
    <w:rsid w:val="00A70B96"/>
    <w:rsid w:val="00A70CA0"/>
    <w:rsid w:val="00A70DE7"/>
    <w:rsid w:val="00A70DEF"/>
    <w:rsid w:val="00A70EC3"/>
    <w:rsid w:val="00A70EE1"/>
    <w:rsid w:val="00A70FF7"/>
    <w:rsid w:val="00A71063"/>
    <w:rsid w:val="00A710A6"/>
    <w:rsid w:val="00A71120"/>
    <w:rsid w:val="00A71214"/>
    <w:rsid w:val="00A71278"/>
    <w:rsid w:val="00A7127F"/>
    <w:rsid w:val="00A71291"/>
    <w:rsid w:val="00A71306"/>
    <w:rsid w:val="00A71423"/>
    <w:rsid w:val="00A7148D"/>
    <w:rsid w:val="00A71492"/>
    <w:rsid w:val="00A71500"/>
    <w:rsid w:val="00A7151F"/>
    <w:rsid w:val="00A7157C"/>
    <w:rsid w:val="00A7162A"/>
    <w:rsid w:val="00A7169C"/>
    <w:rsid w:val="00A71711"/>
    <w:rsid w:val="00A7173C"/>
    <w:rsid w:val="00A71766"/>
    <w:rsid w:val="00A7176E"/>
    <w:rsid w:val="00A71835"/>
    <w:rsid w:val="00A7184C"/>
    <w:rsid w:val="00A71886"/>
    <w:rsid w:val="00A718FF"/>
    <w:rsid w:val="00A7193D"/>
    <w:rsid w:val="00A719F4"/>
    <w:rsid w:val="00A71A1C"/>
    <w:rsid w:val="00A71A92"/>
    <w:rsid w:val="00A71AB7"/>
    <w:rsid w:val="00A71ABE"/>
    <w:rsid w:val="00A71ABF"/>
    <w:rsid w:val="00A71B66"/>
    <w:rsid w:val="00A71DF3"/>
    <w:rsid w:val="00A71E08"/>
    <w:rsid w:val="00A71EC2"/>
    <w:rsid w:val="00A71ED7"/>
    <w:rsid w:val="00A71F27"/>
    <w:rsid w:val="00A71F89"/>
    <w:rsid w:val="00A72031"/>
    <w:rsid w:val="00A72032"/>
    <w:rsid w:val="00A720C2"/>
    <w:rsid w:val="00A720DC"/>
    <w:rsid w:val="00A72175"/>
    <w:rsid w:val="00A721D4"/>
    <w:rsid w:val="00A72261"/>
    <w:rsid w:val="00A72287"/>
    <w:rsid w:val="00A722F2"/>
    <w:rsid w:val="00A7233D"/>
    <w:rsid w:val="00A72344"/>
    <w:rsid w:val="00A7236C"/>
    <w:rsid w:val="00A72380"/>
    <w:rsid w:val="00A7238F"/>
    <w:rsid w:val="00A7244E"/>
    <w:rsid w:val="00A7247F"/>
    <w:rsid w:val="00A724A4"/>
    <w:rsid w:val="00A724C8"/>
    <w:rsid w:val="00A724F0"/>
    <w:rsid w:val="00A725DF"/>
    <w:rsid w:val="00A72642"/>
    <w:rsid w:val="00A72743"/>
    <w:rsid w:val="00A727BE"/>
    <w:rsid w:val="00A727F8"/>
    <w:rsid w:val="00A72873"/>
    <w:rsid w:val="00A728D9"/>
    <w:rsid w:val="00A7291B"/>
    <w:rsid w:val="00A72960"/>
    <w:rsid w:val="00A729E1"/>
    <w:rsid w:val="00A72AD9"/>
    <w:rsid w:val="00A72B88"/>
    <w:rsid w:val="00A72C01"/>
    <w:rsid w:val="00A72C57"/>
    <w:rsid w:val="00A72D0E"/>
    <w:rsid w:val="00A72D8F"/>
    <w:rsid w:val="00A72DF2"/>
    <w:rsid w:val="00A72EC8"/>
    <w:rsid w:val="00A72F01"/>
    <w:rsid w:val="00A72F0E"/>
    <w:rsid w:val="00A72F71"/>
    <w:rsid w:val="00A72FA0"/>
    <w:rsid w:val="00A73118"/>
    <w:rsid w:val="00A7314E"/>
    <w:rsid w:val="00A73176"/>
    <w:rsid w:val="00A731B7"/>
    <w:rsid w:val="00A73265"/>
    <w:rsid w:val="00A732AC"/>
    <w:rsid w:val="00A73303"/>
    <w:rsid w:val="00A7335A"/>
    <w:rsid w:val="00A7336C"/>
    <w:rsid w:val="00A73411"/>
    <w:rsid w:val="00A73459"/>
    <w:rsid w:val="00A7358E"/>
    <w:rsid w:val="00A735E2"/>
    <w:rsid w:val="00A73752"/>
    <w:rsid w:val="00A7385A"/>
    <w:rsid w:val="00A738E4"/>
    <w:rsid w:val="00A73A1A"/>
    <w:rsid w:val="00A73AC6"/>
    <w:rsid w:val="00A73ADA"/>
    <w:rsid w:val="00A73B9B"/>
    <w:rsid w:val="00A73D07"/>
    <w:rsid w:val="00A73D2E"/>
    <w:rsid w:val="00A73DEE"/>
    <w:rsid w:val="00A73E00"/>
    <w:rsid w:val="00A73FA4"/>
    <w:rsid w:val="00A74057"/>
    <w:rsid w:val="00A74073"/>
    <w:rsid w:val="00A7408E"/>
    <w:rsid w:val="00A740E9"/>
    <w:rsid w:val="00A74103"/>
    <w:rsid w:val="00A74130"/>
    <w:rsid w:val="00A74189"/>
    <w:rsid w:val="00A741B8"/>
    <w:rsid w:val="00A741CE"/>
    <w:rsid w:val="00A74302"/>
    <w:rsid w:val="00A7432D"/>
    <w:rsid w:val="00A743A5"/>
    <w:rsid w:val="00A7445A"/>
    <w:rsid w:val="00A744F9"/>
    <w:rsid w:val="00A7456C"/>
    <w:rsid w:val="00A746DD"/>
    <w:rsid w:val="00A74760"/>
    <w:rsid w:val="00A74815"/>
    <w:rsid w:val="00A74850"/>
    <w:rsid w:val="00A748C8"/>
    <w:rsid w:val="00A748E5"/>
    <w:rsid w:val="00A74925"/>
    <w:rsid w:val="00A7494A"/>
    <w:rsid w:val="00A7494B"/>
    <w:rsid w:val="00A7494C"/>
    <w:rsid w:val="00A7497D"/>
    <w:rsid w:val="00A749AE"/>
    <w:rsid w:val="00A74A14"/>
    <w:rsid w:val="00A74A4C"/>
    <w:rsid w:val="00A74A94"/>
    <w:rsid w:val="00A74B1B"/>
    <w:rsid w:val="00A74BB7"/>
    <w:rsid w:val="00A74CEB"/>
    <w:rsid w:val="00A74D48"/>
    <w:rsid w:val="00A74D5A"/>
    <w:rsid w:val="00A74E2C"/>
    <w:rsid w:val="00A74E5C"/>
    <w:rsid w:val="00A74ED3"/>
    <w:rsid w:val="00A74F33"/>
    <w:rsid w:val="00A74F4F"/>
    <w:rsid w:val="00A74F82"/>
    <w:rsid w:val="00A75066"/>
    <w:rsid w:val="00A7508C"/>
    <w:rsid w:val="00A750EE"/>
    <w:rsid w:val="00A750EF"/>
    <w:rsid w:val="00A75126"/>
    <w:rsid w:val="00A751B6"/>
    <w:rsid w:val="00A751E6"/>
    <w:rsid w:val="00A7529F"/>
    <w:rsid w:val="00A7535C"/>
    <w:rsid w:val="00A75368"/>
    <w:rsid w:val="00A753B7"/>
    <w:rsid w:val="00A75419"/>
    <w:rsid w:val="00A754C6"/>
    <w:rsid w:val="00A754E2"/>
    <w:rsid w:val="00A7554D"/>
    <w:rsid w:val="00A7555C"/>
    <w:rsid w:val="00A7559E"/>
    <w:rsid w:val="00A755AE"/>
    <w:rsid w:val="00A75619"/>
    <w:rsid w:val="00A756DB"/>
    <w:rsid w:val="00A756E8"/>
    <w:rsid w:val="00A7571E"/>
    <w:rsid w:val="00A75776"/>
    <w:rsid w:val="00A75812"/>
    <w:rsid w:val="00A75921"/>
    <w:rsid w:val="00A75987"/>
    <w:rsid w:val="00A75997"/>
    <w:rsid w:val="00A759A6"/>
    <w:rsid w:val="00A759C4"/>
    <w:rsid w:val="00A759F3"/>
    <w:rsid w:val="00A75A71"/>
    <w:rsid w:val="00A75AB0"/>
    <w:rsid w:val="00A75B39"/>
    <w:rsid w:val="00A75B81"/>
    <w:rsid w:val="00A75B83"/>
    <w:rsid w:val="00A75B95"/>
    <w:rsid w:val="00A75C3E"/>
    <w:rsid w:val="00A75C60"/>
    <w:rsid w:val="00A75C70"/>
    <w:rsid w:val="00A75CC4"/>
    <w:rsid w:val="00A75D4F"/>
    <w:rsid w:val="00A75D66"/>
    <w:rsid w:val="00A75DBF"/>
    <w:rsid w:val="00A75DF0"/>
    <w:rsid w:val="00A75E04"/>
    <w:rsid w:val="00A75E61"/>
    <w:rsid w:val="00A75F09"/>
    <w:rsid w:val="00A760C5"/>
    <w:rsid w:val="00A760D1"/>
    <w:rsid w:val="00A7617F"/>
    <w:rsid w:val="00A76200"/>
    <w:rsid w:val="00A7622E"/>
    <w:rsid w:val="00A762C8"/>
    <w:rsid w:val="00A762F1"/>
    <w:rsid w:val="00A76363"/>
    <w:rsid w:val="00A7636D"/>
    <w:rsid w:val="00A7637F"/>
    <w:rsid w:val="00A763D4"/>
    <w:rsid w:val="00A763EF"/>
    <w:rsid w:val="00A763F3"/>
    <w:rsid w:val="00A76446"/>
    <w:rsid w:val="00A764DE"/>
    <w:rsid w:val="00A764E8"/>
    <w:rsid w:val="00A76527"/>
    <w:rsid w:val="00A7654A"/>
    <w:rsid w:val="00A76603"/>
    <w:rsid w:val="00A76611"/>
    <w:rsid w:val="00A767D4"/>
    <w:rsid w:val="00A767FC"/>
    <w:rsid w:val="00A76854"/>
    <w:rsid w:val="00A76885"/>
    <w:rsid w:val="00A768BE"/>
    <w:rsid w:val="00A76910"/>
    <w:rsid w:val="00A76970"/>
    <w:rsid w:val="00A769E4"/>
    <w:rsid w:val="00A76B21"/>
    <w:rsid w:val="00A76B39"/>
    <w:rsid w:val="00A76B43"/>
    <w:rsid w:val="00A76B52"/>
    <w:rsid w:val="00A76BC5"/>
    <w:rsid w:val="00A76C10"/>
    <w:rsid w:val="00A76C19"/>
    <w:rsid w:val="00A76C64"/>
    <w:rsid w:val="00A76CBA"/>
    <w:rsid w:val="00A76D14"/>
    <w:rsid w:val="00A76DAA"/>
    <w:rsid w:val="00A76DE3"/>
    <w:rsid w:val="00A76E44"/>
    <w:rsid w:val="00A76FA2"/>
    <w:rsid w:val="00A7709E"/>
    <w:rsid w:val="00A770CB"/>
    <w:rsid w:val="00A7711F"/>
    <w:rsid w:val="00A77135"/>
    <w:rsid w:val="00A77254"/>
    <w:rsid w:val="00A77312"/>
    <w:rsid w:val="00A774B0"/>
    <w:rsid w:val="00A774C3"/>
    <w:rsid w:val="00A775B4"/>
    <w:rsid w:val="00A77A0C"/>
    <w:rsid w:val="00A77B71"/>
    <w:rsid w:val="00A77BC5"/>
    <w:rsid w:val="00A77C57"/>
    <w:rsid w:val="00A77C61"/>
    <w:rsid w:val="00A77CD9"/>
    <w:rsid w:val="00A77CED"/>
    <w:rsid w:val="00A77D61"/>
    <w:rsid w:val="00A77DA7"/>
    <w:rsid w:val="00A77DC7"/>
    <w:rsid w:val="00A77DFA"/>
    <w:rsid w:val="00A77E3B"/>
    <w:rsid w:val="00A77EAF"/>
    <w:rsid w:val="00A77EFB"/>
    <w:rsid w:val="00A77F7F"/>
    <w:rsid w:val="00A77FC1"/>
    <w:rsid w:val="00A77FC3"/>
    <w:rsid w:val="00A8000F"/>
    <w:rsid w:val="00A80115"/>
    <w:rsid w:val="00A80130"/>
    <w:rsid w:val="00A80170"/>
    <w:rsid w:val="00A801D4"/>
    <w:rsid w:val="00A8030B"/>
    <w:rsid w:val="00A80323"/>
    <w:rsid w:val="00A80390"/>
    <w:rsid w:val="00A8039D"/>
    <w:rsid w:val="00A8039E"/>
    <w:rsid w:val="00A803D2"/>
    <w:rsid w:val="00A803F8"/>
    <w:rsid w:val="00A80460"/>
    <w:rsid w:val="00A804D4"/>
    <w:rsid w:val="00A80554"/>
    <w:rsid w:val="00A80688"/>
    <w:rsid w:val="00A80747"/>
    <w:rsid w:val="00A8077F"/>
    <w:rsid w:val="00A80855"/>
    <w:rsid w:val="00A80885"/>
    <w:rsid w:val="00A80983"/>
    <w:rsid w:val="00A809CF"/>
    <w:rsid w:val="00A809EB"/>
    <w:rsid w:val="00A80A1B"/>
    <w:rsid w:val="00A80A60"/>
    <w:rsid w:val="00A80A81"/>
    <w:rsid w:val="00A80B64"/>
    <w:rsid w:val="00A80B6D"/>
    <w:rsid w:val="00A80C19"/>
    <w:rsid w:val="00A80CB7"/>
    <w:rsid w:val="00A80CCD"/>
    <w:rsid w:val="00A80CD7"/>
    <w:rsid w:val="00A80D8A"/>
    <w:rsid w:val="00A80DDA"/>
    <w:rsid w:val="00A810C7"/>
    <w:rsid w:val="00A8122C"/>
    <w:rsid w:val="00A81249"/>
    <w:rsid w:val="00A81341"/>
    <w:rsid w:val="00A8134B"/>
    <w:rsid w:val="00A8148A"/>
    <w:rsid w:val="00A81595"/>
    <w:rsid w:val="00A815AD"/>
    <w:rsid w:val="00A815E0"/>
    <w:rsid w:val="00A8167A"/>
    <w:rsid w:val="00A81696"/>
    <w:rsid w:val="00A81718"/>
    <w:rsid w:val="00A8173C"/>
    <w:rsid w:val="00A817AB"/>
    <w:rsid w:val="00A81810"/>
    <w:rsid w:val="00A81976"/>
    <w:rsid w:val="00A81A03"/>
    <w:rsid w:val="00A81B52"/>
    <w:rsid w:val="00A81D00"/>
    <w:rsid w:val="00A81DBC"/>
    <w:rsid w:val="00A81DD3"/>
    <w:rsid w:val="00A81E0E"/>
    <w:rsid w:val="00A81E88"/>
    <w:rsid w:val="00A81FE0"/>
    <w:rsid w:val="00A820BC"/>
    <w:rsid w:val="00A820FA"/>
    <w:rsid w:val="00A8210F"/>
    <w:rsid w:val="00A82162"/>
    <w:rsid w:val="00A8220C"/>
    <w:rsid w:val="00A8220D"/>
    <w:rsid w:val="00A82259"/>
    <w:rsid w:val="00A8233A"/>
    <w:rsid w:val="00A82345"/>
    <w:rsid w:val="00A82364"/>
    <w:rsid w:val="00A823D8"/>
    <w:rsid w:val="00A823FD"/>
    <w:rsid w:val="00A824AE"/>
    <w:rsid w:val="00A82517"/>
    <w:rsid w:val="00A82584"/>
    <w:rsid w:val="00A82588"/>
    <w:rsid w:val="00A825CE"/>
    <w:rsid w:val="00A82638"/>
    <w:rsid w:val="00A826AD"/>
    <w:rsid w:val="00A827E0"/>
    <w:rsid w:val="00A82840"/>
    <w:rsid w:val="00A82867"/>
    <w:rsid w:val="00A82966"/>
    <w:rsid w:val="00A82B2E"/>
    <w:rsid w:val="00A82BEA"/>
    <w:rsid w:val="00A82C79"/>
    <w:rsid w:val="00A82C8A"/>
    <w:rsid w:val="00A82CA5"/>
    <w:rsid w:val="00A82CBC"/>
    <w:rsid w:val="00A82CE4"/>
    <w:rsid w:val="00A82D02"/>
    <w:rsid w:val="00A82D22"/>
    <w:rsid w:val="00A82D53"/>
    <w:rsid w:val="00A82DBB"/>
    <w:rsid w:val="00A82E0B"/>
    <w:rsid w:val="00A82E41"/>
    <w:rsid w:val="00A82E8E"/>
    <w:rsid w:val="00A82EDA"/>
    <w:rsid w:val="00A82F2A"/>
    <w:rsid w:val="00A82F87"/>
    <w:rsid w:val="00A82F90"/>
    <w:rsid w:val="00A8305E"/>
    <w:rsid w:val="00A83143"/>
    <w:rsid w:val="00A8336F"/>
    <w:rsid w:val="00A83405"/>
    <w:rsid w:val="00A8345F"/>
    <w:rsid w:val="00A8346A"/>
    <w:rsid w:val="00A83493"/>
    <w:rsid w:val="00A83514"/>
    <w:rsid w:val="00A83546"/>
    <w:rsid w:val="00A83552"/>
    <w:rsid w:val="00A83597"/>
    <w:rsid w:val="00A835A6"/>
    <w:rsid w:val="00A8360B"/>
    <w:rsid w:val="00A8364F"/>
    <w:rsid w:val="00A83698"/>
    <w:rsid w:val="00A836D9"/>
    <w:rsid w:val="00A83847"/>
    <w:rsid w:val="00A83875"/>
    <w:rsid w:val="00A83897"/>
    <w:rsid w:val="00A839AC"/>
    <w:rsid w:val="00A83A0D"/>
    <w:rsid w:val="00A83B22"/>
    <w:rsid w:val="00A83B79"/>
    <w:rsid w:val="00A83B9C"/>
    <w:rsid w:val="00A83BA8"/>
    <w:rsid w:val="00A83CA0"/>
    <w:rsid w:val="00A83D49"/>
    <w:rsid w:val="00A83DF3"/>
    <w:rsid w:val="00A83E58"/>
    <w:rsid w:val="00A83E79"/>
    <w:rsid w:val="00A83EB0"/>
    <w:rsid w:val="00A83F73"/>
    <w:rsid w:val="00A83FBC"/>
    <w:rsid w:val="00A840DA"/>
    <w:rsid w:val="00A8410F"/>
    <w:rsid w:val="00A84211"/>
    <w:rsid w:val="00A8421C"/>
    <w:rsid w:val="00A84324"/>
    <w:rsid w:val="00A84354"/>
    <w:rsid w:val="00A84360"/>
    <w:rsid w:val="00A84411"/>
    <w:rsid w:val="00A84482"/>
    <w:rsid w:val="00A844EF"/>
    <w:rsid w:val="00A84663"/>
    <w:rsid w:val="00A84668"/>
    <w:rsid w:val="00A846C4"/>
    <w:rsid w:val="00A8472A"/>
    <w:rsid w:val="00A84750"/>
    <w:rsid w:val="00A847A4"/>
    <w:rsid w:val="00A847F3"/>
    <w:rsid w:val="00A84839"/>
    <w:rsid w:val="00A8484D"/>
    <w:rsid w:val="00A84896"/>
    <w:rsid w:val="00A84912"/>
    <w:rsid w:val="00A84917"/>
    <w:rsid w:val="00A84971"/>
    <w:rsid w:val="00A84994"/>
    <w:rsid w:val="00A8499A"/>
    <w:rsid w:val="00A84A61"/>
    <w:rsid w:val="00A84B5E"/>
    <w:rsid w:val="00A84BA4"/>
    <w:rsid w:val="00A84C23"/>
    <w:rsid w:val="00A84CFB"/>
    <w:rsid w:val="00A84D4B"/>
    <w:rsid w:val="00A84DC7"/>
    <w:rsid w:val="00A84F7E"/>
    <w:rsid w:val="00A85047"/>
    <w:rsid w:val="00A85172"/>
    <w:rsid w:val="00A8525C"/>
    <w:rsid w:val="00A85263"/>
    <w:rsid w:val="00A852D6"/>
    <w:rsid w:val="00A853B2"/>
    <w:rsid w:val="00A85446"/>
    <w:rsid w:val="00A8546A"/>
    <w:rsid w:val="00A8548C"/>
    <w:rsid w:val="00A85593"/>
    <w:rsid w:val="00A85665"/>
    <w:rsid w:val="00A85690"/>
    <w:rsid w:val="00A856CA"/>
    <w:rsid w:val="00A856FE"/>
    <w:rsid w:val="00A85725"/>
    <w:rsid w:val="00A85745"/>
    <w:rsid w:val="00A85797"/>
    <w:rsid w:val="00A85854"/>
    <w:rsid w:val="00A859D0"/>
    <w:rsid w:val="00A85A7F"/>
    <w:rsid w:val="00A85AF4"/>
    <w:rsid w:val="00A85B39"/>
    <w:rsid w:val="00A85B4E"/>
    <w:rsid w:val="00A85B73"/>
    <w:rsid w:val="00A85BF6"/>
    <w:rsid w:val="00A85C31"/>
    <w:rsid w:val="00A85DDA"/>
    <w:rsid w:val="00A85E88"/>
    <w:rsid w:val="00A85EC9"/>
    <w:rsid w:val="00A85EE4"/>
    <w:rsid w:val="00A86033"/>
    <w:rsid w:val="00A860CC"/>
    <w:rsid w:val="00A861C3"/>
    <w:rsid w:val="00A861D8"/>
    <w:rsid w:val="00A86420"/>
    <w:rsid w:val="00A8646E"/>
    <w:rsid w:val="00A8649B"/>
    <w:rsid w:val="00A86629"/>
    <w:rsid w:val="00A86667"/>
    <w:rsid w:val="00A8667F"/>
    <w:rsid w:val="00A866D3"/>
    <w:rsid w:val="00A8670C"/>
    <w:rsid w:val="00A868C7"/>
    <w:rsid w:val="00A86963"/>
    <w:rsid w:val="00A869F2"/>
    <w:rsid w:val="00A86A56"/>
    <w:rsid w:val="00A86A9B"/>
    <w:rsid w:val="00A86AF1"/>
    <w:rsid w:val="00A86AFF"/>
    <w:rsid w:val="00A86B5B"/>
    <w:rsid w:val="00A86B8D"/>
    <w:rsid w:val="00A86C94"/>
    <w:rsid w:val="00A86CC2"/>
    <w:rsid w:val="00A86CFD"/>
    <w:rsid w:val="00A86D1B"/>
    <w:rsid w:val="00A86D2C"/>
    <w:rsid w:val="00A86D5F"/>
    <w:rsid w:val="00A86D7E"/>
    <w:rsid w:val="00A86DA5"/>
    <w:rsid w:val="00A86DB9"/>
    <w:rsid w:val="00A86F84"/>
    <w:rsid w:val="00A86FCE"/>
    <w:rsid w:val="00A86FEF"/>
    <w:rsid w:val="00A86FFD"/>
    <w:rsid w:val="00A87039"/>
    <w:rsid w:val="00A87067"/>
    <w:rsid w:val="00A8706F"/>
    <w:rsid w:val="00A87103"/>
    <w:rsid w:val="00A87136"/>
    <w:rsid w:val="00A871EE"/>
    <w:rsid w:val="00A872C4"/>
    <w:rsid w:val="00A873A9"/>
    <w:rsid w:val="00A873E7"/>
    <w:rsid w:val="00A87407"/>
    <w:rsid w:val="00A87410"/>
    <w:rsid w:val="00A8753B"/>
    <w:rsid w:val="00A8757D"/>
    <w:rsid w:val="00A87644"/>
    <w:rsid w:val="00A87697"/>
    <w:rsid w:val="00A87816"/>
    <w:rsid w:val="00A87831"/>
    <w:rsid w:val="00A8786F"/>
    <w:rsid w:val="00A878E5"/>
    <w:rsid w:val="00A878EA"/>
    <w:rsid w:val="00A878FE"/>
    <w:rsid w:val="00A87929"/>
    <w:rsid w:val="00A8792A"/>
    <w:rsid w:val="00A87974"/>
    <w:rsid w:val="00A879DA"/>
    <w:rsid w:val="00A879F4"/>
    <w:rsid w:val="00A87A9C"/>
    <w:rsid w:val="00A87AE4"/>
    <w:rsid w:val="00A87B12"/>
    <w:rsid w:val="00A87B64"/>
    <w:rsid w:val="00A87B77"/>
    <w:rsid w:val="00A87BC1"/>
    <w:rsid w:val="00A87BEE"/>
    <w:rsid w:val="00A87C9F"/>
    <w:rsid w:val="00A87CA4"/>
    <w:rsid w:val="00A87D7B"/>
    <w:rsid w:val="00A87DBA"/>
    <w:rsid w:val="00A87E1E"/>
    <w:rsid w:val="00A87F5C"/>
    <w:rsid w:val="00A87F8E"/>
    <w:rsid w:val="00A87FFC"/>
    <w:rsid w:val="00A9000B"/>
    <w:rsid w:val="00A90085"/>
    <w:rsid w:val="00A90092"/>
    <w:rsid w:val="00A90093"/>
    <w:rsid w:val="00A900C3"/>
    <w:rsid w:val="00A90102"/>
    <w:rsid w:val="00A9011E"/>
    <w:rsid w:val="00A90143"/>
    <w:rsid w:val="00A901D1"/>
    <w:rsid w:val="00A9021E"/>
    <w:rsid w:val="00A90234"/>
    <w:rsid w:val="00A90261"/>
    <w:rsid w:val="00A902A7"/>
    <w:rsid w:val="00A90393"/>
    <w:rsid w:val="00A903E8"/>
    <w:rsid w:val="00A90426"/>
    <w:rsid w:val="00A906B6"/>
    <w:rsid w:val="00A90795"/>
    <w:rsid w:val="00A907A2"/>
    <w:rsid w:val="00A9083E"/>
    <w:rsid w:val="00A90873"/>
    <w:rsid w:val="00A90891"/>
    <w:rsid w:val="00A909A0"/>
    <w:rsid w:val="00A909E0"/>
    <w:rsid w:val="00A90A30"/>
    <w:rsid w:val="00A90A3F"/>
    <w:rsid w:val="00A90BA6"/>
    <w:rsid w:val="00A90BBD"/>
    <w:rsid w:val="00A90BD9"/>
    <w:rsid w:val="00A90BE3"/>
    <w:rsid w:val="00A90C51"/>
    <w:rsid w:val="00A90CFB"/>
    <w:rsid w:val="00A90D04"/>
    <w:rsid w:val="00A90D3C"/>
    <w:rsid w:val="00A90D4A"/>
    <w:rsid w:val="00A90E50"/>
    <w:rsid w:val="00A90E51"/>
    <w:rsid w:val="00A90EAA"/>
    <w:rsid w:val="00A90FF8"/>
    <w:rsid w:val="00A91032"/>
    <w:rsid w:val="00A91056"/>
    <w:rsid w:val="00A910D0"/>
    <w:rsid w:val="00A9114E"/>
    <w:rsid w:val="00A91163"/>
    <w:rsid w:val="00A91181"/>
    <w:rsid w:val="00A91198"/>
    <w:rsid w:val="00A912DE"/>
    <w:rsid w:val="00A91314"/>
    <w:rsid w:val="00A91431"/>
    <w:rsid w:val="00A91454"/>
    <w:rsid w:val="00A91496"/>
    <w:rsid w:val="00A914CD"/>
    <w:rsid w:val="00A91567"/>
    <w:rsid w:val="00A91594"/>
    <w:rsid w:val="00A9177D"/>
    <w:rsid w:val="00A91824"/>
    <w:rsid w:val="00A91842"/>
    <w:rsid w:val="00A918B8"/>
    <w:rsid w:val="00A919AE"/>
    <w:rsid w:val="00A91A08"/>
    <w:rsid w:val="00A91AA4"/>
    <w:rsid w:val="00A91AA5"/>
    <w:rsid w:val="00A91AAC"/>
    <w:rsid w:val="00A91D8E"/>
    <w:rsid w:val="00A91DDE"/>
    <w:rsid w:val="00A91DFF"/>
    <w:rsid w:val="00A91E3E"/>
    <w:rsid w:val="00A91E44"/>
    <w:rsid w:val="00A91E64"/>
    <w:rsid w:val="00A91EAC"/>
    <w:rsid w:val="00A91EFA"/>
    <w:rsid w:val="00A92028"/>
    <w:rsid w:val="00A92062"/>
    <w:rsid w:val="00A92209"/>
    <w:rsid w:val="00A9232F"/>
    <w:rsid w:val="00A9234C"/>
    <w:rsid w:val="00A92393"/>
    <w:rsid w:val="00A923B2"/>
    <w:rsid w:val="00A92403"/>
    <w:rsid w:val="00A9241E"/>
    <w:rsid w:val="00A92464"/>
    <w:rsid w:val="00A924BC"/>
    <w:rsid w:val="00A92524"/>
    <w:rsid w:val="00A92636"/>
    <w:rsid w:val="00A926A4"/>
    <w:rsid w:val="00A926BE"/>
    <w:rsid w:val="00A92795"/>
    <w:rsid w:val="00A9281C"/>
    <w:rsid w:val="00A928ED"/>
    <w:rsid w:val="00A9290B"/>
    <w:rsid w:val="00A9295A"/>
    <w:rsid w:val="00A92964"/>
    <w:rsid w:val="00A92AE9"/>
    <w:rsid w:val="00A92B19"/>
    <w:rsid w:val="00A92BED"/>
    <w:rsid w:val="00A92C0B"/>
    <w:rsid w:val="00A92C88"/>
    <w:rsid w:val="00A92C89"/>
    <w:rsid w:val="00A92CDF"/>
    <w:rsid w:val="00A92EA4"/>
    <w:rsid w:val="00A92EC1"/>
    <w:rsid w:val="00A92EE7"/>
    <w:rsid w:val="00A92F13"/>
    <w:rsid w:val="00A92FE1"/>
    <w:rsid w:val="00A93096"/>
    <w:rsid w:val="00A930A9"/>
    <w:rsid w:val="00A93129"/>
    <w:rsid w:val="00A931BA"/>
    <w:rsid w:val="00A93260"/>
    <w:rsid w:val="00A9327C"/>
    <w:rsid w:val="00A932A0"/>
    <w:rsid w:val="00A93328"/>
    <w:rsid w:val="00A933BC"/>
    <w:rsid w:val="00A933C7"/>
    <w:rsid w:val="00A93401"/>
    <w:rsid w:val="00A9343B"/>
    <w:rsid w:val="00A9345E"/>
    <w:rsid w:val="00A934C7"/>
    <w:rsid w:val="00A93507"/>
    <w:rsid w:val="00A93669"/>
    <w:rsid w:val="00A93697"/>
    <w:rsid w:val="00A93714"/>
    <w:rsid w:val="00A93807"/>
    <w:rsid w:val="00A9388A"/>
    <w:rsid w:val="00A938CB"/>
    <w:rsid w:val="00A938FD"/>
    <w:rsid w:val="00A9399F"/>
    <w:rsid w:val="00A93A35"/>
    <w:rsid w:val="00A93A6F"/>
    <w:rsid w:val="00A93A93"/>
    <w:rsid w:val="00A93ADA"/>
    <w:rsid w:val="00A93B00"/>
    <w:rsid w:val="00A93B1A"/>
    <w:rsid w:val="00A93BA5"/>
    <w:rsid w:val="00A93BA6"/>
    <w:rsid w:val="00A93BB7"/>
    <w:rsid w:val="00A93BED"/>
    <w:rsid w:val="00A93C4F"/>
    <w:rsid w:val="00A93CE5"/>
    <w:rsid w:val="00A93DB5"/>
    <w:rsid w:val="00A93E1A"/>
    <w:rsid w:val="00A93E27"/>
    <w:rsid w:val="00A93ED9"/>
    <w:rsid w:val="00A93F09"/>
    <w:rsid w:val="00A93F14"/>
    <w:rsid w:val="00A93F15"/>
    <w:rsid w:val="00A93F27"/>
    <w:rsid w:val="00A93F46"/>
    <w:rsid w:val="00A93F67"/>
    <w:rsid w:val="00A93FC2"/>
    <w:rsid w:val="00A9400C"/>
    <w:rsid w:val="00A94081"/>
    <w:rsid w:val="00A940F1"/>
    <w:rsid w:val="00A941D6"/>
    <w:rsid w:val="00A94390"/>
    <w:rsid w:val="00A94426"/>
    <w:rsid w:val="00A944DC"/>
    <w:rsid w:val="00A944FE"/>
    <w:rsid w:val="00A9452F"/>
    <w:rsid w:val="00A947E4"/>
    <w:rsid w:val="00A9485B"/>
    <w:rsid w:val="00A94866"/>
    <w:rsid w:val="00A948C3"/>
    <w:rsid w:val="00A948CD"/>
    <w:rsid w:val="00A9497A"/>
    <w:rsid w:val="00A9497D"/>
    <w:rsid w:val="00A94A09"/>
    <w:rsid w:val="00A94B2C"/>
    <w:rsid w:val="00A94CA2"/>
    <w:rsid w:val="00A94D08"/>
    <w:rsid w:val="00A94D94"/>
    <w:rsid w:val="00A94DE4"/>
    <w:rsid w:val="00A94E01"/>
    <w:rsid w:val="00A94F59"/>
    <w:rsid w:val="00A94FBB"/>
    <w:rsid w:val="00A94FF3"/>
    <w:rsid w:val="00A9504D"/>
    <w:rsid w:val="00A9505B"/>
    <w:rsid w:val="00A9507C"/>
    <w:rsid w:val="00A9513E"/>
    <w:rsid w:val="00A95140"/>
    <w:rsid w:val="00A9518C"/>
    <w:rsid w:val="00A95339"/>
    <w:rsid w:val="00A9533B"/>
    <w:rsid w:val="00A95340"/>
    <w:rsid w:val="00A9536F"/>
    <w:rsid w:val="00A953D1"/>
    <w:rsid w:val="00A953F2"/>
    <w:rsid w:val="00A954B6"/>
    <w:rsid w:val="00A954D2"/>
    <w:rsid w:val="00A955CB"/>
    <w:rsid w:val="00A9561F"/>
    <w:rsid w:val="00A957B2"/>
    <w:rsid w:val="00A957CB"/>
    <w:rsid w:val="00A95968"/>
    <w:rsid w:val="00A95976"/>
    <w:rsid w:val="00A95B31"/>
    <w:rsid w:val="00A95CAB"/>
    <w:rsid w:val="00A95CDF"/>
    <w:rsid w:val="00A95CF4"/>
    <w:rsid w:val="00A95DB8"/>
    <w:rsid w:val="00A95E65"/>
    <w:rsid w:val="00A95F65"/>
    <w:rsid w:val="00A960A8"/>
    <w:rsid w:val="00A9615C"/>
    <w:rsid w:val="00A961AB"/>
    <w:rsid w:val="00A961EB"/>
    <w:rsid w:val="00A96400"/>
    <w:rsid w:val="00A9643C"/>
    <w:rsid w:val="00A9644B"/>
    <w:rsid w:val="00A965DF"/>
    <w:rsid w:val="00A9660F"/>
    <w:rsid w:val="00A96688"/>
    <w:rsid w:val="00A9668D"/>
    <w:rsid w:val="00A96699"/>
    <w:rsid w:val="00A966B5"/>
    <w:rsid w:val="00A96700"/>
    <w:rsid w:val="00A96718"/>
    <w:rsid w:val="00A9678C"/>
    <w:rsid w:val="00A96803"/>
    <w:rsid w:val="00A96806"/>
    <w:rsid w:val="00A96845"/>
    <w:rsid w:val="00A9688A"/>
    <w:rsid w:val="00A9689D"/>
    <w:rsid w:val="00A96A87"/>
    <w:rsid w:val="00A96AD3"/>
    <w:rsid w:val="00A96AF8"/>
    <w:rsid w:val="00A96B15"/>
    <w:rsid w:val="00A96B73"/>
    <w:rsid w:val="00A96BA6"/>
    <w:rsid w:val="00A96C4C"/>
    <w:rsid w:val="00A96C7C"/>
    <w:rsid w:val="00A96CF9"/>
    <w:rsid w:val="00A96E2A"/>
    <w:rsid w:val="00A96E3A"/>
    <w:rsid w:val="00A96EB7"/>
    <w:rsid w:val="00A96F9F"/>
    <w:rsid w:val="00A96FA8"/>
    <w:rsid w:val="00A97160"/>
    <w:rsid w:val="00A97319"/>
    <w:rsid w:val="00A97368"/>
    <w:rsid w:val="00A973FA"/>
    <w:rsid w:val="00A97416"/>
    <w:rsid w:val="00A97492"/>
    <w:rsid w:val="00A974F0"/>
    <w:rsid w:val="00A974F2"/>
    <w:rsid w:val="00A9751A"/>
    <w:rsid w:val="00A9753D"/>
    <w:rsid w:val="00A975BA"/>
    <w:rsid w:val="00A975E9"/>
    <w:rsid w:val="00A9764A"/>
    <w:rsid w:val="00A976C3"/>
    <w:rsid w:val="00A9778D"/>
    <w:rsid w:val="00A9781B"/>
    <w:rsid w:val="00A978AD"/>
    <w:rsid w:val="00A9799F"/>
    <w:rsid w:val="00A97AF5"/>
    <w:rsid w:val="00A97B17"/>
    <w:rsid w:val="00A97B31"/>
    <w:rsid w:val="00A97B3C"/>
    <w:rsid w:val="00A97B40"/>
    <w:rsid w:val="00A97BC8"/>
    <w:rsid w:val="00A97C44"/>
    <w:rsid w:val="00A97CD8"/>
    <w:rsid w:val="00A97CFC"/>
    <w:rsid w:val="00A97E55"/>
    <w:rsid w:val="00A97E58"/>
    <w:rsid w:val="00A97E9E"/>
    <w:rsid w:val="00A97ED9"/>
    <w:rsid w:val="00A97FAB"/>
    <w:rsid w:val="00AA00DF"/>
    <w:rsid w:val="00AA015A"/>
    <w:rsid w:val="00AA01ED"/>
    <w:rsid w:val="00AA026D"/>
    <w:rsid w:val="00AA04AC"/>
    <w:rsid w:val="00AA053E"/>
    <w:rsid w:val="00AA0577"/>
    <w:rsid w:val="00AA05B1"/>
    <w:rsid w:val="00AA06C2"/>
    <w:rsid w:val="00AA07F3"/>
    <w:rsid w:val="00AA082D"/>
    <w:rsid w:val="00AA089E"/>
    <w:rsid w:val="00AA094D"/>
    <w:rsid w:val="00AA096C"/>
    <w:rsid w:val="00AA0998"/>
    <w:rsid w:val="00AA0A4A"/>
    <w:rsid w:val="00AA0A83"/>
    <w:rsid w:val="00AA0AA2"/>
    <w:rsid w:val="00AA0ACF"/>
    <w:rsid w:val="00AA0B3A"/>
    <w:rsid w:val="00AA0B64"/>
    <w:rsid w:val="00AA0CA8"/>
    <w:rsid w:val="00AA0D11"/>
    <w:rsid w:val="00AA0E22"/>
    <w:rsid w:val="00AA0E25"/>
    <w:rsid w:val="00AA0F10"/>
    <w:rsid w:val="00AA0F62"/>
    <w:rsid w:val="00AA0F70"/>
    <w:rsid w:val="00AA0FAF"/>
    <w:rsid w:val="00AA0FC5"/>
    <w:rsid w:val="00AA10DC"/>
    <w:rsid w:val="00AA11BC"/>
    <w:rsid w:val="00AA1283"/>
    <w:rsid w:val="00AA1335"/>
    <w:rsid w:val="00AA1389"/>
    <w:rsid w:val="00AA1418"/>
    <w:rsid w:val="00AA1461"/>
    <w:rsid w:val="00AA1516"/>
    <w:rsid w:val="00AA1527"/>
    <w:rsid w:val="00AA157B"/>
    <w:rsid w:val="00AA1747"/>
    <w:rsid w:val="00AA1755"/>
    <w:rsid w:val="00AA1799"/>
    <w:rsid w:val="00AA184C"/>
    <w:rsid w:val="00AA1992"/>
    <w:rsid w:val="00AA19B9"/>
    <w:rsid w:val="00AA19CF"/>
    <w:rsid w:val="00AA1A5A"/>
    <w:rsid w:val="00AA1ABC"/>
    <w:rsid w:val="00AA1BE1"/>
    <w:rsid w:val="00AA1D16"/>
    <w:rsid w:val="00AA1E11"/>
    <w:rsid w:val="00AA1F43"/>
    <w:rsid w:val="00AA1F8C"/>
    <w:rsid w:val="00AA203B"/>
    <w:rsid w:val="00AA2049"/>
    <w:rsid w:val="00AA20AA"/>
    <w:rsid w:val="00AA211C"/>
    <w:rsid w:val="00AA2245"/>
    <w:rsid w:val="00AA22AE"/>
    <w:rsid w:val="00AA22DF"/>
    <w:rsid w:val="00AA2335"/>
    <w:rsid w:val="00AA2362"/>
    <w:rsid w:val="00AA23CF"/>
    <w:rsid w:val="00AA24C7"/>
    <w:rsid w:val="00AA253C"/>
    <w:rsid w:val="00AA25D6"/>
    <w:rsid w:val="00AA2620"/>
    <w:rsid w:val="00AA265F"/>
    <w:rsid w:val="00AA2734"/>
    <w:rsid w:val="00AA27B1"/>
    <w:rsid w:val="00AA27BF"/>
    <w:rsid w:val="00AA2849"/>
    <w:rsid w:val="00AA28B9"/>
    <w:rsid w:val="00AA2A0E"/>
    <w:rsid w:val="00AA2A25"/>
    <w:rsid w:val="00AA2A38"/>
    <w:rsid w:val="00AA2A47"/>
    <w:rsid w:val="00AA2B06"/>
    <w:rsid w:val="00AA2BA7"/>
    <w:rsid w:val="00AA2BE6"/>
    <w:rsid w:val="00AA2C2D"/>
    <w:rsid w:val="00AA2C61"/>
    <w:rsid w:val="00AA2D95"/>
    <w:rsid w:val="00AA2E9D"/>
    <w:rsid w:val="00AA2F9C"/>
    <w:rsid w:val="00AA2FBA"/>
    <w:rsid w:val="00AA2FDD"/>
    <w:rsid w:val="00AA302F"/>
    <w:rsid w:val="00AA308E"/>
    <w:rsid w:val="00AA30DE"/>
    <w:rsid w:val="00AA3100"/>
    <w:rsid w:val="00AA315F"/>
    <w:rsid w:val="00AA318D"/>
    <w:rsid w:val="00AA31D8"/>
    <w:rsid w:val="00AA3245"/>
    <w:rsid w:val="00AA3296"/>
    <w:rsid w:val="00AA32E4"/>
    <w:rsid w:val="00AA3369"/>
    <w:rsid w:val="00AA3377"/>
    <w:rsid w:val="00AA33FF"/>
    <w:rsid w:val="00AA3440"/>
    <w:rsid w:val="00AA34BF"/>
    <w:rsid w:val="00AA34F4"/>
    <w:rsid w:val="00AA357A"/>
    <w:rsid w:val="00AA35BF"/>
    <w:rsid w:val="00AA36D2"/>
    <w:rsid w:val="00AA376D"/>
    <w:rsid w:val="00AA3847"/>
    <w:rsid w:val="00AA384C"/>
    <w:rsid w:val="00AA3892"/>
    <w:rsid w:val="00AA38D3"/>
    <w:rsid w:val="00AA399E"/>
    <w:rsid w:val="00AA3A3B"/>
    <w:rsid w:val="00AA3AB9"/>
    <w:rsid w:val="00AA3ABB"/>
    <w:rsid w:val="00AA3BC0"/>
    <w:rsid w:val="00AA3D50"/>
    <w:rsid w:val="00AA3D9D"/>
    <w:rsid w:val="00AA3DE0"/>
    <w:rsid w:val="00AA3DE4"/>
    <w:rsid w:val="00AA3DE9"/>
    <w:rsid w:val="00AA3F0E"/>
    <w:rsid w:val="00AA3F11"/>
    <w:rsid w:val="00AA3F38"/>
    <w:rsid w:val="00AA3FE7"/>
    <w:rsid w:val="00AA4016"/>
    <w:rsid w:val="00AA4147"/>
    <w:rsid w:val="00AA4218"/>
    <w:rsid w:val="00AA427A"/>
    <w:rsid w:val="00AA42BA"/>
    <w:rsid w:val="00AA4362"/>
    <w:rsid w:val="00AA44C2"/>
    <w:rsid w:val="00AA453F"/>
    <w:rsid w:val="00AA455A"/>
    <w:rsid w:val="00AA45CE"/>
    <w:rsid w:val="00AA45CF"/>
    <w:rsid w:val="00AA45D1"/>
    <w:rsid w:val="00AA4778"/>
    <w:rsid w:val="00AA47C2"/>
    <w:rsid w:val="00AA483C"/>
    <w:rsid w:val="00AA487A"/>
    <w:rsid w:val="00AA48F3"/>
    <w:rsid w:val="00AA48FD"/>
    <w:rsid w:val="00AA49A6"/>
    <w:rsid w:val="00AA4A8D"/>
    <w:rsid w:val="00AA4B17"/>
    <w:rsid w:val="00AA4BB1"/>
    <w:rsid w:val="00AA4C18"/>
    <w:rsid w:val="00AA4CC8"/>
    <w:rsid w:val="00AA4CDA"/>
    <w:rsid w:val="00AA4D01"/>
    <w:rsid w:val="00AA4D4A"/>
    <w:rsid w:val="00AA4D71"/>
    <w:rsid w:val="00AA4E07"/>
    <w:rsid w:val="00AA4E47"/>
    <w:rsid w:val="00AA4E81"/>
    <w:rsid w:val="00AA4E89"/>
    <w:rsid w:val="00AA4E9C"/>
    <w:rsid w:val="00AA4F32"/>
    <w:rsid w:val="00AA4F9D"/>
    <w:rsid w:val="00AA5060"/>
    <w:rsid w:val="00AA5062"/>
    <w:rsid w:val="00AA5063"/>
    <w:rsid w:val="00AA5148"/>
    <w:rsid w:val="00AA517F"/>
    <w:rsid w:val="00AA52B2"/>
    <w:rsid w:val="00AA52FF"/>
    <w:rsid w:val="00AA5371"/>
    <w:rsid w:val="00AA544E"/>
    <w:rsid w:val="00AA5458"/>
    <w:rsid w:val="00AA5593"/>
    <w:rsid w:val="00AA5760"/>
    <w:rsid w:val="00AA57BB"/>
    <w:rsid w:val="00AA57D2"/>
    <w:rsid w:val="00AA582C"/>
    <w:rsid w:val="00AA5835"/>
    <w:rsid w:val="00AA59D9"/>
    <w:rsid w:val="00AA5CBC"/>
    <w:rsid w:val="00AA5DC6"/>
    <w:rsid w:val="00AA5E86"/>
    <w:rsid w:val="00AA5ECB"/>
    <w:rsid w:val="00AA5F18"/>
    <w:rsid w:val="00AA5F2B"/>
    <w:rsid w:val="00AA6018"/>
    <w:rsid w:val="00AA6127"/>
    <w:rsid w:val="00AA6296"/>
    <w:rsid w:val="00AA65B4"/>
    <w:rsid w:val="00AA6631"/>
    <w:rsid w:val="00AA6798"/>
    <w:rsid w:val="00AA6861"/>
    <w:rsid w:val="00AA686C"/>
    <w:rsid w:val="00AA696A"/>
    <w:rsid w:val="00AA69A0"/>
    <w:rsid w:val="00AA69F5"/>
    <w:rsid w:val="00AA6AF3"/>
    <w:rsid w:val="00AA6B1F"/>
    <w:rsid w:val="00AA6D95"/>
    <w:rsid w:val="00AA6DA6"/>
    <w:rsid w:val="00AA6DAF"/>
    <w:rsid w:val="00AA6DF0"/>
    <w:rsid w:val="00AA6E72"/>
    <w:rsid w:val="00AA6EE5"/>
    <w:rsid w:val="00AA6EE9"/>
    <w:rsid w:val="00AA6EF5"/>
    <w:rsid w:val="00AA6F15"/>
    <w:rsid w:val="00AA6F93"/>
    <w:rsid w:val="00AA713C"/>
    <w:rsid w:val="00AA71A2"/>
    <w:rsid w:val="00AA71FE"/>
    <w:rsid w:val="00AA72ED"/>
    <w:rsid w:val="00AA73FB"/>
    <w:rsid w:val="00AA7422"/>
    <w:rsid w:val="00AA759F"/>
    <w:rsid w:val="00AA7627"/>
    <w:rsid w:val="00AA770B"/>
    <w:rsid w:val="00AA7749"/>
    <w:rsid w:val="00AA78D3"/>
    <w:rsid w:val="00AA7916"/>
    <w:rsid w:val="00AA7919"/>
    <w:rsid w:val="00AA792D"/>
    <w:rsid w:val="00AA7ADC"/>
    <w:rsid w:val="00AA7B04"/>
    <w:rsid w:val="00AA7BA4"/>
    <w:rsid w:val="00AA7BF5"/>
    <w:rsid w:val="00AA7C29"/>
    <w:rsid w:val="00AA7C98"/>
    <w:rsid w:val="00AA7CDF"/>
    <w:rsid w:val="00AA7D1D"/>
    <w:rsid w:val="00AA7D48"/>
    <w:rsid w:val="00AA7D7E"/>
    <w:rsid w:val="00AA7E84"/>
    <w:rsid w:val="00AA7F0C"/>
    <w:rsid w:val="00AA7FAE"/>
    <w:rsid w:val="00AA7FB3"/>
    <w:rsid w:val="00AB000D"/>
    <w:rsid w:val="00AB0010"/>
    <w:rsid w:val="00AB006F"/>
    <w:rsid w:val="00AB0161"/>
    <w:rsid w:val="00AB01A9"/>
    <w:rsid w:val="00AB02E0"/>
    <w:rsid w:val="00AB035D"/>
    <w:rsid w:val="00AB03C9"/>
    <w:rsid w:val="00AB0455"/>
    <w:rsid w:val="00AB056D"/>
    <w:rsid w:val="00AB064B"/>
    <w:rsid w:val="00AB0689"/>
    <w:rsid w:val="00AB068D"/>
    <w:rsid w:val="00AB0697"/>
    <w:rsid w:val="00AB06BD"/>
    <w:rsid w:val="00AB06CC"/>
    <w:rsid w:val="00AB0769"/>
    <w:rsid w:val="00AB0770"/>
    <w:rsid w:val="00AB0798"/>
    <w:rsid w:val="00AB07AA"/>
    <w:rsid w:val="00AB082D"/>
    <w:rsid w:val="00AB086A"/>
    <w:rsid w:val="00AB088E"/>
    <w:rsid w:val="00AB089B"/>
    <w:rsid w:val="00AB08FB"/>
    <w:rsid w:val="00AB09DD"/>
    <w:rsid w:val="00AB0AF4"/>
    <w:rsid w:val="00AB0BAE"/>
    <w:rsid w:val="00AB0C59"/>
    <w:rsid w:val="00AB0D5A"/>
    <w:rsid w:val="00AB0D5D"/>
    <w:rsid w:val="00AB0E1D"/>
    <w:rsid w:val="00AB0F50"/>
    <w:rsid w:val="00AB0F73"/>
    <w:rsid w:val="00AB0F7A"/>
    <w:rsid w:val="00AB0FB4"/>
    <w:rsid w:val="00AB10D9"/>
    <w:rsid w:val="00AB111D"/>
    <w:rsid w:val="00AB113E"/>
    <w:rsid w:val="00AB120F"/>
    <w:rsid w:val="00AB1228"/>
    <w:rsid w:val="00AB124E"/>
    <w:rsid w:val="00AB12B7"/>
    <w:rsid w:val="00AB1300"/>
    <w:rsid w:val="00AB139A"/>
    <w:rsid w:val="00AB13AF"/>
    <w:rsid w:val="00AB14B7"/>
    <w:rsid w:val="00AB16C4"/>
    <w:rsid w:val="00AB16DE"/>
    <w:rsid w:val="00AB173B"/>
    <w:rsid w:val="00AB17CC"/>
    <w:rsid w:val="00AB181F"/>
    <w:rsid w:val="00AB185B"/>
    <w:rsid w:val="00AB1865"/>
    <w:rsid w:val="00AB18BB"/>
    <w:rsid w:val="00AB1942"/>
    <w:rsid w:val="00AB194E"/>
    <w:rsid w:val="00AB19D4"/>
    <w:rsid w:val="00AB1AEC"/>
    <w:rsid w:val="00AB1B81"/>
    <w:rsid w:val="00AB1C37"/>
    <w:rsid w:val="00AB1CD7"/>
    <w:rsid w:val="00AB1CDB"/>
    <w:rsid w:val="00AB1DE3"/>
    <w:rsid w:val="00AB1E0F"/>
    <w:rsid w:val="00AB1E65"/>
    <w:rsid w:val="00AB1F07"/>
    <w:rsid w:val="00AB1F13"/>
    <w:rsid w:val="00AB1F84"/>
    <w:rsid w:val="00AB1F9A"/>
    <w:rsid w:val="00AB1F9C"/>
    <w:rsid w:val="00AB2046"/>
    <w:rsid w:val="00AB211F"/>
    <w:rsid w:val="00AB216E"/>
    <w:rsid w:val="00AB235C"/>
    <w:rsid w:val="00AB236F"/>
    <w:rsid w:val="00AB239C"/>
    <w:rsid w:val="00AB23A6"/>
    <w:rsid w:val="00AB23D8"/>
    <w:rsid w:val="00AB23F9"/>
    <w:rsid w:val="00AB2458"/>
    <w:rsid w:val="00AB246A"/>
    <w:rsid w:val="00AB2494"/>
    <w:rsid w:val="00AB24EE"/>
    <w:rsid w:val="00AB2550"/>
    <w:rsid w:val="00AB25B6"/>
    <w:rsid w:val="00AB26C3"/>
    <w:rsid w:val="00AB2727"/>
    <w:rsid w:val="00AB27CC"/>
    <w:rsid w:val="00AB28AF"/>
    <w:rsid w:val="00AB28BB"/>
    <w:rsid w:val="00AB2977"/>
    <w:rsid w:val="00AB29C7"/>
    <w:rsid w:val="00AB2A46"/>
    <w:rsid w:val="00AB2A9D"/>
    <w:rsid w:val="00AB2AC0"/>
    <w:rsid w:val="00AB2AF5"/>
    <w:rsid w:val="00AB2B25"/>
    <w:rsid w:val="00AB2B2A"/>
    <w:rsid w:val="00AB2B44"/>
    <w:rsid w:val="00AB2B60"/>
    <w:rsid w:val="00AB2BF4"/>
    <w:rsid w:val="00AB2C0F"/>
    <w:rsid w:val="00AB2C5C"/>
    <w:rsid w:val="00AB2CA6"/>
    <w:rsid w:val="00AB2DB5"/>
    <w:rsid w:val="00AB2DDD"/>
    <w:rsid w:val="00AB2DE1"/>
    <w:rsid w:val="00AB2E2E"/>
    <w:rsid w:val="00AB2EEA"/>
    <w:rsid w:val="00AB2F49"/>
    <w:rsid w:val="00AB2F61"/>
    <w:rsid w:val="00AB318F"/>
    <w:rsid w:val="00AB31E3"/>
    <w:rsid w:val="00AB3391"/>
    <w:rsid w:val="00AB33BF"/>
    <w:rsid w:val="00AB34A2"/>
    <w:rsid w:val="00AB34EA"/>
    <w:rsid w:val="00AB356B"/>
    <w:rsid w:val="00AB35B0"/>
    <w:rsid w:val="00AB35CF"/>
    <w:rsid w:val="00AB3624"/>
    <w:rsid w:val="00AB36EE"/>
    <w:rsid w:val="00AB36FF"/>
    <w:rsid w:val="00AB371D"/>
    <w:rsid w:val="00AB373A"/>
    <w:rsid w:val="00AB374F"/>
    <w:rsid w:val="00AB380F"/>
    <w:rsid w:val="00AB384C"/>
    <w:rsid w:val="00AB3961"/>
    <w:rsid w:val="00AB3A4F"/>
    <w:rsid w:val="00AB3AC9"/>
    <w:rsid w:val="00AB3BAF"/>
    <w:rsid w:val="00AB3C41"/>
    <w:rsid w:val="00AB3CCB"/>
    <w:rsid w:val="00AB3D8D"/>
    <w:rsid w:val="00AB3DB0"/>
    <w:rsid w:val="00AB3F0A"/>
    <w:rsid w:val="00AB3F2A"/>
    <w:rsid w:val="00AB3FAB"/>
    <w:rsid w:val="00AB3FDD"/>
    <w:rsid w:val="00AB40EE"/>
    <w:rsid w:val="00AB4146"/>
    <w:rsid w:val="00AB41A7"/>
    <w:rsid w:val="00AB42CE"/>
    <w:rsid w:val="00AB432B"/>
    <w:rsid w:val="00AB4331"/>
    <w:rsid w:val="00AB4471"/>
    <w:rsid w:val="00AB4494"/>
    <w:rsid w:val="00AB44F3"/>
    <w:rsid w:val="00AB4567"/>
    <w:rsid w:val="00AB4580"/>
    <w:rsid w:val="00AB45F9"/>
    <w:rsid w:val="00AB4607"/>
    <w:rsid w:val="00AB4696"/>
    <w:rsid w:val="00AB46AA"/>
    <w:rsid w:val="00AB4773"/>
    <w:rsid w:val="00AB4813"/>
    <w:rsid w:val="00AB481A"/>
    <w:rsid w:val="00AB48F8"/>
    <w:rsid w:val="00AB492F"/>
    <w:rsid w:val="00AB4988"/>
    <w:rsid w:val="00AB4A38"/>
    <w:rsid w:val="00AB4BFC"/>
    <w:rsid w:val="00AB4C0F"/>
    <w:rsid w:val="00AB4E0A"/>
    <w:rsid w:val="00AB4E0E"/>
    <w:rsid w:val="00AB4E12"/>
    <w:rsid w:val="00AB4E19"/>
    <w:rsid w:val="00AB4E58"/>
    <w:rsid w:val="00AB4E67"/>
    <w:rsid w:val="00AB4EF8"/>
    <w:rsid w:val="00AB4F4D"/>
    <w:rsid w:val="00AB4F7B"/>
    <w:rsid w:val="00AB4FF0"/>
    <w:rsid w:val="00AB5020"/>
    <w:rsid w:val="00AB502F"/>
    <w:rsid w:val="00AB50BF"/>
    <w:rsid w:val="00AB50DF"/>
    <w:rsid w:val="00AB514E"/>
    <w:rsid w:val="00AB5156"/>
    <w:rsid w:val="00AB5173"/>
    <w:rsid w:val="00AB51E9"/>
    <w:rsid w:val="00AB5237"/>
    <w:rsid w:val="00AB524D"/>
    <w:rsid w:val="00AB526A"/>
    <w:rsid w:val="00AB527E"/>
    <w:rsid w:val="00AB52EC"/>
    <w:rsid w:val="00AB533B"/>
    <w:rsid w:val="00AB53D8"/>
    <w:rsid w:val="00AB5442"/>
    <w:rsid w:val="00AB5451"/>
    <w:rsid w:val="00AB54CE"/>
    <w:rsid w:val="00AB54DE"/>
    <w:rsid w:val="00AB55C7"/>
    <w:rsid w:val="00AB560C"/>
    <w:rsid w:val="00AB564D"/>
    <w:rsid w:val="00AB567C"/>
    <w:rsid w:val="00AB5680"/>
    <w:rsid w:val="00AB5714"/>
    <w:rsid w:val="00AB5715"/>
    <w:rsid w:val="00AB57A3"/>
    <w:rsid w:val="00AB5891"/>
    <w:rsid w:val="00AB58EB"/>
    <w:rsid w:val="00AB58FF"/>
    <w:rsid w:val="00AB5936"/>
    <w:rsid w:val="00AB5999"/>
    <w:rsid w:val="00AB5A2B"/>
    <w:rsid w:val="00AB5A81"/>
    <w:rsid w:val="00AB5AA9"/>
    <w:rsid w:val="00AB5B5D"/>
    <w:rsid w:val="00AB5B69"/>
    <w:rsid w:val="00AB5BB9"/>
    <w:rsid w:val="00AB5FC0"/>
    <w:rsid w:val="00AB6063"/>
    <w:rsid w:val="00AB606C"/>
    <w:rsid w:val="00AB61F1"/>
    <w:rsid w:val="00AB6210"/>
    <w:rsid w:val="00AB62A4"/>
    <w:rsid w:val="00AB62C6"/>
    <w:rsid w:val="00AB62D2"/>
    <w:rsid w:val="00AB62F0"/>
    <w:rsid w:val="00AB6337"/>
    <w:rsid w:val="00AB63C5"/>
    <w:rsid w:val="00AB6450"/>
    <w:rsid w:val="00AB6466"/>
    <w:rsid w:val="00AB64A6"/>
    <w:rsid w:val="00AB6502"/>
    <w:rsid w:val="00AB6587"/>
    <w:rsid w:val="00AB663F"/>
    <w:rsid w:val="00AB664D"/>
    <w:rsid w:val="00AB671E"/>
    <w:rsid w:val="00AB6728"/>
    <w:rsid w:val="00AB6864"/>
    <w:rsid w:val="00AB6867"/>
    <w:rsid w:val="00AB686F"/>
    <w:rsid w:val="00AB6909"/>
    <w:rsid w:val="00AB698C"/>
    <w:rsid w:val="00AB69EB"/>
    <w:rsid w:val="00AB6A59"/>
    <w:rsid w:val="00AB6AE8"/>
    <w:rsid w:val="00AB6B26"/>
    <w:rsid w:val="00AB6B2F"/>
    <w:rsid w:val="00AB6BA8"/>
    <w:rsid w:val="00AB6C9C"/>
    <w:rsid w:val="00AB6CB9"/>
    <w:rsid w:val="00AB6CC7"/>
    <w:rsid w:val="00AB6D71"/>
    <w:rsid w:val="00AB6ECD"/>
    <w:rsid w:val="00AB6EEE"/>
    <w:rsid w:val="00AB6F0D"/>
    <w:rsid w:val="00AB6F1D"/>
    <w:rsid w:val="00AB6F48"/>
    <w:rsid w:val="00AB6F4D"/>
    <w:rsid w:val="00AB7043"/>
    <w:rsid w:val="00AB7128"/>
    <w:rsid w:val="00AB7149"/>
    <w:rsid w:val="00AB7187"/>
    <w:rsid w:val="00AB71EA"/>
    <w:rsid w:val="00AB71F5"/>
    <w:rsid w:val="00AB721D"/>
    <w:rsid w:val="00AB7241"/>
    <w:rsid w:val="00AB7267"/>
    <w:rsid w:val="00AB7273"/>
    <w:rsid w:val="00AB72B5"/>
    <w:rsid w:val="00AB738A"/>
    <w:rsid w:val="00AB7464"/>
    <w:rsid w:val="00AB75F0"/>
    <w:rsid w:val="00AB768D"/>
    <w:rsid w:val="00AB768F"/>
    <w:rsid w:val="00AB7696"/>
    <w:rsid w:val="00AB772A"/>
    <w:rsid w:val="00AB775B"/>
    <w:rsid w:val="00AB78E9"/>
    <w:rsid w:val="00AB7969"/>
    <w:rsid w:val="00AB7B00"/>
    <w:rsid w:val="00AB7B2B"/>
    <w:rsid w:val="00AB7BE3"/>
    <w:rsid w:val="00AB7C80"/>
    <w:rsid w:val="00AB7CEC"/>
    <w:rsid w:val="00AB7D92"/>
    <w:rsid w:val="00AB7E02"/>
    <w:rsid w:val="00AB7EFF"/>
    <w:rsid w:val="00AB7F81"/>
    <w:rsid w:val="00AC006F"/>
    <w:rsid w:val="00AC0078"/>
    <w:rsid w:val="00AC0155"/>
    <w:rsid w:val="00AC0188"/>
    <w:rsid w:val="00AC0231"/>
    <w:rsid w:val="00AC0296"/>
    <w:rsid w:val="00AC030F"/>
    <w:rsid w:val="00AC038D"/>
    <w:rsid w:val="00AC03B2"/>
    <w:rsid w:val="00AC0414"/>
    <w:rsid w:val="00AC0479"/>
    <w:rsid w:val="00AC05A9"/>
    <w:rsid w:val="00AC0689"/>
    <w:rsid w:val="00AC069C"/>
    <w:rsid w:val="00AC06A2"/>
    <w:rsid w:val="00AC07C1"/>
    <w:rsid w:val="00AC08C5"/>
    <w:rsid w:val="00AC09F1"/>
    <w:rsid w:val="00AC0A81"/>
    <w:rsid w:val="00AC0AFE"/>
    <w:rsid w:val="00AC0B15"/>
    <w:rsid w:val="00AC0B61"/>
    <w:rsid w:val="00AC0BBA"/>
    <w:rsid w:val="00AC0C7B"/>
    <w:rsid w:val="00AC0D90"/>
    <w:rsid w:val="00AC0DC1"/>
    <w:rsid w:val="00AC0DF6"/>
    <w:rsid w:val="00AC0E04"/>
    <w:rsid w:val="00AC0E2D"/>
    <w:rsid w:val="00AC0E45"/>
    <w:rsid w:val="00AC0E67"/>
    <w:rsid w:val="00AC0EED"/>
    <w:rsid w:val="00AC0F3D"/>
    <w:rsid w:val="00AC0F3F"/>
    <w:rsid w:val="00AC0FA5"/>
    <w:rsid w:val="00AC102B"/>
    <w:rsid w:val="00AC10A8"/>
    <w:rsid w:val="00AC1238"/>
    <w:rsid w:val="00AC125B"/>
    <w:rsid w:val="00AC12C2"/>
    <w:rsid w:val="00AC1391"/>
    <w:rsid w:val="00AC13EB"/>
    <w:rsid w:val="00AC14E2"/>
    <w:rsid w:val="00AC16AA"/>
    <w:rsid w:val="00AC173D"/>
    <w:rsid w:val="00AC1753"/>
    <w:rsid w:val="00AC18C7"/>
    <w:rsid w:val="00AC18EB"/>
    <w:rsid w:val="00AC190A"/>
    <w:rsid w:val="00AC19CE"/>
    <w:rsid w:val="00AC19EB"/>
    <w:rsid w:val="00AC1A1E"/>
    <w:rsid w:val="00AC1A6A"/>
    <w:rsid w:val="00AC1B9D"/>
    <w:rsid w:val="00AC1BB1"/>
    <w:rsid w:val="00AC1C7A"/>
    <w:rsid w:val="00AC1CC4"/>
    <w:rsid w:val="00AC1CDA"/>
    <w:rsid w:val="00AC1CE3"/>
    <w:rsid w:val="00AC1D45"/>
    <w:rsid w:val="00AC1DAA"/>
    <w:rsid w:val="00AC1E17"/>
    <w:rsid w:val="00AC1E43"/>
    <w:rsid w:val="00AC1FF0"/>
    <w:rsid w:val="00AC202C"/>
    <w:rsid w:val="00AC207A"/>
    <w:rsid w:val="00AC2109"/>
    <w:rsid w:val="00AC227A"/>
    <w:rsid w:val="00AC2471"/>
    <w:rsid w:val="00AC249D"/>
    <w:rsid w:val="00AC2555"/>
    <w:rsid w:val="00AC256C"/>
    <w:rsid w:val="00AC25E3"/>
    <w:rsid w:val="00AC267F"/>
    <w:rsid w:val="00AC27F1"/>
    <w:rsid w:val="00AC2849"/>
    <w:rsid w:val="00AC2902"/>
    <w:rsid w:val="00AC2968"/>
    <w:rsid w:val="00AC2985"/>
    <w:rsid w:val="00AC29AA"/>
    <w:rsid w:val="00AC2A46"/>
    <w:rsid w:val="00AC2B14"/>
    <w:rsid w:val="00AC2C81"/>
    <w:rsid w:val="00AC2C8B"/>
    <w:rsid w:val="00AC2D54"/>
    <w:rsid w:val="00AC2D80"/>
    <w:rsid w:val="00AC2E47"/>
    <w:rsid w:val="00AC2E68"/>
    <w:rsid w:val="00AC2E83"/>
    <w:rsid w:val="00AC2F2A"/>
    <w:rsid w:val="00AC2F7F"/>
    <w:rsid w:val="00AC2FD2"/>
    <w:rsid w:val="00AC3068"/>
    <w:rsid w:val="00AC3165"/>
    <w:rsid w:val="00AC3184"/>
    <w:rsid w:val="00AC3196"/>
    <w:rsid w:val="00AC3351"/>
    <w:rsid w:val="00AC33AC"/>
    <w:rsid w:val="00AC3735"/>
    <w:rsid w:val="00AC375C"/>
    <w:rsid w:val="00AC376A"/>
    <w:rsid w:val="00AC3816"/>
    <w:rsid w:val="00AC3871"/>
    <w:rsid w:val="00AC3876"/>
    <w:rsid w:val="00AC38F0"/>
    <w:rsid w:val="00AC39A5"/>
    <w:rsid w:val="00AC39F1"/>
    <w:rsid w:val="00AC3A8B"/>
    <w:rsid w:val="00AC3A8F"/>
    <w:rsid w:val="00AC3AEA"/>
    <w:rsid w:val="00AC3BF1"/>
    <w:rsid w:val="00AC3CED"/>
    <w:rsid w:val="00AC3DA0"/>
    <w:rsid w:val="00AC3E08"/>
    <w:rsid w:val="00AC3EB4"/>
    <w:rsid w:val="00AC3F02"/>
    <w:rsid w:val="00AC3F5F"/>
    <w:rsid w:val="00AC3F9F"/>
    <w:rsid w:val="00AC3FD8"/>
    <w:rsid w:val="00AC4026"/>
    <w:rsid w:val="00AC4065"/>
    <w:rsid w:val="00AC415E"/>
    <w:rsid w:val="00AC41FD"/>
    <w:rsid w:val="00AC421A"/>
    <w:rsid w:val="00AC4262"/>
    <w:rsid w:val="00AC42C7"/>
    <w:rsid w:val="00AC4487"/>
    <w:rsid w:val="00AC4509"/>
    <w:rsid w:val="00AC453C"/>
    <w:rsid w:val="00AC45DC"/>
    <w:rsid w:val="00AC4807"/>
    <w:rsid w:val="00AC4836"/>
    <w:rsid w:val="00AC492B"/>
    <w:rsid w:val="00AC496E"/>
    <w:rsid w:val="00AC49A9"/>
    <w:rsid w:val="00AC4A22"/>
    <w:rsid w:val="00AC4C34"/>
    <w:rsid w:val="00AC4C83"/>
    <w:rsid w:val="00AC4D24"/>
    <w:rsid w:val="00AC4E4C"/>
    <w:rsid w:val="00AC4F2D"/>
    <w:rsid w:val="00AC4FE1"/>
    <w:rsid w:val="00AC5017"/>
    <w:rsid w:val="00AC5065"/>
    <w:rsid w:val="00AC506C"/>
    <w:rsid w:val="00AC50DD"/>
    <w:rsid w:val="00AC50F6"/>
    <w:rsid w:val="00AC51C2"/>
    <w:rsid w:val="00AC51F3"/>
    <w:rsid w:val="00AC5233"/>
    <w:rsid w:val="00AC5316"/>
    <w:rsid w:val="00AC5447"/>
    <w:rsid w:val="00AC564D"/>
    <w:rsid w:val="00AC5879"/>
    <w:rsid w:val="00AC58D2"/>
    <w:rsid w:val="00AC592D"/>
    <w:rsid w:val="00AC5A06"/>
    <w:rsid w:val="00AC5A17"/>
    <w:rsid w:val="00AC5AC2"/>
    <w:rsid w:val="00AC5ADA"/>
    <w:rsid w:val="00AC5AE2"/>
    <w:rsid w:val="00AC5B22"/>
    <w:rsid w:val="00AC5B82"/>
    <w:rsid w:val="00AC5C20"/>
    <w:rsid w:val="00AC5C48"/>
    <w:rsid w:val="00AC5C81"/>
    <w:rsid w:val="00AC5CB3"/>
    <w:rsid w:val="00AC5DCC"/>
    <w:rsid w:val="00AC5E5C"/>
    <w:rsid w:val="00AC5F55"/>
    <w:rsid w:val="00AC607D"/>
    <w:rsid w:val="00AC616E"/>
    <w:rsid w:val="00AC61AB"/>
    <w:rsid w:val="00AC620E"/>
    <w:rsid w:val="00AC6245"/>
    <w:rsid w:val="00AC626E"/>
    <w:rsid w:val="00AC62C4"/>
    <w:rsid w:val="00AC6351"/>
    <w:rsid w:val="00AC6403"/>
    <w:rsid w:val="00AC640F"/>
    <w:rsid w:val="00AC6456"/>
    <w:rsid w:val="00AC64FA"/>
    <w:rsid w:val="00AC65A6"/>
    <w:rsid w:val="00AC65F3"/>
    <w:rsid w:val="00AC667D"/>
    <w:rsid w:val="00AC6698"/>
    <w:rsid w:val="00AC669E"/>
    <w:rsid w:val="00AC6764"/>
    <w:rsid w:val="00AC6767"/>
    <w:rsid w:val="00AC6772"/>
    <w:rsid w:val="00AC6840"/>
    <w:rsid w:val="00AC68AC"/>
    <w:rsid w:val="00AC68C4"/>
    <w:rsid w:val="00AC68CA"/>
    <w:rsid w:val="00AC692D"/>
    <w:rsid w:val="00AC6958"/>
    <w:rsid w:val="00AC6990"/>
    <w:rsid w:val="00AC6A2A"/>
    <w:rsid w:val="00AC6A75"/>
    <w:rsid w:val="00AC6AF4"/>
    <w:rsid w:val="00AC6B14"/>
    <w:rsid w:val="00AC6B74"/>
    <w:rsid w:val="00AC6B8E"/>
    <w:rsid w:val="00AC6BAB"/>
    <w:rsid w:val="00AC6BD0"/>
    <w:rsid w:val="00AC6D5C"/>
    <w:rsid w:val="00AC6E3A"/>
    <w:rsid w:val="00AC6E63"/>
    <w:rsid w:val="00AC6E65"/>
    <w:rsid w:val="00AC6EB2"/>
    <w:rsid w:val="00AC6EFE"/>
    <w:rsid w:val="00AC6F24"/>
    <w:rsid w:val="00AC6F39"/>
    <w:rsid w:val="00AC703F"/>
    <w:rsid w:val="00AC7080"/>
    <w:rsid w:val="00AC7213"/>
    <w:rsid w:val="00AC738F"/>
    <w:rsid w:val="00AC73F9"/>
    <w:rsid w:val="00AC745A"/>
    <w:rsid w:val="00AC75D3"/>
    <w:rsid w:val="00AC75E0"/>
    <w:rsid w:val="00AC75EE"/>
    <w:rsid w:val="00AC762A"/>
    <w:rsid w:val="00AC768C"/>
    <w:rsid w:val="00AC7716"/>
    <w:rsid w:val="00AC7717"/>
    <w:rsid w:val="00AC772E"/>
    <w:rsid w:val="00AC7767"/>
    <w:rsid w:val="00AC777D"/>
    <w:rsid w:val="00AC7786"/>
    <w:rsid w:val="00AC77BA"/>
    <w:rsid w:val="00AC781E"/>
    <w:rsid w:val="00AC7861"/>
    <w:rsid w:val="00AC78E6"/>
    <w:rsid w:val="00AC78FD"/>
    <w:rsid w:val="00AC7944"/>
    <w:rsid w:val="00AC7AA1"/>
    <w:rsid w:val="00AC7B6F"/>
    <w:rsid w:val="00AC7C53"/>
    <w:rsid w:val="00AC7C8B"/>
    <w:rsid w:val="00AC7C8F"/>
    <w:rsid w:val="00AC7C96"/>
    <w:rsid w:val="00AC7CBA"/>
    <w:rsid w:val="00AC7CFF"/>
    <w:rsid w:val="00AC7DE5"/>
    <w:rsid w:val="00AC7DF1"/>
    <w:rsid w:val="00AC7E07"/>
    <w:rsid w:val="00AC7F69"/>
    <w:rsid w:val="00AD0040"/>
    <w:rsid w:val="00AD0076"/>
    <w:rsid w:val="00AD0121"/>
    <w:rsid w:val="00AD01B2"/>
    <w:rsid w:val="00AD01C5"/>
    <w:rsid w:val="00AD022D"/>
    <w:rsid w:val="00AD025A"/>
    <w:rsid w:val="00AD025F"/>
    <w:rsid w:val="00AD02DB"/>
    <w:rsid w:val="00AD02DE"/>
    <w:rsid w:val="00AD0326"/>
    <w:rsid w:val="00AD0340"/>
    <w:rsid w:val="00AD0342"/>
    <w:rsid w:val="00AD03B9"/>
    <w:rsid w:val="00AD047F"/>
    <w:rsid w:val="00AD049B"/>
    <w:rsid w:val="00AD051C"/>
    <w:rsid w:val="00AD054D"/>
    <w:rsid w:val="00AD059C"/>
    <w:rsid w:val="00AD05AF"/>
    <w:rsid w:val="00AD05B4"/>
    <w:rsid w:val="00AD0617"/>
    <w:rsid w:val="00AD069E"/>
    <w:rsid w:val="00AD069F"/>
    <w:rsid w:val="00AD0771"/>
    <w:rsid w:val="00AD0782"/>
    <w:rsid w:val="00AD07AD"/>
    <w:rsid w:val="00AD0850"/>
    <w:rsid w:val="00AD087F"/>
    <w:rsid w:val="00AD088A"/>
    <w:rsid w:val="00AD0940"/>
    <w:rsid w:val="00AD0A21"/>
    <w:rsid w:val="00AD0A41"/>
    <w:rsid w:val="00AD0A5E"/>
    <w:rsid w:val="00AD0A8E"/>
    <w:rsid w:val="00AD0AC2"/>
    <w:rsid w:val="00AD0AC3"/>
    <w:rsid w:val="00AD0B1A"/>
    <w:rsid w:val="00AD0BD9"/>
    <w:rsid w:val="00AD0C34"/>
    <w:rsid w:val="00AD0C3E"/>
    <w:rsid w:val="00AD0CA0"/>
    <w:rsid w:val="00AD0CEC"/>
    <w:rsid w:val="00AD0D12"/>
    <w:rsid w:val="00AD0D40"/>
    <w:rsid w:val="00AD0D4D"/>
    <w:rsid w:val="00AD0DC2"/>
    <w:rsid w:val="00AD0E1E"/>
    <w:rsid w:val="00AD0F34"/>
    <w:rsid w:val="00AD0F98"/>
    <w:rsid w:val="00AD1009"/>
    <w:rsid w:val="00AD1041"/>
    <w:rsid w:val="00AD10A7"/>
    <w:rsid w:val="00AD112F"/>
    <w:rsid w:val="00AD1242"/>
    <w:rsid w:val="00AD1276"/>
    <w:rsid w:val="00AD129A"/>
    <w:rsid w:val="00AD12AE"/>
    <w:rsid w:val="00AD12DB"/>
    <w:rsid w:val="00AD13A0"/>
    <w:rsid w:val="00AD13F4"/>
    <w:rsid w:val="00AD1490"/>
    <w:rsid w:val="00AD14E4"/>
    <w:rsid w:val="00AD1582"/>
    <w:rsid w:val="00AD15A9"/>
    <w:rsid w:val="00AD1619"/>
    <w:rsid w:val="00AD1650"/>
    <w:rsid w:val="00AD167A"/>
    <w:rsid w:val="00AD1689"/>
    <w:rsid w:val="00AD1700"/>
    <w:rsid w:val="00AD1709"/>
    <w:rsid w:val="00AD171E"/>
    <w:rsid w:val="00AD178B"/>
    <w:rsid w:val="00AD1804"/>
    <w:rsid w:val="00AD18A3"/>
    <w:rsid w:val="00AD1905"/>
    <w:rsid w:val="00AD192A"/>
    <w:rsid w:val="00AD1986"/>
    <w:rsid w:val="00AD19A1"/>
    <w:rsid w:val="00AD19B6"/>
    <w:rsid w:val="00AD19D4"/>
    <w:rsid w:val="00AD19E2"/>
    <w:rsid w:val="00AD1B4D"/>
    <w:rsid w:val="00AD1B79"/>
    <w:rsid w:val="00AD1B8A"/>
    <w:rsid w:val="00AD1C15"/>
    <w:rsid w:val="00AD1C37"/>
    <w:rsid w:val="00AD1C5A"/>
    <w:rsid w:val="00AD1DE2"/>
    <w:rsid w:val="00AD1E1F"/>
    <w:rsid w:val="00AD1F33"/>
    <w:rsid w:val="00AD1F5A"/>
    <w:rsid w:val="00AD1FB1"/>
    <w:rsid w:val="00AD1FE3"/>
    <w:rsid w:val="00AD206F"/>
    <w:rsid w:val="00AD20F2"/>
    <w:rsid w:val="00AD214B"/>
    <w:rsid w:val="00AD2175"/>
    <w:rsid w:val="00AD21CA"/>
    <w:rsid w:val="00AD2210"/>
    <w:rsid w:val="00AD230C"/>
    <w:rsid w:val="00AD24FA"/>
    <w:rsid w:val="00AD253A"/>
    <w:rsid w:val="00AD2619"/>
    <w:rsid w:val="00AD2668"/>
    <w:rsid w:val="00AD2684"/>
    <w:rsid w:val="00AD2761"/>
    <w:rsid w:val="00AD27DC"/>
    <w:rsid w:val="00AD2831"/>
    <w:rsid w:val="00AD2898"/>
    <w:rsid w:val="00AD29DB"/>
    <w:rsid w:val="00AD2B37"/>
    <w:rsid w:val="00AD2BB0"/>
    <w:rsid w:val="00AD2C02"/>
    <w:rsid w:val="00AD2D38"/>
    <w:rsid w:val="00AD2E86"/>
    <w:rsid w:val="00AD2EA1"/>
    <w:rsid w:val="00AD2EB2"/>
    <w:rsid w:val="00AD2F1A"/>
    <w:rsid w:val="00AD2F64"/>
    <w:rsid w:val="00AD2FEB"/>
    <w:rsid w:val="00AD307F"/>
    <w:rsid w:val="00AD30FA"/>
    <w:rsid w:val="00AD3140"/>
    <w:rsid w:val="00AD3169"/>
    <w:rsid w:val="00AD3249"/>
    <w:rsid w:val="00AD32EB"/>
    <w:rsid w:val="00AD3339"/>
    <w:rsid w:val="00AD335A"/>
    <w:rsid w:val="00AD338E"/>
    <w:rsid w:val="00AD3391"/>
    <w:rsid w:val="00AD33D5"/>
    <w:rsid w:val="00AD33F8"/>
    <w:rsid w:val="00AD34F9"/>
    <w:rsid w:val="00AD3510"/>
    <w:rsid w:val="00AD354B"/>
    <w:rsid w:val="00AD3589"/>
    <w:rsid w:val="00AD35CE"/>
    <w:rsid w:val="00AD3612"/>
    <w:rsid w:val="00AD3616"/>
    <w:rsid w:val="00AD3629"/>
    <w:rsid w:val="00AD3699"/>
    <w:rsid w:val="00AD36F5"/>
    <w:rsid w:val="00AD3736"/>
    <w:rsid w:val="00AD375F"/>
    <w:rsid w:val="00AD380F"/>
    <w:rsid w:val="00AD384F"/>
    <w:rsid w:val="00AD38E3"/>
    <w:rsid w:val="00AD3A16"/>
    <w:rsid w:val="00AD3A60"/>
    <w:rsid w:val="00AD3ADD"/>
    <w:rsid w:val="00AD3AEF"/>
    <w:rsid w:val="00AD3B7D"/>
    <w:rsid w:val="00AD3D43"/>
    <w:rsid w:val="00AD3D4A"/>
    <w:rsid w:val="00AD3D63"/>
    <w:rsid w:val="00AD3E9E"/>
    <w:rsid w:val="00AD3F0C"/>
    <w:rsid w:val="00AD4000"/>
    <w:rsid w:val="00AD404C"/>
    <w:rsid w:val="00AD412A"/>
    <w:rsid w:val="00AD4145"/>
    <w:rsid w:val="00AD4147"/>
    <w:rsid w:val="00AD41E3"/>
    <w:rsid w:val="00AD428C"/>
    <w:rsid w:val="00AD42A7"/>
    <w:rsid w:val="00AD42D9"/>
    <w:rsid w:val="00AD431E"/>
    <w:rsid w:val="00AD4381"/>
    <w:rsid w:val="00AD43BE"/>
    <w:rsid w:val="00AD4570"/>
    <w:rsid w:val="00AD462A"/>
    <w:rsid w:val="00AD4794"/>
    <w:rsid w:val="00AD49AE"/>
    <w:rsid w:val="00AD4A2E"/>
    <w:rsid w:val="00AD4A98"/>
    <w:rsid w:val="00AD4AD6"/>
    <w:rsid w:val="00AD4B24"/>
    <w:rsid w:val="00AD4BC8"/>
    <w:rsid w:val="00AD4C06"/>
    <w:rsid w:val="00AD4C1C"/>
    <w:rsid w:val="00AD4C28"/>
    <w:rsid w:val="00AD4C51"/>
    <w:rsid w:val="00AD4D5B"/>
    <w:rsid w:val="00AD4D67"/>
    <w:rsid w:val="00AD4DA2"/>
    <w:rsid w:val="00AD4DAA"/>
    <w:rsid w:val="00AD4E2F"/>
    <w:rsid w:val="00AD4E99"/>
    <w:rsid w:val="00AD4F28"/>
    <w:rsid w:val="00AD4F6A"/>
    <w:rsid w:val="00AD4F7E"/>
    <w:rsid w:val="00AD4F81"/>
    <w:rsid w:val="00AD4F9E"/>
    <w:rsid w:val="00AD5154"/>
    <w:rsid w:val="00AD5166"/>
    <w:rsid w:val="00AD51B9"/>
    <w:rsid w:val="00AD5221"/>
    <w:rsid w:val="00AD525E"/>
    <w:rsid w:val="00AD5283"/>
    <w:rsid w:val="00AD528E"/>
    <w:rsid w:val="00AD5408"/>
    <w:rsid w:val="00AD540F"/>
    <w:rsid w:val="00AD545D"/>
    <w:rsid w:val="00AD54F9"/>
    <w:rsid w:val="00AD5569"/>
    <w:rsid w:val="00AD55D0"/>
    <w:rsid w:val="00AD55E2"/>
    <w:rsid w:val="00AD5606"/>
    <w:rsid w:val="00AD5678"/>
    <w:rsid w:val="00AD56F4"/>
    <w:rsid w:val="00AD5776"/>
    <w:rsid w:val="00AD5798"/>
    <w:rsid w:val="00AD588E"/>
    <w:rsid w:val="00AD58B2"/>
    <w:rsid w:val="00AD594F"/>
    <w:rsid w:val="00AD5A29"/>
    <w:rsid w:val="00AD5B01"/>
    <w:rsid w:val="00AD5B63"/>
    <w:rsid w:val="00AD5BCD"/>
    <w:rsid w:val="00AD5C09"/>
    <w:rsid w:val="00AD5C11"/>
    <w:rsid w:val="00AD5C4D"/>
    <w:rsid w:val="00AD5C85"/>
    <w:rsid w:val="00AD5CBC"/>
    <w:rsid w:val="00AD5CDE"/>
    <w:rsid w:val="00AD5D07"/>
    <w:rsid w:val="00AD5D24"/>
    <w:rsid w:val="00AD5D9A"/>
    <w:rsid w:val="00AD5DBB"/>
    <w:rsid w:val="00AD5E2D"/>
    <w:rsid w:val="00AD5ED6"/>
    <w:rsid w:val="00AD5F9E"/>
    <w:rsid w:val="00AD6005"/>
    <w:rsid w:val="00AD600C"/>
    <w:rsid w:val="00AD6151"/>
    <w:rsid w:val="00AD6166"/>
    <w:rsid w:val="00AD62CF"/>
    <w:rsid w:val="00AD633F"/>
    <w:rsid w:val="00AD6387"/>
    <w:rsid w:val="00AD63CC"/>
    <w:rsid w:val="00AD6405"/>
    <w:rsid w:val="00AD6471"/>
    <w:rsid w:val="00AD648C"/>
    <w:rsid w:val="00AD64FC"/>
    <w:rsid w:val="00AD654B"/>
    <w:rsid w:val="00AD6673"/>
    <w:rsid w:val="00AD667E"/>
    <w:rsid w:val="00AD6685"/>
    <w:rsid w:val="00AD67DA"/>
    <w:rsid w:val="00AD6813"/>
    <w:rsid w:val="00AD686E"/>
    <w:rsid w:val="00AD6980"/>
    <w:rsid w:val="00AD6AC9"/>
    <w:rsid w:val="00AD6B09"/>
    <w:rsid w:val="00AD6B4F"/>
    <w:rsid w:val="00AD6C07"/>
    <w:rsid w:val="00AD6C16"/>
    <w:rsid w:val="00AD6C53"/>
    <w:rsid w:val="00AD6C6C"/>
    <w:rsid w:val="00AD6D57"/>
    <w:rsid w:val="00AD6D5F"/>
    <w:rsid w:val="00AD6D94"/>
    <w:rsid w:val="00AD6E17"/>
    <w:rsid w:val="00AD6F3D"/>
    <w:rsid w:val="00AD7109"/>
    <w:rsid w:val="00AD716D"/>
    <w:rsid w:val="00AD7186"/>
    <w:rsid w:val="00AD71BC"/>
    <w:rsid w:val="00AD727A"/>
    <w:rsid w:val="00AD7290"/>
    <w:rsid w:val="00AD738B"/>
    <w:rsid w:val="00AD7408"/>
    <w:rsid w:val="00AD7450"/>
    <w:rsid w:val="00AD7575"/>
    <w:rsid w:val="00AD7596"/>
    <w:rsid w:val="00AD7689"/>
    <w:rsid w:val="00AD774A"/>
    <w:rsid w:val="00AD77E7"/>
    <w:rsid w:val="00AD7875"/>
    <w:rsid w:val="00AD788D"/>
    <w:rsid w:val="00AD7A04"/>
    <w:rsid w:val="00AD7ADF"/>
    <w:rsid w:val="00AD7B0D"/>
    <w:rsid w:val="00AD7C4E"/>
    <w:rsid w:val="00AD7CF2"/>
    <w:rsid w:val="00AD7D99"/>
    <w:rsid w:val="00AD7D9A"/>
    <w:rsid w:val="00AD7DAD"/>
    <w:rsid w:val="00AD7DC5"/>
    <w:rsid w:val="00AD7DD7"/>
    <w:rsid w:val="00AD7DDB"/>
    <w:rsid w:val="00AD7DFE"/>
    <w:rsid w:val="00AD7E35"/>
    <w:rsid w:val="00AD7F2B"/>
    <w:rsid w:val="00AD7F42"/>
    <w:rsid w:val="00AD7F46"/>
    <w:rsid w:val="00AD7F53"/>
    <w:rsid w:val="00AD7F75"/>
    <w:rsid w:val="00AE0237"/>
    <w:rsid w:val="00AE0266"/>
    <w:rsid w:val="00AE0392"/>
    <w:rsid w:val="00AE0485"/>
    <w:rsid w:val="00AE051F"/>
    <w:rsid w:val="00AE0541"/>
    <w:rsid w:val="00AE0559"/>
    <w:rsid w:val="00AE06AA"/>
    <w:rsid w:val="00AE06C3"/>
    <w:rsid w:val="00AE07B2"/>
    <w:rsid w:val="00AE0847"/>
    <w:rsid w:val="00AE0876"/>
    <w:rsid w:val="00AE0940"/>
    <w:rsid w:val="00AE096B"/>
    <w:rsid w:val="00AE0997"/>
    <w:rsid w:val="00AE09A7"/>
    <w:rsid w:val="00AE0A10"/>
    <w:rsid w:val="00AE0AD8"/>
    <w:rsid w:val="00AE0B19"/>
    <w:rsid w:val="00AE0BFF"/>
    <w:rsid w:val="00AE0D1F"/>
    <w:rsid w:val="00AE0D9A"/>
    <w:rsid w:val="00AE0E6C"/>
    <w:rsid w:val="00AE0FD4"/>
    <w:rsid w:val="00AE1260"/>
    <w:rsid w:val="00AE12F2"/>
    <w:rsid w:val="00AE12F5"/>
    <w:rsid w:val="00AE1351"/>
    <w:rsid w:val="00AE1461"/>
    <w:rsid w:val="00AE14F7"/>
    <w:rsid w:val="00AE15C4"/>
    <w:rsid w:val="00AE166F"/>
    <w:rsid w:val="00AE1732"/>
    <w:rsid w:val="00AE17DB"/>
    <w:rsid w:val="00AE17DF"/>
    <w:rsid w:val="00AE1908"/>
    <w:rsid w:val="00AE191F"/>
    <w:rsid w:val="00AE1981"/>
    <w:rsid w:val="00AE1A96"/>
    <w:rsid w:val="00AE1ABB"/>
    <w:rsid w:val="00AE1BC6"/>
    <w:rsid w:val="00AE1BDC"/>
    <w:rsid w:val="00AE1D61"/>
    <w:rsid w:val="00AE1D82"/>
    <w:rsid w:val="00AE1DBF"/>
    <w:rsid w:val="00AE1DD9"/>
    <w:rsid w:val="00AE1E1D"/>
    <w:rsid w:val="00AE1E79"/>
    <w:rsid w:val="00AE1ED1"/>
    <w:rsid w:val="00AE20A2"/>
    <w:rsid w:val="00AE2158"/>
    <w:rsid w:val="00AE2190"/>
    <w:rsid w:val="00AE22A6"/>
    <w:rsid w:val="00AE2363"/>
    <w:rsid w:val="00AE2386"/>
    <w:rsid w:val="00AE24CF"/>
    <w:rsid w:val="00AE2518"/>
    <w:rsid w:val="00AE273D"/>
    <w:rsid w:val="00AE27CC"/>
    <w:rsid w:val="00AE27CF"/>
    <w:rsid w:val="00AE2955"/>
    <w:rsid w:val="00AE29F7"/>
    <w:rsid w:val="00AE2A7D"/>
    <w:rsid w:val="00AE2A8E"/>
    <w:rsid w:val="00AE2AD1"/>
    <w:rsid w:val="00AE2C14"/>
    <w:rsid w:val="00AE2C39"/>
    <w:rsid w:val="00AE2C3C"/>
    <w:rsid w:val="00AE2C81"/>
    <w:rsid w:val="00AE2CBC"/>
    <w:rsid w:val="00AE2D40"/>
    <w:rsid w:val="00AE2EF6"/>
    <w:rsid w:val="00AE2F3D"/>
    <w:rsid w:val="00AE2F90"/>
    <w:rsid w:val="00AE2FA7"/>
    <w:rsid w:val="00AE2FA9"/>
    <w:rsid w:val="00AE3008"/>
    <w:rsid w:val="00AE3025"/>
    <w:rsid w:val="00AE3043"/>
    <w:rsid w:val="00AE3089"/>
    <w:rsid w:val="00AE3270"/>
    <w:rsid w:val="00AE327E"/>
    <w:rsid w:val="00AE33B6"/>
    <w:rsid w:val="00AE34A7"/>
    <w:rsid w:val="00AE352A"/>
    <w:rsid w:val="00AE3535"/>
    <w:rsid w:val="00AE35AD"/>
    <w:rsid w:val="00AE3613"/>
    <w:rsid w:val="00AE36F9"/>
    <w:rsid w:val="00AE3705"/>
    <w:rsid w:val="00AE3720"/>
    <w:rsid w:val="00AE376F"/>
    <w:rsid w:val="00AE3945"/>
    <w:rsid w:val="00AE39EB"/>
    <w:rsid w:val="00AE39F0"/>
    <w:rsid w:val="00AE3B1B"/>
    <w:rsid w:val="00AE3C65"/>
    <w:rsid w:val="00AE3D15"/>
    <w:rsid w:val="00AE3DBD"/>
    <w:rsid w:val="00AE3DED"/>
    <w:rsid w:val="00AE3E13"/>
    <w:rsid w:val="00AE3F3F"/>
    <w:rsid w:val="00AE3F74"/>
    <w:rsid w:val="00AE3FDB"/>
    <w:rsid w:val="00AE40BC"/>
    <w:rsid w:val="00AE410C"/>
    <w:rsid w:val="00AE4249"/>
    <w:rsid w:val="00AE42B3"/>
    <w:rsid w:val="00AE42CF"/>
    <w:rsid w:val="00AE4418"/>
    <w:rsid w:val="00AE4462"/>
    <w:rsid w:val="00AE448D"/>
    <w:rsid w:val="00AE44C7"/>
    <w:rsid w:val="00AE4540"/>
    <w:rsid w:val="00AE4735"/>
    <w:rsid w:val="00AE473E"/>
    <w:rsid w:val="00AE4804"/>
    <w:rsid w:val="00AE48DF"/>
    <w:rsid w:val="00AE48E8"/>
    <w:rsid w:val="00AE491E"/>
    <w:rsid w:val="00AE497B"/>
    <w:rsid w:val="00AE49A8"/>
    <w:rsid w:val="00AE49FA"/>
    <w:rsid w:val="00AE4A3B"/>
    <w:rsid w:val="00AE4A5C"/>
    <w:rsid w:val="00AE4A9F"/>
    <w:rsid w:val="00AE4B1B"/>
    <w:rsid w:val="00AE4BE0"/>
    <w:rsid w:val="00AE4C41"/>
    <w:rsid w:val="00AE4C43"/>
    <w:rsid w:val="00AE4C6A"/>
    <w:rsid w:val="00AE4D71"/>
    <w:rsid w:val="00AE4D8E"/>
    <w:rsid w:val="00AE4DE7"/>
    <w:rsid w:val="00AE4DEF"/>
    <w:rsid w:val="00AE4F7B"/>
    <w:rsid w:val="00AE4FC5"/>
    <w:rsid w:val="00AE4FDC"/>
    <w:rsid w:val="00AE5107"/>
    <w:rsid w:val="00AE51BC"/>
    <w:rsid w:val="00AE52CA"/>
    <w:rsid w:val="00AE52FF"/>
    <w:rsid w:val="00AE53EC"/>
    <w:rsid w:val="00AE540A"/>
    <w:rsid w:val="00AE572D"/>
    <w:rsid w:val="00AE578A"/>
    <w:rsid w:val="00AE5833"/>
    <w:rsid w:val="00AE595F"/>
    <w:rsid w:val="00AE59AF"/>
    <w:rsid w:val="00AE59B3"/>
    <w:rsid w:val="00AE59E3"/>
    <w:rsid w:val="00AE5AB8"/>
    <w:rsid w:val="00AE5ADD"/>
    <w:rsid w:val="00AE5AF4"/>
    <w:rsid w:val="00AE5D41"/>
    <w:rsid w:val="00AE5D5F"/>
    <w:rsid w:val="00AE5DD4"/>
    <w:rsid w:val="00AE5E46"/>
    <w:rsid w:val="00AE5E4B"/>
    <w:rsid w:val="00AE5E5C"/>
    <w:rsid w:val="00AE5E5F"/>
    <w:rsid w:val="00AE5E74"/>
    <w:rsid w:val="00AE5ED5"/>
    <w:rsid w:val="00AE5F5C"/>
    <w:rsid w:val="00AE5F71"/>
    <w:rsid w:val="00AE5F7B"/>
    <w:rsid w:val="00AE60B7"/>
    <w:rsid w:val="00AE613F"/>
    <w:rsid w:val="00AE617E"/>
    <w:rsid w:val="00AE61FF"/>
    <w:rsid w:val="00AE623E"/>
    <w:rsid w:val="00AE62CA"/>
    <w:rsid w:val="00AE6354"/>
    <w:rsid w:val="00AE6389"/>
    <w:rsid w:val="00AE6393"/>
    <w:rsid w:val="00AE63C2"/>
    <w:rsid w:val="00AE6407"/>
    <w:rsid w:val="00AE6488"/>
    <w:rsid w:val="00AE65F5"/>
    <w:rsid w:val="00AE6712"/>
    <w:rsid w:val="00AE673E"/>
    <w:rsid w:val="00AE6753"/>
    <w:rsid w:val="00AE6799"/>
    <w:rsid w:val="00AE67C5"/>
    <w:rsid w:val="00AE687D"/>
    <w:rsid w:val="00AE6897"/>
    <w:rsid w:val="00AE68DB"/>
    <w:rsid w:val="00AE6920"/>
    <w:rsid w:val="00AE692E"/>
    <w:rsid w:val="00AE69B4"/>
    <w:rsid w:val="00AE6A85"/>
    <w:rsid w:val="00AE6A8E"/>
    <w:rsid w:val="00AE6AFE"/>
    <w:rsid w:val="00AE6B46"/>
    <w:rsid w:val="00AE6BD7"/>
    <w:rsid w:val="00AE6C3B"/>
    <w:rsid w:val="00AE6CD3"/>
    <w:rsid w:val="00AE6D01"/>
    <w:rsid w:val="00AE6D14"/>
    <w:rsid w:val="00AE6D1F"/>
    <w:rsid w:val="00AE6D81"/>
    <w:rsid w:val="00AE6E3C"/>
    <w:rsid w:val="00AE6E48"/>
    <w:rsid w:val="00AE70AC"/>
    <w:rsid w:val="00AE7199"/>
    <w:rsid w:val="00AE71D2"/>
    <w:rsid w:val="00AE720D"/>
    <w:rsid w:val="00AE7385"/>
    <w:rsid w:val="00AE73AA"/>
    <w:rsid w:val="00AE745F"/>
    <w:rsid w:val="00AE749D"/>
    <w:rsid w:val="00AE749F"/>
    <w:rsid w:val="00AE74AA"/>
    <w:rsid w:val="00AE74DD"/>
    <w:rsid w:val="00AE752C"/>
    <w:rsid w:val="00AE753B"/>
    <w:rsid w:val="00AE7669"/>
    <w:rsid w:val="00AE7673"/>
    <w:rsid w:val="00AE76C6"/>
    <w:rsid w:val="00AE7719"/>
    <w:rsid w:val="00AE779A"/>
    <w:rsid w:val="00AE77B6"/>
    <w:rsid w:val="00AE77CD"/>
    <w:rsid w:val="00AE789E"/>
    <w:rsid w:val="00AE78ED"/>
    <w:rsid w:val="00AE7908"/>
    <w:rsid w:val="00AE7976"/>
    <w:rsid w:val="00AE7986"/>
    <w:rsid w:val="00AE799E"/>
    <w:rsid w:val="00AE79A5"/>
    <w:rsid w:val="00AE7A0A"/>
    <w:rsid w:val="00AE7A20"/>
    <w:rsid w:val="00AE7B27"/>
    <w:rsid w:val="00AE7B59"/>
    <w:rsid w:val="00AE7B5F"/>
    <w:rsid w:val="00AE7B6E"/>
    <w:rsid w:val="00AE7C35"/>
    <w:rsid w:val="00AE7CCC"/>
    <w:rsid w:val="00AE7D50"/>
    <w:rsid w:val="00AE7D5D"/>
    <w:rsid w:val="00AE7E30"/>
    <w:rsid w:val="00AE7E32"/>
    <w:rsid w:val="00AE7E9C"/>
    <w:rsid w:val="00AE7EB3"/>
    <w:rsid w:val="00AE7FC6"/>
    <w:rsid w:val="00AF00CB"/>
    <w:rsid w:val="00AF00DD"/>
    <w:rsid w:val="00AF0163"/>
    <w:rsid w:val="00AF01A3"/>
    <w:rsid w:val="00AF01AE"/>
    <w:rsid w:val="00AF01C1"/>
    <w:rsid w:val="00AF01EF"/>
    <w:rsid w:val="00AF03C2"/>
    <w:rsid w:val="00AF03D7"/>
    <w:rsid w:val="00AF04BB"/>
    <w:rsid w:val="00AF05A1"/>
    <w:rsid w:val="00AF05A7"/>
    <w:rsid w:val="00AF068E"/>
    <w:rsid w:val="00AF06A7"/>
    <w:rsid w:val="00AF06BF"/>
    <w:rsid w:val="00AF0731"/>
    <w:rsid w:val="00AF0781"/>
    <w:rsid w:val="00AF07AF"/>
    <w:rsid w:val="00AF08D1"/>
    <w:rsid w:val="00AF0929"/>
    <w:rsid w:val="00AF0A22"/>
    <w:rsid w:val="00AF0A39"/>
    <w:rsid w:val="00AF0A89"/>
    <w:rsid w:val="00AF0AC8"/>
    <w:rsid w:val="00AF0AF7"/>
    <w:rsid w:val="00AF0BD5"/>
    <w:rsid w:val="00AF0D24"/>
    <w:rsid w:val="00AF0E53"/>
    <w:rsid w:val="00AF0E93"/>
    <w:rsid w:val="00AF0EAD"/>
    <w:rsid w:val="00AF0EE5"/>
    <w:rsid w:val="00AF0EF7"/>
    <w:rsid w:val="00AF0F96"/>
    <w:rsid w:val="00AF0FB0"/>
    <w:rsid w:val="00AF109C"/>
    <w:rsid w:val="00AF10A9"/>
    <w:rsid w:val="00AF1213"/>
    <w:rsid w:val="00AF1284"/>
    <w:rsid w:val="00AF128A"/>
    <w:rsid w:val="00AF132D"/>
    <w:rsid w:val="00AF1352"/>
    <w:rsid w:val="00AF1394"/>
    <w:rsid w:val="00AF13E7"/>
    <w:rsid w:val="00AF142B"/>
    <w:rsid w:val="00AF14AD"/>
    <w:rsid w:val="00AF15B4"/>
    <w:rsid w:val="00AF15B5"/>
    <w:rsid w:val="00AF1651"/>
    <w:rsid w:val="00AF16AF"/>
    <w:rsid w:val="00AF16EE"/>
    <w:rsid w:val="00AF1847"/>
    <w:rsid w:val="00AF18F6"/>
    <w:rsid w:val="00AF1910"/>
    <w:rsid w:val="00AF19FD"/>
    <w:rsid w:val="00AF1D13"/>
    <w:rsid w:val="00AF1D65"/>
    <w:rsid w:val="00AF1E3C"/>
    <w:rsid w:val="00AF1E80"/>
    <w:rsid w:val="00AF1EFB"/>
    <w:rsid w:val="00AF1F9A"/>
    <w:rsid w:val="00AF2000"/>
    <w:rsid w:val="00AF2002"/>
    <w:rsid w:val="00AF200E"/>
    <w:rsid w:val="00AF2031"/>
    <w:rsid w:val="00AF20C5"/>
    <w:rsid w:val="00AF2125"/>
    <w:rsid w:val="00AF2150"/>
    <w:rsid w:val="00AF21AA"/>
    <w:rsid w:val="00AF21DF"/>
    <w:rsid w:val="00AF2229"/>
    <w:rsid w:val="00AF2255"/>
    <w:rsid w:val="00AF2265"/>
    <w:rsid w:val="00AF22E7"/>
    <w:rsid w:val="00AF250F"/>
    <w:rsid w:val="00AF252F"/>
    <w:rsid w:val="00AF25A7"/>
    <w:rsid w:val="00AF25C3"/>
    <w:rsid w:val="00AF2643"/>
    <w:rsid w:val="00AF2672"/>
    <w:rsid w:val="00AF26A9"/>
    <w:rsid w:val="00AF26B3"/>
    <w:rsid w:val="00AF26DF"/>
    <w:rsid w:val="00AF2745"/>
    <w:rsid w:val="00AF284F"/>
    <w:rsid w:val="00AF28F6"/>
    <w:rsid w:val="00AF292A"/>
    <w:rsid w:val="00AF29E6"/>
    <w:rsid w:val="00AF2B64"/>
    <w:rsid w:val="00AF2BE4"/>
    <w:rsid w:val="00AF2C27"/>
    <w:rsid w:val="00AF2C9A"/>
    <w:rsid w:val="00AF2CBA"/>
    <w:rsid w:val="00AF2CBE"/>
    <w:rsid w:val="00AF2D64"/>
    <w:rsid w:val="00AF2D72"/>
    <w:rsid w:val="00AF2DD3"/>
    <w:rsid w:val="00AF2DE6"/>
    <w:rsid w:val="00AF2F1B"/>
    <w:rsid w:val="00AF2F3C"/>
    <w:rsid w:val="00AF2FDD"/>
    <w:rsid w:val="00AF3006"/>
    <w:rsid w:val="00AF302A"/>
    <w:rsid w:val="00AF304B"/>
    <w:rsid w:val="00AF309D"/>
    <w:rsid w:val="00AF30F4"/>
    <w:rsid w:val="00AF31FC"/>
    <w:rsid w:val="00AF3261"/>
    <w:rsid w:val="00AF326B"/>
    <w:rsid w:val="00AF32B7"/>
    <w:rsid w:val="00AF32DA"/>
    <w:rsid w:val="00AF33D7"/>
    <w:rsid w:val="00AF3413"/>
    <w:rsid w:val="00AF3443"/>
    <w:rsid w:val="00AF34E2"/>
    <w:rsid w:val="00AF361A"/>
    <w:rsid w:val="00AF367B"/>
    <w:rsid w:val="00AF36E2"/>
    <w:rsid w:val="00AF371F"/>
    <w:rsid w:val="00AF3790"/>
    <w:rsid w:val="00AF37C1"/>
    <w:rsid w:val="00AF380F"/>
    <w:rsid w:val="00AF3842"/>
    <w:rsid w:val="00AF3855"/>
    <w:rsid w:val="00AF39BC"/>
    <w:rsid w:val="00AF39C1"/>
    <w:rsid w:val="00AF39DE"/>
    <w:rsid w:val="00AF3A26"/>
    <w:rsid w:val="00AF3A3F"/>
    <w:rsid w:val="00AF3B33"/>
    <w:rsid w:val="00AF3BC4"/>
    <w:rsid w:val="00AF3EAA"/>
    <w:rsid w:val="00AF3EDD"/>
    <w:rsid w:val="00AF3F6A"/>
    <w:rsid w:val="00AF3F78"/>
    <w:rsid w:val="00AF4012"/>
    <w:rsid w:val="00AF41DB"/>
    <w:rsid w:val="00AF4288"/>
    <w:rsid w:val="00AF43A6"/>
    <w:rsid w:val="00AF4504"/>
    <w:rsid w:val="00AF4517"/>
    <w:rsid w:val="00AF453C"/>
    <w:rsid w:val="00AF4559"/>
    <w:rsid w:val="00AF45BB"/>
    <w:rsid w:val="00AF4610"/>
    <w:rsid w:val="00AF464D"/>
    <w:rsid w:val="00AF4653"/>
    <w:rsid w:val="00AF46B1"/>
    <w:rsid w:val="00AF46B4"/>
    <w:rsid w:val="00AF46EE"/>
    <w:rsid w:val="00AF478D"/>
    <w:rsid w:val="00AF478F"/>
    <w:rsid w:val="00AF47D4"/>
    <w:rsid w:val="00AF481F"/>
    <w:rsid w:val="00AF49AF"/>
    <w:rsid w:val="00AF49D3"/>
    <w:rsid w:val="00AF49DF"/>
    <w:rsid w:val="00AF49EF"/>
    <w:rsid w:val="00AF4A26"/>
    <w:rsid w:val="00AF4AA1"/>
    <w:rsid w:val="00AF4B31"/>
    <w:rsid w:val="00AF4B60"/>
    <w:rsid w:val="00AF4C3F"/>
    <w:rsid w:val="00AF4CE2"/>
    <w:rsid w:val="00AF4CFF"/>
    <w:rsid w:val="00AF4D66"/>
    <w:rsid w:val="00AF4D72"/>
    <w:rsid w:val="00AF4FA3"/>
    <w:rsid w:val="00AF4FE3"/>
    <w:rsid w:val="00AF5024"/>
    <w:rsid w:val="00AF506C"/>
    <w:rsid w:val="00AF50CB"/>
    <w:rsid w:val="00AF5132"/>
    <w:rsid w:val="00AF5211"/>
    <w:rsid w:val="00AF5350"/>
    <w:rsid w:val="00AF539C"/>
    <w:rsid w:val="00AF5408"/>
    <w:rsid w:val="00AF5431"/>
    <w:rsid w:val="00AF54BB"/>
    <w:rsid w:val="00AF554D"/>
    <w:rsid w:val="00AF555B"/>
    <w:rsid w:val="00AF557A"/>
    <w:rsid w:val="00AF55B3"/>
    <w:rsid w:val="00AF565A"/>
    <w:rsid w:val="00AF5770"/>
    <w:rsid w:val="00AF5880"/>
    <w:rsid w:val="00AF58BF"/>
    <w:rsid w:val="00AF5984"/>
    <w:rsid w:val="00AF59E9"/>
    <w:rsid w:val="00AF5A45"/>
    <w:rsid w:val="00AF5B07"/>
    <w:rsid w:val="00AF5B3F"/>
    <w:rsid w:val="00AF5B5E"/>
    <w:rsid w:val="00AF5B67"/>
    <w:rsid w:val="00AF5B83"/>
    <w:rsid w:val="00AF5C86"/>
    <w:rsid w:val="00AF5CB2"/>
    <w:rsid w:val="00AF5CF4"/>
    <w:rsid w:val="00AF5DFD"/>
    <w:rsid w:val="00AF5E17"/>
    <w:rsid w:val="00AF5E2E"/>
    <w:rsid w:val="00AF5F2E"/>
    <w:rsid w:val="00AF6032"/>
    <w:rsid w:val="00AF6060"/>
    <w:rsid w:val="00AF61C2"/>
    <w:rsid w:val="00AF6203"/>
    <w:rsid w:val="00AF621B"/>
    <w:rsid w:val="00AF626B"/>
    <w:rsid w:val="00AF6298"/>
    <w:rsid w:val="00AF629F"/>
    <w:rsid w:val="00AF62CF"/>
    <w:rsid w:val="00AF637F"/>
    <w:rsid w:val="00AF642D"/>
    <w:rsid w:val="00AF64EB"/>
    <w:rsid w:val="00AF6609"/>
    <w:rsid w:val="00AF6639"/>
    <w:rsid w:val="00AF676F"/>
    <w:rsid w:val="00AF678F"/>
    <w:rsid w:val="00AF67DD"/>
    <w:rsid w:val="00AF6840"/>
    <w:rsid w:val="00AF6889"/>
    <w:rsid w:val="00AF68AF"/>
    <w:rsid w:val="00AF6908"/>
    <w:rsid w:val="00AF6931"/>
    <w:rsid w:val="00AF698D"/>
    <w:rsid w:val="00AF69CE"/>
    <w:rsid w:val="00AF6A70"/>
    <w:rsid w:val="00AF6A9B"/>
    <w:rsid w:val="00AF6B0F"/>
    <w:rsid w:val="00AF6B63"/>
    <w:rsid w:val="00AF6B9E"/>
    <w:rsid w:val="00AF6C2A"/>
    <w:rsid w:val="00AF6C51"/>
    <w:rsid w:val="00AF6CD5"/>
    <w:rsid w:val="00AF6D46"/>
    <w:rsid w:val="00AF6D9B"/>
    <w:rsid w:val="00AF6F19"/>
    <w:rsid w:val="00AF6F4E"/>
    <w:rsid w:val="00AF6F60"/>
    <w:rsid w:val="00AF6FBA"/>
    <w:rsid w:val="00AF71C7"/>
    <w:rsid w:val="00AF732D"/>
    <w:rsid w:val="00AF7341"/>
    <w:rsid w:val="00AF7548"/>
    <w:rsid w:val="00AF75BC"/>
    <w:rsid w:val="00AF7603"/>
    <w:rsid w:val="00AF770A"/>
    <w:rsid w:val="00AF7723"/>
    <w:rsid w:val="00AF782B"/>
    <w:rsid w:val="00AF788A"/>
    <w:rsid w:val="00AF7A5C"/>
    <w:rsid w:val="00AF7A5E"/>
    <w:rsid w:val="00AF7B08"/>
    <w:rsid w:val="00AF7B49"/>
    <w:rsid w:val="00AF7B91"/>
    <w:rsid w:val="00AF7D12"/>
    <w:rsid w:val="00AF7DDB"/>
    <w:rsid w:val="00AF7E2D"/>
    <w:rsid w:val="00AF7EB2"/>
    <w:rsid w:val="00AF7F03"/>
    <w:rsid w:val="00AF7FA5"/>
    <w:rsid w:val="00B00272"/>
    <w:rsid w:val="00B00281"/>
    <w:rsid w:val="00B002AA"/>
    <w:rsid w:val="00B002E2"/>
    <w:rsid w:val="00B00300"/>
    <w:rsid w:val="00B00383"/>
    <w:rsid w:val="00B004E9"/>
    <w:rsid w:val="00B0059F"/>
    <w:rsid w:val="00B005A3"/>
    <w:rsid w:val="00B007C1"/>
    <w:rsid w:val="00B008C5"/>
    <w:rsid w:val="00B00921"/>
    <w:rsid w:val="00B00A13"/>
    <w:rsid w:val="00B00AC6"/>
    <w:rsid w:val="00B00B2A"/>
    <w:rsid w:val="00B00B89"/>
    <w:rsid w:val="00B00C44"/>
    <w:rsid w:val="00B00D6A"/>
    <w:rsid w:val="00B00E35"/>
    <w:rsid w:val="00B00E64"/>
    <w:rsid w:val="00B00E75"/>
    <w:rsid w:val="00B0101B"/>
    <w:rsid w:val="00B010C9"/>
    <w:rsid w:val="00B01198"/>
    <w:rsid w:val="00B011FB"/>
    <w:rsid w:val="00B01241"/>
    <w:rsid w:val="00B0129A"/>
    <w:rsid w:val="00B01443"/>
    <w:rsid w:val="00B014CC"/>
    <w:rsid w:val="00B01562"/>
    <w:rsid w:val="00B01595"/>
    <w:rsid w:val="00B015CF"/>
    <w:rsid w:val="00B01663"/>
    <w:rsid w:val="00B016C4"/>
    <w:rsid w:val="00B016D2"/>
    <w:rsid w:val="00B0172F"/>
    <w:rsid w:val="00B017CE"/>
    <w:rsid w:val="00B018B8"/>
    <w:rsid w:val="00B01946"/>
    <w:rsid w:val="00B01A13"/>
    <w:rsid w:val="00B01BBF"/>
    <w:rsid w:val="00B01C00"/>
    <w:rsid w:val="00B01C70"/>
    <w:rsid w:val="00B01C9B"/>
    <w:rsid w:val="00B01CF5"/>
    <w:rsid w:val="00B01D50"/>
    <w:rsid w:val="00B01D6D"/>
    <w:rsid w:val="00B01DB2"/>
    <w:rsid w:val="00B01DBA"/>
    <w:rsid w:val="00B01F1A"/>
    <w:rsid w:val="00B01F54"/>
    <w:rsid w:val="00B01FD4"/>
    <w:rsid w:val="00B0200B"/>
    <w:rsid w:val="00B0209D"/>
    <w:rsid w:val="00B020D8"/>
    <w:rsid w:val="00B020EF"/>
    <w:rsid w:val="00B02179"/>
    <w:rsid w:val="00B021F0"/>
    <w:rsid w:val="00B02243"/>
    <w:rsid w:val="00B0226F"/>
    <w:rsid w:val="00B0234B"/>
    <w:rsid w:val="00B0268A"/>
    <w:rsid w:val="00B02696"/>
    <w:rsid w:val="00B026E0"/>
    <w:rsid w:val="00B0275B"/>
    <w:rsid w:val="00B027E2"/>
    <w:rsid w:val="00B02824"/>
    <w:rsid w:val="00B02850"/>
    <w:rsid w:val="00B02874"/>
    <w:rsid w:val="00B02923"/>
    <w:rsid w:val="00B02945"/>
    <w:rsid w:val="00B029DA"/>
    <w:rsid w:val="00B029F5"/>
    <w:rsid w:val="00B02A5E"/>
    <w:rsid w:val="00B02AF9"/>
    <w:rsid w:val="00B02B7A"/>
    <w:rsid w:val="00B02CF4"/>
    <w:rsid w:val="00B02D8A"/>
    <w:rsid w:val="00B02D9B"/>
    <w:rsid w:val="00B02DA8"/>
    <w:rsid w:val="00B02DBA"/>
    <w:rsid w:val="00B02EB3"/>
    <w:rsid w:val="00B02EBA"/>
    <w:rsid w:val="00B02F77"/>
    <w:rsid w:val="00B02FC0"/>
    <w:rsid w:val="00B02FC1"/>
    <w:rsid w:val="00B03123"/>
    <w:rsid w:val="00B03143"/>
    <w:rsid w:val="00B03187"/>
    <w:rsid w:val="00B03291"/>
    <w:rsid w:val="00B032AE"/>
    <w:rsid w:val="00B032F2"/>
    <w:rsid w:val="00B03502"/>
    <w:rsid w:val="00B036CC"/>
    <w:rsid w:val="00B036D3"/>
    <w:rsid w:val="00B03707"/>
    <w:rsid w:val="00B03723"/>
    <w:rsid w:val="00B03768"/>
    <w:rsid w:val="00B037BE"/>
    <w:rsid w:val="00B03830"/>
    <w:rsid w:val="00B03839"/>
    <w:rsid w:val="00B03944"/>
    <w:rsid w:val="00B039E1"/>
    <w:rsid w:val="00B03B87"/>
    <w:rsid w:val="00B03BF3"/>
    <w:rsid w:val="00B03C84"/>
    <w:rsid w:val="00B03DD6"/>
    <w:rsid w:val="00B03E18"/>
    <w:rsid w:val="00B03FBD"/>
    <w:rsid w:val="00B04013"/>
    <w:rsid w:val="00B04097"/>
    <w:rsid w:val="00B04101"/>
    <w:rsid w:val="00B0429A"/>
    <w:rsid w:val="00B042C0"/>
    <w:rsid w:val="00B0431E"/>
    <w:rsid w:val="00B043C1"/>
    <w:rsid w:val="00B043FA"/>
    <w:rsid w:val="00B0443A"/>
    <w:rsid w:val="00B044DB"/>
    <w:rsid w:val="00B0459B"/>
    <w:rsid w:val="00B046A2"/>
    <w:rsid w:val="00B04724"/>
    <w:rsid w:val="00B047F2"/>
    <w:rsid w:val="00B04890"/>
    <w:rsid w:val="00B04905"/>
    <w:rsid w:val="00B04978"/>
    <w:rsid w:val="00B04A81"/>
    <w:rsid w:val="00B04AD9"/>
    <w:rsid w:val="00B04B20"/>
    <w:rsid w:val="00B04B67"/>
    <w:rsid w:val="00B04B8E"/>
    <w:rsid w:val="00B04BB4"/>
    <w:rsid w:val="00B04BD0"/>
    <w:rsid w:val="00B04BE2"/>
    <w:rsid w:val="00B04C4C"/>
    <w:rsid w:val="00B04CC2"/>
    <w:rsid w:val="00B04D42"/>
    <w:rsid w:val="00B04D4F"/>
    <w:rsid w:val="00B04DED"/>
    <w:rsid w:val="00B04DFE"/>
    <w:rsid w:val="00B04E02"/>
    <w:rsid w:val="00B04E57"/>
    <w:rsid w:val="00B04E67"/>
    <w:rsid w:val="00B04FC1"/>
    <w:rsid w:val="00B050A0"/>
    <w:rsid w:val="00B0526C"/>
    <w:rsid w:val="00B05322"/>
    <w:rsid w:val="00B05362"/>
    <w:rsid w:val="00B05434"/>
    <w:rsid w:val="00B0551F"/>
    <w:rsid w:val="00B05554"/>
    <w:rsid w:val="00B05654"/>
    <w:rsid w:val="00B056DE"/>
    <w:rsid w:val="00B0578E"/>
    <w:rsid w:val="00B059D2"/>
    <w:rsid w:val="00B05A37"/>
    <w:rsid w:val="00B05AC6"/>
    <w:rsid w:val="00B05B2E"/>
    <w:rsid w:val="00B05BD8"/>
    <w:rsid w:val="00B05BF1"/>
    <w:rsid w:val="00B05BFB"/>
    <w:rsid w:val="00B05C1B"/>
    <w:rsid w:val="00B05C2E"/>
    <w:rsid w:val="00B05CA0"/>
    <w:rsid w:val="00B05D98"/>
    <w:rsid w:val="00B05DB7"/>
    <w:rsid w:val="00B05E4A"/>
    <w:rsid w:val="00B05E61"/>
    <w:rsid w:val="00B05E99"/>
    <w:rsid w:val="00B05F88"/>
    <w:rsid w:val="00B05F8A"/>
    <w:rsid w:val="00B05FF8"/>
    <w:rsid w:val="00B0607C"/>
    <w:rsid w:val="00B06226"/>
    <w:rsid w:val="00B06299"/>
    <w:rsid w:val="00B0630A"/>
    <w:rsid w:val="00B0630C"/>
    <w:rsid w:val="00B063AA"/>
    <w:rsid w:val="00B063BD"/>
    <w:rsid w:val="00B063D5"/>
    <w:rsid w:val="00B06427"/>
    <w:rsid w:val="00B06512"/>
    <w:rsid w:val="00B06589"/>
    <w:rsid w:val="00B06595"/>
    <w:rsid w:val="00B0665C"/>
    <w:rsid w:val="00B0668C"/>
    <w:rsid w:val="00B06715"/>
    <w:rsid w:val="00B06762"/>
    <w:rsid w:val="00B068AC"/>
    <w:rsid w:val="00B06939"/>
    <w:rsid w:val="00B06AC9"/>
    <w:rsid w:val="00B06B5B"/>
    <w:rsid w:val="00B06C80"/>
    <w:rsid w:val="00B06D03"/>
    <w:rsid w:val="00B06D05"/>
    <w:rsid w:val="00B06D44"/>
    <w:rsid w:val="00B06E04"/>
    <w:rsid w:val="00B06E39"/>
    <w:rsid w:val="00B06F08"/>
    <w:rsid w:val="00B06F48"/>
    <w:rsid w:val="00B0701E"/>
    <w:rsid w:val="00B07049"/>
    <w:rsid w:val="00B07060"/>
    <w:rsid w:val="00B070E9"/>
    <w:rsid w:val="00B070F9"/>
    <w:rsid w:val="00B071CA"/>
    <w:rsid w:val="00B07324"/>
    <w:rsid w:val="00B0733A"/>
    <w:rsid w:val="00B073DB"/>
    <w:rsid w:val="00B075B4"/>
    <w:rsid w:val="00B076B8"/>
    <w:rsid w:val="00B07712"/>
    <w:rsid w:val="00B078D5"/>
    <w:rsid w:val="00B078FB"/>
    <w:rsid w:val="00B07910"/>
    <w:rsid w:val="00B07A23"/>
    <w:rsid w:val="00B07AE9"/>
    <w:rsid w:val="00B07AFB"/>
    <w:rsid w:val="00B07B64"/>
    <w:rsid w:val="00B07B91"/>
    <w:rsid w:val="00B07BB2"/>
    <w:rsid w:val="00B07D38"/>
    <w:rsid w:val="00B07DB0"/>
    <w:rsid w:val="00B07DD5"/>
    <w:rsid w:val="00B07E98"/>
    <w:rsid w:val="00B07F04"/>
    <w:rsid w:val="00B07F74"/>
    <w:rsid w:val="00B07F9A"/>
    <w:rsid w:val="00B07FF5"/>
    <w:rsid w:val="00B1000F"/>
    <w:rsid w:val="00B1007E"/>
    <w:rsid w:val="00B10101"/>
    <w:rsid w:val="00B1021C"/>
    <w:rsid w:val="00B102D5"/>
    <w:rsid w:val="00B103AE"/>
    <w:rsid w:val="00B103BD"/>
    <w:rsid w:val="00B10406"/>
    <w:rsid w:val="00B10455"/>
    <w:rsid w:val="00B1050A"/>
    <w:rsid w:val="00B10514"/>
    <w:rsid w:val="00B10639"/>
    <w:rsid w:val="00B1068A"/>
    <w:rsid w:val="00B10783"/>
    <w:rsid w:val="00B10965"/>
    <w:rsid w:val="00B109B7"/>
    <w:rsid w:val="00B109BF"/>
    <w:rsid w:val="00B10A14"/>
    <w:rsid w:val="00B10A1A"/>
    <w:rsid w:val="00B10A3D"/>
    <w:rsid w:val="00B10A98"/>
    <w:rsid w:val="00B10B2C"/>
    <w:rsid w:val="00B10B36"/>
    <w:rsid w:val="00B10B4C"/>
    <w:rsid w:val="00B10BE6"/>
    <w:rsid w:val="00B10C56"/>
    <w:rsid w:val="00B10D31"/>
    <w:rsid w:val="00B10D4D"/>
    <w:rsid w:val="00B10D6D"/>
    <w:rsid w:val="00B10D87"/>
    <w:rsid w:val="00B10EC8"/>
    <w:rsid w:val="00B10F6C"/>
    <w:rsid w:val="00B1105B"/>
    <w:rsid w:val="00B11067"/>
    <w:rsid w:val="00B11121"/>
    <w:rsid w:val="00B111F9"/>
    <w:rsid w:val="00B11340"/>
    <w:rsid w:val="00B11381"/>
    <w:rsid w:val="00B11554"/>
    <w:rsid w:val="00B115B4"/>
    <w:rsid w:val="00B115C1"/>
    <w:rsid w:val="00B116A2"/>
    <w:rsid w:val="00B11743"/>
    <w:rsid w:val="00B11746"/>
    <w:rsid w:val="00B11812"/>
    <w:rsid w:val="00B11905"/>
    <w:rsid w:val="00B11A90"/>
    <w:rsid w:val="00B11B0C"/>
    <w:rsid w:val="00B11B2C"/>
    <w:rsid w:val="00B11C05"/>
    <w:rsid w:val="00B11D48"/>
    <w:rsid w:val="00B11D7A"/>
    <w:rsid w:val="00B11E27"/>
    <w:rsid w:val="00B11EB3"/>
    <w:rsid w:val="00B11F15"/>
    <w:rsid w:val="00B11F53"/>
    <w:rsid w:val="00B11F56"/>
    <w:rsid w:val="00B12059"/>
    <w:rsid w:val="00B12075"/>
    <w:rsid w:val="00B120AC"/>
    <w:rsid w:val="00B121D8"/>
    <w:rsid w:val="00B122BD"/>
    <w:rsid w:val="00B123D5"/>
    <w:rsid w:val="00B123DC"/>
    <w:rsid w:val="00B123E1"/>
    <w:rsid w:val="00B12420"/>
    <w:rsid w:val="00B1245B"/>
    <w:rsid w:val="00B124F9"/>
    <w:rsid w:val="00B12559"/>
    <w:rsid w:val="00B1257E"/>
    <w:rsid w:val="00B12648"/>
    <w:rsid w:val="00B12652"/>
    <w:rsid w:val="00B12662"/>
    <w:rsid w:val="00B12684"/>
    <w:rsid w:val="00B1271C"/>
    <w:rsid w:val="00B127B8"/>
    <w:rsid w:val="00B127E2"/>
    <w:rsid w:val="00B1286E"/>
    <w:rsid w:val="00B128E4"/>
    <w:rsid w:val="00B1296E"/>
    <w:rsid w:val="00B12AEC"/>
    <w:rsid w:val="00B12B67"/>
    <w:rsid w:val="00B12B7B"/>
    <w:rsid w:val="00B12BC8"/>
    <w:rsid w:val="00B12BDD"/>
    <w:rsid w:val="00B12C35"/>
    <w:rsid w:val="00B12D74"/>
    <w:rsid w:val="00B12D7B"/>
    <w:rsid w:val="00B12DE2"/>
    <w:rsid w:val="00B12E74"/>
    <w:rsid w:val="00B12EB4"/>
    <w:rsid w:val="00B12F07"/>
    <w:rsid w:val="00B12F84"/>
    <w:rsid w:val="00B1307D"/>
    <w:rsid w:val="00B130A1"/>
    <w:rsid w:val="00B13292"/>
    <w:rsid w:val="00B132F8"/>
    <w:rsid w:val="00B1337E"/>
    <w:rsid w:val="00B13408"/>
    <w:rsid w:val="00B134F6"/>
    <w:rsid w:val="00B135B8"/>
    <w:rsid w:val="00B1366D"/>
    <w:rsid w:val="00B136E8"/>
    <w:rsid w:val="00B13709"/>
    <w:rsid w:val="00B1374E"/>
    <w:rsid w:val="00B13780"/>
    <w:rsid w:val="00B137C8"/>
    <w:rsid w:val="00B137EF"/>
    <w:rsid w:val="00B138E5"/>
    <w:rsid w:val="00B1392A"/>
    <w:rsid w:val="00B1393F"/>
    <w:rsid w:val="00B13A26"/>
    <w:rsid w:val="00B13A8F"/>
    <w:rsid w:val="00B13AA9"/>
    <w:rsid w:val="00B13B01"/>
    <w:rsid w:val="00B13B09"/>
    <w:rsid w:val="00B13B34"/>
    <w:rsid w:val="00B13C1B"/>
    <w:rsid w:val="00B13CB5"/>
    <w:rsid w:val="00B13D4B"/>
    <w:rsid w:val="00B13DA4"/>
    <w:rsid w:val="00B13DE6"/>
    <w:rsid w:val="00B13DFC"/>
    <w:rsid w:val="00B13E01"/>
    <w:rsid w:val="00B13E2E"/>
    <w:rsid w:val="00B13E5F"/>
    <w:rsid w:val="00B13EA5"/>
    <w:rsid w:val="00B1400F"/>
    <w:rsid w:val="00B1415E"/>
    <w:rsid w:val="00B141B5"/>
    <w:rsid w:val="00B141BD"/>
    <w:rsid w:val="00B141C1"/>
    <w:rsid w:val="00B141FD"/>
    <w:rsid w:val="00B1438F"/>
    <w:rsid w:val="00B14518"/>
    <w:rsid w:val="00B14552"/>
    <w:rsid w:val="00B145B1"/>
    <w:rsid w:val="00B145BE"/>
    <w:rsid w:val="00B145E3"/>
    <w:rsid w:val="00B145E8"/>
    <w:rsid w:val="00B14731"/>
    <w:rsid w:val="00B14754"/>
    <w:rsid w:val="00B14790"/>
    <w:rsid w:val="00B147BD"/>
    <w:rsid w:val="00B1483F"/>
    <w:rsid w:val="00B14898"/>
    <w:rsid w:val="00B14927"/>
    <w:rsid w:val="00B14950"/>
    <w:rsid w:val="00B149A3"/>
    <w:rsid w:val="00B14A18"/>
    <w:rsid w:val="00B14A1C"/>
    <w:rsid w:val="00B14A2D"/>
    <w:rsid w:val="00B14AA7"/>
    <w:rsid w:val="00B14AD1"/>
    <w:rsid w:val="00B14B10"/>
    <w:rsid w:val="00B14B22"/>
    <w:rsid w:val="00B14B30"/>
    <w:rsid w:val="00B14C52"/>
    <w:rsid w:val="00B14CE9"/>
    <w:rsid w:val="00B14D01"/>
    <w:rsid w:val="00B14D55"/>
    <w:rsid w:val="00B14DB9"/>
    <w:rsid w:val="00B14E0B"/>
    <w:rsid w:val="00B14EA4"/>
    <w:rsid w:val="00B14F08"/>
    <w:rsid w:val="00B14F48"/>
    <w:rsid w:val="00B14F9C"/>
    <w:rsid w:val="00B14FC1"/>
    <w:rsid w:val="00B150E1"/>
    <w:rsid w:val="00B1516F"/>
    <w:rsid w:val="00B151F7"/>
    <w:rsid w:val="00B15213"/>
    <w:rsid w:val="00B1524A"/>
    <w:rsid w:val="00B15268"/>
    <w:rsid w:val="00B152B4"/>
    <w:rsid w:val="00B152D4"/>
    <w:rsid w:val="00B15360"/>
    <w:rsid w:val="00B1575A"/>
    <w:rsid w:val="00B158EA"/>
    <w:rsid w:val="00B1591C"/>
    <w:rsid w:val="00B159B5"/>
    <w:rsid w:val="00B15AFF"/>
    <w:rsid w:val="00B15B58"/>
    <w:rsid w:val="00B15B67"/>
    <w:rsid w:val="00B15C2B"/>
    <w:rsid w:val="00B15C6C"/>
    <w:rsid w:val="00B15D02"/>
    <w:rsid w:val="00B15D84"/>
    <w:rsid w:val="00B15E6C"/>
    <w:rsid w:val="00B15ECA"/>
    <w:rsid w:val="00B15ED2"/>
    <w:rsid w:val="00B16027"/>
    <w:rsid w:val="00B16069"/>
    <w:rsid w:val="00B160BC"/>
    <w:rsid w:val="00B160CE"/>
    <w:rsid w:val="00B1610A"/>
    <w:rsid w:val="00B1610C"/>
    <w:rsid w:val="00B16139"/>
    <w:rsid w:val="00B16168"/>
    <w:rsid w:val="00B1623F"/>
    <w:rsid w:val="00B16245"/>
    <w:rsid w:val="00B16454"/>
    <w:rsid w:val="00B164D5"/>
    <w:rsid w:val="00B1651F"/>
    <w:rsid w:val="00B165B4"/>
    <w:rsid w:val="00B165D0"/>
    <w:rsid w:val="00B165D1"/>
    <w:rsid w:val="00B16632"/>
    <w:rsid w:val="00B16754"/>
    <w:rsid w:val="00B1677E"/>
    <w:rsid w:val="00B167E6"/>
    <w:rsid w:val="00B169C9"/>
    <w:rsid w:val="00B16A09"/>
    <w:rsid w:val="00B16A35"/>
    <w:rsid w:val="00B16A80"/>
    <w:rsid w:val="00B16B14"/>
    <w:rsid w:val="00B16B51"/>
    <w:rsid w:val="00B16B7C"/>
    <w:rsid w:val="00B16BA2"/>
    <w:rsid w:val="00B16C4A"/>
    <w:rsid w:val="00B16C4F"/>
    <w:rsid w:val="00B16DEA"/>
    <w:rsid w:val="00B16E32"/>
    <w:rsid w:val="00B16EDA"/>
    <w:rsid w:val="00B16EEB"/>
    <w:rsid w:val="00B16F96"/>
    <w:rsid w:val="00B16F9F"/>
    <w:rsid w:val="00B17071"/>
    <w:rsid w:val="00B17197"/>
    <w:rsid w:val="00B171EB"/>
    <w:rsid w:val="00B1728C"/>
    <w:rsid w:val="00B17308"/>
    <w:rsid w:val="00B173A6"/>
    <w:rsid w:val="00B173B6"/>
    <w:rsid w:val="00B173ED"/>
    <w:rsid w:val="00B17508"/>
    <w:rsid w:val="00B1754C"/>
    <w:rsid w:val="00B1756E"/>
    <w:rsid w:val="00B175CA"/>
    <w:rsid w:val="00B176D3"/>
    <w:rsid w:val="00B17729"/>
    <w:rsid w:val="00B177BB"/>
    <w:rsid w:val="00B17806"/>
    <w:rsid w:val="00B1781A"/>
    <w:rsid w:val="00B17824"/>
    <w:rsid w:val="00B1789F"/>
    <w:rsid w:val="00B17A2F"/>
    <w:rsid w:val="00B17A58"/>
    <w:rsid w:val="00B17B41"/>
    <w:rsid w:val="00B17B83"/>
    <w:rsid w:val="00B17BD2"/>
    <w:rsid w:val="00B17C24"/>
    <w:rsid w:val="00B17C82"/>
    <w:rsid w:val="00B17C92"/>
    <w:rsid w:val="00B17DB2"/>
    <w:rsid w:val="00B17E36"/>
    <w:rsid w:val="00B17E73"/>
    <w:rsid w:val="00B20017"/>
    <w:rsid w:val="00B20134"/>
    <w:rsid w:val="00B2018F"/>
    <w:rsid w:val="00B201D4"/>
    <w:rsid w:val="00B20388"/>
    <w:rsid w:val="00B203D7"/>
    <w:rsid w:val="00B203F7"/>
    <w:rsid w:val="00B20421"/>
    <w:rsid w:val="00B204A7"/>
    <w:rsid w:val="00B20512"/>
    <w:rsid w:val="00B205C9"/>
    <w:rsid w:val="00B205DF"/>
    <w:rsid w:val="00B20689"/>
    <w:rsid w:val="00B206AF"/>
    <w:rsid w:val="00B206B0"/>
    <w:rsid w:val="00B20719"/>
    <w:rsid w:val="00B207CF"/>
    <w:rsid w:val="00B207F3"/>
    <w:rsid w:val="00B20819"/>
    <w:rsid w:val="00B209A0"/>
    <w:rsid w:val="00B20A01"/>
    <w:rsid w:val="00B20B0B"/>
    <w:rsid w:val="00B20B40"/>
    <w:rsid w:val="00B20BE9"/>
    <w:rsid w:val="00B20BF5"/>
    <w:rsid w:val="00B20CA7"/>
    <w:rsid w:val="00B20CD4"/>
    <w:rsid w:val="00B20D42"/>
    <w:rsid w:val="00B20E42"/>
    <w:rsid w:val="00B20EA7"/>
    <w:rsid w:val="00B20EC4"/>
    <w:rsid w:val="00B20F12"/>
    <w:rsid w:val="00B20F6F"/>
    <w:rsid w:val="00B21090"/>
    <w:rsid w:val="00B21110"/>
    <w:rsid w:val="00B21123"/>
    <w:rsid w:val="00B21179"/>
    <w:rsid w:val="00B212A3"/>
    <w:rsid w:val="00B212F5"/>
    <w:rsid w:val="00B21367"/>
    <w:rsid w:val="00B213E0"/>
    <w:rsid w:val="00B2141B"/>
    <w:rsid w:val="00B21472"/>
    <w:rsid w:val="00B214C6"/>
    <w:rsid w:val="00B214F2"/>
    <w:rsid w:val="00B2153B"/>
    <w:rsid w:val="00B215F2"/>
    <w:rsid w:val="00B2162B"/>
    <w:rsid w:val="00B2163B"/>
    <w:rsid w:val="00B21691"/>
    <w:rsid w:val="00B216AB"/>
    <w:rsid w:val="00B216DA"/>
    <w:rsid w:val="00B21756"/>
    <w:rsid w:val="00B21758"/>
    <w:rsid w:val="00B2176A"/>
    <w:rsid w:val="00B2179A"/>
    <w:rsid w:val="00B217D2"/>
    <w:rsid w:val="00B2185F"/>
    <w:rsid w:val="00B2187E"/>
    <w:rsid w:val="00B2193A"/>
    <w:rsid w:val="00B21941"/>
    <w:rsid w:val="00B219A8"/>
    <w:rsid w:val="00B219F6"/>
    <w:rsid w:val="00B21A19"/>
    <w:rsid w:val="00B21AA8"/>
    <w:rsid w:val="00B21AB0"/>
    <w:rsid w:val="00B21B6E"/>
    <w:rsid w:val="00B21C10"/>
    <w:rsid w:val="00B21CCF"/>
    <w:rsid w:val="00B21D01"/>
    <w:rsid w:val="00B21D27"/>
    <w:rsid w:val="00B21D6A"/>
    <w:rsid w:val="00B21DDF"/>
    <w:rsid w:val="00B21DFC"/>
    <w:rsid w:val="00B21E49"/>
    <w:rsid w:val="00B21ED9"/>
    <w:rsid w:val="00B21F1B"/>
    <w:rsid w:val="00B21FA2"/>
    <w:rsid w:val="00B2203C"/>
    <w:rsid w:val="00B221BA"/>
    <w:rsid w:val="00B22287"/>
    <w:rsid w:val="00B22346"/>
    <w:rsid w:val="00B2238E"/>
    <w:rsid w:val="00B2239F"/>
    <w:rsid w:val="00B2241E"/>
    <w:rsid w:val="00B2242A"/>
    <w:rsid w:val="00B22478"/>
    <w:rsid w:val="00B225D0"/>
    <w:rsid w:val="00B22715"/>
    <w:rsid w:val="00B22759"/>
    <w:rsid w:val="00B227D5"/>
    <w:rsid w:val="00B227F3"/>
    <w:rsid w:val="00B2283C"/>
    <w:rsid w:val="00B228A8"/>
    <w:rsid w:val="00B228B5"/>
    <w:rsid w:val="00B22A20"/>
    <w:rsid w:val="00B22A8F"/>
    <w:rsid w:val="00B22B02"/>
    <w:rsid w:val="00B22B19"/>
    <w:rsid w:val="00B22B23"/>
    <w:rsid w:val="00B22BF2"/>
    <w:rsid w:val="00B22CA8"/>
    <w:rsid w:val="00B22D05"/>
    <w:rsid w:val="00B22D1B"/>
    <w:rsid w:val="00B22D1C"/>
    <w:rsid w:val="00B22D23"/>
    <w:rsid w:val="00B22E30"/>
    <w:rsid w:val="00B22F9E"/>
    <w:rsid w:val="00B22FBF"/>
    <w:rsid w:val="00B2303C"/>
    <w:rsid w:val="00B23148"/>
    <w:rsid w:val="00B233CF"/>
    <w:rsid w:val="00B23411"/>
    <w:rsid w:val="00B23573"/>
    <w:rsid w:val="00B23652"/>
    <w:rsid w:val="00B236C5"/>
    <w:rsid w:val="00B237A9"/>
    <w:rsid w:val="00B238A0"/>
    <w:rsid w:val="00B23900"/>
    <w:rsid w:val="00B239B9"/>
    <w:rsid w:val="00B239E5"/>
    <w:rsid w:val="00B23B33"/>
    <w:rsid w:val="00B23B86"/>
    <w:rsid w:val="00B23B9A"/>
    <w:rsid w:val="00B23BCA"/>
    <w:rsid w:val="00B23C3B"/>
    <w:rsid w:val="00B23C6E"/>
    <w:rsid w:val="00B23D13"/>
    <w:rsid w:val="00B23D2A"/>
    <w:rsid w:val="00B23DA5"/>
    <w:rsid w:val="00B23DF9"/>
    <w:rsid w:val="00B23E2D"/>
    <w:rsid w:val="00B23E95"/>
    <w:rsid w:val="00B23F60"/>
    <w:rsid w:val="00B23FB6"/>
    <w:rsid w:val="00B2402F"/>
    <w:rsid w:val="00B241BB"/>
    <w:rsid w:val="00B241DE"/>
    <w:rsid w:val="00B24264"/>
    <w:rsid w:val="00B2427B"/>
    <w:rsid w:val="00B2430B"/>
    <w:rsid w:val="00B24455"/>
    <w:rsid w:val="00B24491"/>
    <w:rsid w:val="00B244F0"/>
    <w:rsid w:val="00B24523"/>
    <w:rsid w:val="00B245BD"/>
    <w:rsid w:val="00B24608"/>
    <w:rsid w:val="00B246F8"/>
    <w:rsid w:val="00B246FF"/>
    <w:rsid w:val="00B2474F"/>
    <w:rsid w:val="00B2477A"/>
    <w:rsid w:val="00B24970"/>
    <w:rsid w:val="00B2499B"/>
    <w:rsid w:val="00B24A34"/>
    <w:rsid w:val="00B24A85"/>
    <w:rsid w:val="00B24B3A"/>
    <w:rsid w:val="00B24BA0"/>
    <w:rsid w:val="00B24BC9"/>
    <w:rsid w:val="00B24CCF"/>
    <w:rsid w:val="00B24D45"/>
    <w:rsid w:val="00B24E1F"/>
    <w:rsid w:val="00B24E57"/>
    <w:rsid w:val="00B24EA3"/>
    <w:rsid w:val="00B24F08"/>
    <w:rsid w:val="00B25174"/>
    <w:rsid w:val="00B25193"/>
    <w:rsid w:val="00B251B5"/>
    <w:rsid w:val="00B251D3"/>
    <w:rsid w:val="00B25279"/>
    <w:rsid w:val="00B2527C"/>
    <w:rsid w:val="00B252BC"/>
    <w:rsid w:val="00B2531C"/>
    <w:rsid w:val="00B253AC"/>
    <w:rsid w:val="00B254B0"/>
    <w:rsid w:val="00B254E8"/>
    <w:rsid w:val="00B2559B"/>
    <w:rsid w:val="00B255A7"/>
    <w:rsid w:val="00B255CE"/>
    <w:rsid w:val="00B255E8"/>
    <w:rsid w:val="00B2579A"/>
    <w:rsid w:val="00B257B7"/>
    <w:rsid w:val="00B25808"/>
    <w:rsid w:val="00B2582A"/>
    <w:rsid w:val="00B25868"/>
    <w:rsid w:val="00B25894"/>
    <w:rsid w:val="00B258C1"/>
    <w:rsid w:val="00B25A04"/>
    <w:rsid w:val="00B25C08"/>
    <w:rsid w:val="00B25C76"/>
    <w:rsid w:val="00B25CD0"/>
    <w:rsid w:val="00B25D49"/>
    <w:rsid w:val="00B25DD1"/>
    <w:rsid w:val="00B25DFE"/>
    <w:rsid w:val="00B25E24"/>
    <w:rsid w:val="00B25E55"/>
    <w:rsid w:val="00B25EFF"/>
    <w:rsid w:val="00B25F12"/>
    <w:rsid w:val="00B260EB"/>
    <w:rsid w:val="00B260F0"/>
    <w:rsid w:val="00B26147"/>
    <w:rsid w:val="00B2616E"/>
    <w:rsid w:val="00B2617A"/>
    <w:rsid w:val="00B2618C"/>
    <w:rsid w:val="00B2621E"/>
    <w:rsid w:val="00B262BE"/>
    <w:rsid w:val="00B263F6"/>
    <w:rsid w:val="00B2642E"/>
    <w:rsid w:val="00B26509"/>
    <w:rsid w:val="00B265C0"/>
    <w:rsid w:val="00B26641"/>
    <w:rsid w:val="00B2668A"/>
    <w:rsid w:val="00B26692"/>
    <w:rsid w:val="00B266EA"/>
    <w:rsid w:val="00B26714"/>
    <w:rsid w:val="00B26715"/>
    <w:rsid w:val="00B268D3"/>
    <w:rsid w:val="00B26908"/>
    <w:rsid w:val="00B26A11"/>
    <w:rsid w:val="00B26B35"/>
    <w:rsid w:val="00B26B56"/>
    <w:rsid w:val="00B26B60"/>
    <w:rsid w:val="00B26BD2"/>
    <w:rsid w:val="00B26C99"/>
    <w:rsid w:val="00B26CDC"/>
    <w:rsid w:val="00B26D66"/>
    <w:rsid w:val="00B26DCB"/>
    <w:rsid w:val="00B26F1B"/>
    <w:rsid w:val="00B26F29"/>
    <w:rsid w:val="00B26F50"/>
    <w:rsid w:val="00B26F71"/>
    <w:rsid w:val="00B2703D"/>
    <w:rsid w:val="00B270AE"/>
    <w:rsid w:val="00B270F9"/>
    <w:rsid w:val="00B27188"/>
    <w:rsid w:val="00B271D9"/>
    <w:rsid w:val="00B27255"/>
    <w:rsid w:val="00B2729A"/>
    <w:rsid w:val="00B272B8"/>
    <w:rsid w:val="00B272EA"/>
    <w:rsid w:val="00B273A0"/>
    <w:rsid w:val="00B273FB"/>
    <w:rsid w:val="00B2743F"/>
    <w:rsid w:val="00B2746C"/>
    <w:rsid w:val="00B274BE"/>
    <w:rsid w:val="00B2758D"/>
    <w:rsid w:val="00B27603"/>
    <w:rsid w:val="00B27655"/>
    <w:rsid w:val="00B2768B"/>
    <w:rsid w:val="00B27697"/>
    <w:rsid w:val="00B276AE"/>
    <w:rsid w:val="00B276D4"/>
    <w:rsid w:val="00B27742"/>
    <w:rsid w:val="00B2774D"/>
    <w:rsid w:val="00B278EF"/>
    <w:rsid w:val="00B27953"/>
    <w:rsid w:val="00B2797F"/>
    <w:rsid w:val="00B27A5D"/>
    <w:rsid w:val="00B27ABB"/>
    <w:rsid w:val="00B27ADA"/>
    <w:rsid w:val="00B27AE0"/>
    <w:rsid w:val="00B27BF2"/>
    <w:rsid w:val="00B27C2E"/>
    <w:rsid w:val="00B27D55"/>
    <w:rsid w:val="00B27EEB"/>
    <w:rsid w:val="00B27EF8"/>
    <w:rsid w:val="00B27FAF"/>
    <w:rsid w:val="00B27FE7"/>
    <w:rsid w:val="00B30071"/>
    <w:rsid w:val="00B30093"/>
    <w:rsid w:val="00B300AB"/>
    <w:rsid w:val="00B30279"/>
    <w:rsid w:val="00B302A8"/>
    <w:rsid w:val="00B302AB"/>
    <w:rsid w:val="00B3033F"/>
    <w:rsid w:val="00B3038D"/>
    <w:rsid w:val="00B303BC"/>
    <w:rsid w:val="00B303C4"/>
    <w:rsid w:val="00B303D1"/>
    <w:rsid w:val="00B30486"/>
    <w:rsid w:val="00B30559"/>
    <w:rsid w:val="00B305C5"/>
    <w:rsid w:val="00B3062D"/>
    <w:rsid w:val="00B30696"/>
    <w:rsid w:val="00B306B8"/>
    <w:rsid w:val="00B306DE"/>
    <w:rsid w:val="00B3072B"/>
    <w:rsid w:val="00B30751"/>
    <w:rsid w:val="00B30891"/>
    <w:rsid w:val="00B309A5"/>
    <w:rsid w:val="00B30BEE"/>
    <w:rsid w:val="00B30CCF"/>
    <w:rsid w:val="00B30D6A"/>
    <w:rsid w:val="00B30D97"/>
    <w:rsid w:val="00B30DB9"/>
    <w:rsid w:val="00B30E0C"/>
    <w:rsid w:val="00B30E6E"/>
    <w:rsid w:val="00B30E76"/>
    <w:rsid w:val="00B30F03"/>
    <w:rsid w:val="00B30F74"/>
    <w:rsid w:val="00B30FB1"/>
    <w:rsid w:val="00B3101D"/>
    <w:rsid w:val="00B31131"/>
    <w:rsid w:val="00B3117B"/>
    <w:rsid w:val="00B31183"/>
    <w:rsid w:val="00B311D9"/>
    <w:rsid w:val="00B3126D"/>
    <w:rsid w:val="00B312AF"/>
    <w:rsid w:val="00B31310"/>
    <w:rsid w:val="00B31326"/>
    <w:rsid w:val="00B3135B"/>
    <w:rsid w:val="00B313A5"/>
    <w:rsid w:val="00B31587"/>
    <w:rsid w:val="00B315E1"/>
    <w:rsid w:val="00B31631"/>
    <w:rsid w:val="00B31677"/>
    <w:rsid w:val="00B316AD"/>
    <w:rsid w:val="00B316B0"/>
    <w:rsid w:val="00B31865"/>
    <w:rsid w:val="00B3186D"/>
    <w:rsid w:val="00B31913"/>
    <w:rsid w:val="00B31937"/>
    <w:rsid w:val="00B3197B"/>
    <w:rsid w:val="00B3198E"/>
    <w:rsid w:val="00B31A57"/>
    <w:rsid w:val="00B31ABF"/>
    <w:rsid w:val="00B31AE0"/>
    <w:rsid w:val="00B31CC3"/>
    <w:rsid w:val="00B31D8F"/>
    <w:rsid w:val="00B31E8E"/>
    <w:rsid w:val="00B31F07"/>
    <w:rsid w:val="00B31F20"/>
    <w:rsid w:val="00B31F46"/>
    <w:rsid w:val="00B31FBA"/>
    <w:rsid w:val="00B32036"/>
    <w:rsid w:val="00B320C9"/>
    <w:rsid w:val="00B3212F"/>
    <w:rsid w:val="00B32182"/>
    <w:rsid w:val="00B321A8"/>
    <w:rsid w:val="00B32218"/>
    <w:rsid w:val="00B322F0"/>
    <w:rsid w:val="00B32330"/>
    <w:rsid w:val="00B3238C"/>
    <w:rsid w:val="00B323FF"/>
    <w:rsid w:val="00B3246A"/>
    <w:rsid w:val="00B32484"/>
    <w:rsid w:val="00B324F2"/>
    <w:rsid w:val="00B32596"/>
    <w:rsid w:val="00B325BC"/>
    <w:rsid w:val="00B32638"/>
    <w:rsid w:val="00B32647"/>
    <w:rsid w:val="00B326CA"/>
    <w:rsid w:val="00B3273A"/>
    <w:rsid w:val="00B327CC"/>
    <w:rsid w:val="00B328EC"/>
    <w:rsid w:val="00B32930"/>
    <w:rsid w:val="00B32986"/>
    <w:rsid w:val="00B32A61"/>
    <w:rsid w:val="00B32BA3"/>
    <w:rsid w:val="00B32CF0"/>
    <w:rsid w:val="00B32D88"/>
    <w:rsid w:val="00B32D98"/>
    <w:rsid w:val="00B32EDD"/>
    <w:rsid w:val="00B32F35"/>
    <w:rsid w:val="00B32F60"/>
    <w:rsid w:val="00B32F6C"/>
    <w:rsid w:val="00B32FE2"/>
    <w:rsid w:val="00B32FF2"/>
    <w:rsid w:val="00B3317B"/>
    <w:rsid w:val="00B331E5"/>
    <w:rsid w:val="00B33222"/>
    <w:rsid w:val="00B3328B"/>
    <w:rsid w:val="00B33351"/>
    <w:rsid w:val="00B333AE"/>
    <w:rsid w:val="00B33544"/>
    <w:rsid w:val="00B33567"/>
    <w:rsid w:val="00B3399C"/>
    <w:rsid w:val="00B339D2"/>
    <w:rsid w:val="00B339E5"/>
    <w:rsid w:val="00B33A87"/>
    <w:rsid w:val="00B33AFD"/>
    <w:rsid w:val="00B33B0D"/>
    <w:rsid w:val="00B33B75"/>
    <w:rsid w:val="00B33BB6"/>
    <w:rsid w:val="00B33C42"/>
    <w:rsid w:val="00B33D2F"/>
    <w:rsid w:val="00B33D7D"/>
    <w:rsid w:val="00B33DCB"/>
    <w:rsid w:val="00B33F08"/>
    <w:rsid w:val="00B33FBC"/>
    <w:rsid w:val="00B34038"/>
    <w:rsid w:val="00B340A6"/>
    <w:rsid w:val="00B341C4"/>
    <w:rsid w:val="00B34219"/>
    <w:rsid w:val="00B3424E"/>
    <w:rsid w:val="00B342DD"/>
    <w:rsid w:val="00B342F1"/>
    <w:rsid w:val="00B343E1"/>
    <w:rsid w:val="00B3446E"/>
    <w:rsid w:val="00B3447E"/>
    <w:rsid w:val="00B34506"/>
    <w:rsid w:val="00B3455F"/>
    <w:rsid w:val="00B3463A"/>
    <w:rsid w:val="00B3464D"/>
    <w:rsid w:val="00B3476B"/>
    <w:rsid w:val="00B34859"/>
    <w:rsid w:val="00B348CC"/>
    <w:rsid w:val="00B34914"/>
    <w:rsid w:val="00B34968"/>
    <w:rsid w:val="00B34981"/>
    <w:rsid w:val="00B349E5"/>
    <w:rsid w:val="00B34A0F"/>
    <w:rsid w:val="00B34ACA"/>
    <w:rsid w:val="00B34B39"/>
    <w:rsid w:val="00B34C33"/>
    <w:rsid w:val="00B34CD1"/>
    <w:rsid w:val="00B34CF3"/>
    <w:rsid w:val="00B34DD4"/>
    <w:rsid w:val="00B34EC3"/>
    <w:rsid w:val="00B34ECC"/>
    <w:rsid w:val="00B34FE6"/>
    <w:rsid w:val="00B3508F"/>
    <w:rsid w:val="00B350BA"/>
    <w:rsid w:val="00B351AF"/>
    <w:rsid w:val="00B351C6"/>
    <w:rsid w:val="00B351CA"/>
    <w:rsid w:val="00B35215"/>
    <w:rsid w:val="00B352D1"/>
    <w:rsid w:val="00B35378"/>
    <w:rsid w:val="00B353A4"/>
    <w:rsid w:val="00B355CA"/>
    <w:rsid w:val="00B355F8"/>
    <w:rsid w:val="00B35625"/>
    <w:rsid w:val="00B3564E"/>
    <w:rsid w:val="00B3565E"/>
    <w:rsid w:val="00B356C8"/>
    <w:rsid w:val="00B356DE"/>
    <w:rsid w:val="00B35712"/>
    <w:rsid w:val="00B357B2"/>
    <w:rsid w:val="00B357CD"/>
    <w:rsid w:val="00B3583B"/>
    <w:rsid w:val="00B35862"/>
    <w:rsid w:val="00B3587A"/>
    <w:rsid w:val="00B35881"/>
    <w:rsid w:val="00B3591C"/>
    <w:rsid w:val="00B359C6"/>
    <w:rsid w:val="00B35ACA"/>
    <w:rsid w:val="00B35B14"/>
    <w:rsid w:val="00B35B25"/>
    <w:rsid w:val="00B35B29"/>
    <w:rsid w:val="00B35BD4"/>
    <w:rsid w:val="00B35BE9"/>
    <w:rsid w:val="00B35C06"/>
    <w:rsid w:val="00B35E7D"/>
    <w:rsid w:val="00B35F40"/>
    <w:rsid w:val="00B35F65"/>
    <w:rsid w:val="00B360B1"/>
    <w:rsid w:val="00B360E2"/>
    <w:rsid w:val="00B3613A"/>
    <w:rsid w:val="00B36184"/>
    <w:rsid w:val="00B361AC"/>
    <w:rsid w:val="00B3621D"/>
    <w:rsid w:val="00B36289"/>
    <w:rsid w:val="00B362C1"/>
    <w:rsid w:val="00B363C1"/>
    <w:rsid w:val="00B363DF"/>
    <w:rsid w:val="00B363E0"/>
    <w:rsid w:val="00B363EF"/>
    <w:rsid w:val="00B36453"/>
    <w:rsid w:val="00B36480"/>
    <w:rsid w:val="00B364CE"/>
    <w:rsid w:val="00B36551"/>
    <w:rsid w:val="00B36552"/>
    <w:rsid w:val="00B3657A"/>
    <w:rsid w:val="00B365AE"/>
    <w:rsid w:val="00B36606"/>
    <w:rsid w:val="00B36611"/>
    <w:rsid w:val="00B36665"/>
    <w:rsid w:val="00B366CF"/>
    <w:rsid w:val="00B36787"/>
    <w:rsid w:val="00B36802"/>
    <w:rsid w:val="00B36815"/>
    <w:rsid w:val="00B368D7"/>
    <w:rsid w:val="00B36A00"/>
    <w:rsid w:val="00B36A15"/>
    <w:rsid w:val="00B36AA5"/>
    <w:rsid w:val="00B36ABF"/>
    <w:rsid w:val="00B36B9A"/>
    <w:rsid w:val="00B36BC2"/>
    <w:rsid w:val="00B36C65"/>
    <w:rsid w:val="00B36DFB"/>
    <w:rsid w:val="00B36E97"/>
    <w:rsid w:val="00B36F06"/>
    <w:rsid w:val="00B36FAB"/>
    <w:rsid w:val="00B36FDB"/>
    <w:rsid w:val="00B37056"/>
    <w:rsid w:val="00B370D9"/>
    <w:rsid w:val="00B370E3"/>
    <w:rsid w:val="00B37272"/>
    <w:rsid w:val="00B373CE"/>
    <w:rsid w:val="00B373CF"/>
    <w:rsid w:val="00B373E6"/>
    <w:rsid w:val="00B373EF"/>
    <w:rsid w:val="00B37444"/>
    <w:rsid w:val="00B37465"/>
    <w:rsid w:val="00B3749F"/>
    <w:rsid w:val="00B374CA"/>
    <w:rsid w:val="00B376BD"/>
    <w:rsid w:val="00B3776A"/>
    <w:rsid w:val="00B3777F"/>
    <w:rsid w:val="00B3783D"/>
    <w:rsid w:val="00B37A8E"/>
    <w:rsid w:val="00B37A8F"/>
    <w:rsid w:val="00B37AE2"/>
    <w:rsid w:val="00B37B69"/>
    <w:rsid w:val="00B37C5B"/>
    <w:rsid w:val="00B37C6C"/>
    <w:rsid w:val="00B37C71"/>
    <w:rsid w:val="00B37C7F"/>
    <w:rsid w:val="00B37C84"/>
    <w:rsid w:val="00B37CFF"/>
    <w:rsid w:val="00B37D27"/>
    <w:rsid w:val="00B37D65"/>
    <w:rsid w:val="00B37EBA"/>
    <w:rsid w:val="00B37ED8"/>
    <w:rsid w:val="00B37F6E"/>
    <w:rsid w:val="00B37F8D"/>
    <w:rsid w:val="00B40060"/>
    <w:rsid w:val="00B40066"/>
    <w:rsid w:val="00B400F2"/>
    <w:rsid w:val="00B4010C"/>
    <w:rsid w:val="00B40157"/>
    <w:rsid w:val="00B4016F"/>
    <w:rsid w:val="00B4017D"/>
    <w:rsid w:val="00B402F0"/>
    <w:rsid w:val="00B4031D"/>
    <w:rsid w:val="00B40379"/>
    <w:rsid w:val="00B4039C"/>
    <w:rsid w:val="00B403F5"/>
    <w:rsid w:val="00B4047B"/>
    <w:rsid w:val="00B404C1"/>
    <w:rsid w:val="00B404D9"/>
    <w:rsid w:val="00B40541"/>
    <w:rsid w:val="00B40555"/>
    <w:rsid w:val="00B4058C"/>
    <w:rsid w:val="00B405F6"/>
    <w:rsid w:val="00B40611"/>
    <w:rsid w:val="00B4071A"/>
    <w:rsid w:val="00B407A7"/>
    <w:rsid w:val="00B40804"/>
    <w:rsid w:val="00B40878"/>
    <w:rsid w:val="00B4096F"/>
    <w:rsid w:val="00B40A34"/>
    <w:rsid w:val="00B40AA0"/>
    <w:rsid w:val="00B40B03"/>
    <w:rsid w:val="00B40B16"/>
    <w:rsid w:val="00B40C08"/>
    <w:rsid w:val="00B40C14"/>
    <w:rsid w:val="00B40CE0"/>
    <w:rsid w:val="00B40D4D"/>
    <w:rsid w:val="00B40E99"/>
    <w:rsid w:val="00B40FBB"/>
    <w:rsid w:val="00B40FEB"/>
    <w:rsid w:val="00B41089"/>
    <w:rsid w:val="00B410DE"/>
    <w:rsid w:val="00B410EB"/>
    <w:rsid w:val="00B410F6"/>
    <w:rsid w:val="00B4117B"/>
    <w:rsid w:val="00B41246"/>
    <w:rsid w:val="00B41265"/>
    <w:rsid w:val="00B4128E"/>
    <w:rsid w:val="00B412B0"/>
    <w:rsid w:val="00B413F7"/>
    <w:rsid w:val="00B4146F"/>
    <w:rsid w:val="00B41510"/>
    <w:rsid w:val="00B4174A"/>
    <w:rsid w:val="00B41808"/>
    <w:rsid w:val="00B4197C"/>
    <w:rsid w:val="00B41A02"/>
    <w:rsid w:val="00B41A86"/>
    <w:rsid w:val="00B41B68"/>
    <w:rsid w:val="00B41BE0"/>
    <w:rsid w:val="00B41BF2"/>
    <w:rsid w:val="00B41C65"/>
    <w:rsid w:val="00B41D35"/>
    <w:rsid w:val="00B41D7E"/>
    <w:rsid w:val="00B41EA2"/>
    <w:rsid w:val="00B42087"/>
    <w:rsid w:val="00B4208C"/>
    <w:rsid w:val="00B420FF"/>
    <w:rsid w:val="00B4213F"/>
    <w:rsid w:val="00B421C8"/>
    <w:rsid w:val="00B42230"/>
    <w:rsid w:val="00B4226E"/>
    <w:rsid w:val="00B422DA"/>
    <w:rsid w:val="00B42342"/>
    <w:rsid w:val="00B423B9"/>
    <w:rsid w:val="00B423FE"/>
    <w:rsid w:val="00B4240C"/>
    <w:rsid w:val="00B42431"/>
    <w:rsid w:val="00B4244C"/>
    <w:rsid w:val="00B4245C"/>
    <w:rsid w:val="00B424D0"/>
    <w:rsid w:val="00B424DA"/>
    <w:rsid w:val="00B4267B"/>
    <w:rsid w:val="00B426B5"/>
    <w:rsid w:val="00B4275F"/>
    <w:rsid w:val="00B427BC"/>
    <w:rsid w:val="00B42822"/>
    <w:rsid w:val="00B42825"/>
    <w:rsid w:val="00B4285C"/>
    <w:rsid w:val="00B42906"/>
    <w:rsid w:val="00B42A40"/>
    <w:rsid w:val="00B42A6C"/>
    <w:rsid w:val="00B42AC8"/>
    <w:rsid w:val="00B42B6C"/>
    <w:rsid w:val="00B42BB5"/>
    <w:rsid w:val="00B42C47"/>
    <w:rsid w:val="00B42C87"/>
    <w:rsid w:val="00B42E04"/>
    <w:rsid w:val="00B42E2E"/>
    <w:rsid w:val="00B42E52"/>
    <w:rsid w:val="00B42E7C"/>
    <w:rsid w:val="00B42F87"/>
    <w:rsid w:val="00B42FDF"/>
    <w:rsid w:val="00B43007"/>
    <w:rsid w:val="00B43211"/>
    <w:rsid w:val="00B43341"/>
    <w:rsid w:val="00B433C6"/>
    <w:rsid w:val="00B43497"/>
    <w:rsid w:val="00B43506"/>
    <w:rsid w:val="00B43537"/>
    <w:rsid w:val="00B4358A"/>
    <w:rsid w:val="00B435FB"/>
    <w:rsid w:val="00B43651"/>
    <w:rsid w:val="00B4365A"/>
    <w:rsid w:val="00B43688"/>
    <w:rsid w:val="00B436CD"/>
    <w:rsid w:val="00B437FF"/>
    <w:rsid w:val="00B43987"/>
    <w:rsid w:val="00B43990"/>
    <w:rsid w:val="00B43AC8"/>
    <w:rsid w:val="00B43B26"/>
    <w:rsid w:val="00B43B5D"/>
    <w:rsid w:val="00B43C04"/>
    <w:rsid w:val="00B43C28"/>
    <w:rsid w:val="00B43C2D"/>
    <w:rsid w:val="00B43C3A"/>
    <w:rsid w:val="00B43CBC"/>
    <w:rsid w:val="00B43CC1"/>
    <w:rsid w:val="00B43CD0"/>
    <w:rsid w:val="00B43D0D"/>
    <w:rsid w:val="00B43E87"/>
    <w:rsid w:val="00B43E99"/>
    <w:rsid w:val="00B43F2E"/>
    <w:rsid w:val="00B43F2F"/>
    <w:rsid w:val="00B43F54"/>
    <w:rsid w:val="00B43F7D"/>
    <w:rsid w:val="00B43F8F"/>
    <w:rsid w:val="00B44073"/>
    <w:rsid w:val="00B441DF"/>
    <w:rsid w:val="00B44260"/>
    <w:rsid w:val="00B44287"/>
    <w:rsid w:val="00B44308"/>
    <w:rsid w:val="00B44343"/>
    <w:rsid w:val="00B4439F"/>
    <w:rsid w:val="00B443CE"/>
    <w:rsid w:val="00B445F8"/>
    <w:rsid w:val="00B4461F"/>
    <w:rsid w:val="00B4465B"/>
    <w:rsid w:val="00B44666"/>
    <w:rsid w:val="00B447FE"/>
    <w:rsid w:val="00B44934"/>
    <w:rsid w:val="00B44A16"/>
    <w:rsid w:val="00B44A3E"/>
    <w:rsid w:val="00B44BAC"/>
    <w:rsid w:val="00B44CA0"/>
    <w:rsid w:val="00B44CED"/>
    <w:rsid w:val="00B44D6E"/>
    <w:rsid w:val="00B44D97"/>
    <w:rsid w:val="00B44E3B"/>
    <w:rsid w:val="00B44EA5"/>
    <w:rsid w:val="00B45005"/>
    <w:rsid w:val="00B45056"/>
    <w:rsid w:val="00B4509A"/>
    <w:rsid w:val="00B450DF"/>
    <w:rsid w:val="00B450F9"/>
    <w:rsid w:val="00B4510F"/>
    <w:rsid w:val="00B4516B"/>
    <w:rsid w:val="00B4516C"/>
    <w:rsid w:val="00B45295"/>
    <w:rsid w:val="00B452D3"/>
    <w:rsid w:val="00B452E3"/>
    <w:rsid w:val="00B45303"/>
    <w:rsid w:val="00B45337"/>
    <w:rsid w:val="00B455BA"/>
    <w:rsid w:val="00B455E1"/>
    <w:rsid w:val="00B45629"/>
    <w:rsid w:val="00B45672"/>
    <w:rsid w:val="00B45698"/>
    <w:rsid w:val="00B456AA"/>
    <w:rsid w:val="00B45715"/>
    <w:rsid w:val="00B4575E"/>
    <w:rsid w:val="00B458DB"/>
    <w:rsid w:val="00B4593B"/>
    <w:rsid w:val="00B45AC6"/>
    <w:rsid w:val="00B45ACC"/>
    <w:rsid w:val="00B45AF7"/>
    <w:rsid w:val="00B45BE4"/>
    <w:rsid w:val="00B45C48"/>
    <w:rsid w:val="00B45C86"/>
    <w:rsid w:val="00B45CA6"/>
    <w:rsid w:val="00B45E00"/>
    <w:rsid w:val="00B45E47"/>
    <w:rsid w:val="00B45E97"/>
    <w:rsid w:val="00B45EA6"/>
    <w:rsid w:val="00B45EBA"/>
    <w:rsid w:val="00B45EDE"/>
    <w:rsid w:val="00B45FC9"/>
    <w:rsid w:val="00B46006"/>
    <w:rsid w:val="00B4609D"/>
    <w:rsid w:val="00B460C1"/>
    <w:rsid w:val="00B460F1"/>
    <w:rsid w:val="00B46158"/>
    <w:rsid w:val="00B462BC"/>
    <w:rsid w:val="00B462DC"/>
    <w:rsid w:val="00B4638B"/>
    <w:rsid w:val="00B463B4"/>
    <w:rsid w:val="00B46424"/>
    <w:rsid w:val="00B46473"/>
    <w:rsid w:val="00B46577"/>
    <w:rsid w:val="00B46619"/>
    <w:rsid w:val="00B466A3"/>
    <w:rsid w:val="00B466E0"/>
    <w:rsid w:val="00B46775"/>
    <w:rsid w:val="00B46789"/>
    <w:rsid w:val="00B467B1"/>
    <w:rsid w:val="00B46853"/>
    <w:rsid w:val="00B4685E"/>
    <w:rsid w:val="00B46884"/>
    <w:rsid w:val="00B46896"/>
    <w:rsid w:val="00B4698D"/>
    <w:rsid w:val="00B46A00"/>
    <w:rsid w:val="00B46A3D"/>
    <w:rsid w:val="00B46A7B"/>
    <w:rsid w:val="00B46AD8"/>
    <w:rsid w:val="00B46AEC"/>
    <w:rsid w:val="00B46B77"/>
    <w:rsid w:val="00B46B95"/>
    <w:rsid w:val="00B46BCA"/>
    <w:rsid w:val="00B46BE5"/>
    <w:rsid w:val="00B46CF1"/>
    <w:rsid w:val="00B46DF2"/>
    <w:rsid w:val="00B4700B"/>
    <w:rsid w:val="00B470D1"/>
    <w:rsid w:val="00B47185"/>
    <w:rsid w:val="00B47189"/>
    <w:rsid w:val="00B471B7"/>
    <w:rsid w:val="00B471BC"/>
    <w:rsid w:val="00B4724E"/>
    <w:rsid w:val="00B47275"/>
    <w:rsid w:val="00B47279"/>
    <w:rsid w:val="00B472EB"/>
    <w:rsid w:val="00B47326"/>
    <w:rsid w:val="00B4732F"/>
    <w:rsid w:val="00B4733F"/>
    <w:rsid w:val="00B4735F"/>
    <w:rsid w:val="00B474A3"/>
    <w:rsid w:val="00B474B9"/>
    <w:rsid w:val="00B474C8"/>
    <w:rsid w:val="00B47526"/>
    <w:rsid w:val="00B47640"/>
    <w:rsid w:val="00B4765E"/>
    <w:rsid w:val="00B47738"/>
    <w:rsid w:val="00B477A1"/>
    <w:rsid w:val="00B47968"/>
    <w:rsid w:val="00B479AC"/>
    <w:rsid w:val="00B479B3"/>
    <w:rsid w:val="00B479F7"/>
    <w:rsid w:val="00B47A55"/>
    <w:rsid w:val="00B47A9F"/>
    <w:rsid w:val="00B47ABF"/>
    <w:rsid w:val="00B47AEC"/>
    <w:rsid w:val="00B47AF3"/>
    <w:rsid w:val="00B47B56"/>
    <w:rsid w:val="00B47B7C"/>
    <w:rsid w:val="00B47BA2"/>
    <w:rsid w:val="00B47BDC"/>
    <w:rsid w:val="00B47CFB"/>
    <w:rsid w:val="00B47D1A"/>
    <w:rsid w:val="00B47DD5"/>
    <w:rsid w:val="00B47E4E"/>
    <w:rsid w:val="00B47ED1"/>
    <w:rsid w:val="00B47F63"/>
    <w:rsid w:val="00B47FF2"/>
    <w:rsid w:val="00B5007B"/>
    <w:rsid w:val="00B5016A"/>
    <w:rsid w:val="00B501A9"/>
    <w:rsid w:val="00B501F1"/>
    <w:rsid w:val="00B50257"/>
    <w:rsid w:val="00B50591"/>
    <w:rsid w:val="00B50627"/>
    <w:rsid w:val="00B506D3"/>
    <w:rsid w:val="00B507B7"/>
    <w:rsid w:val="00B507BB"/>
    <w:rsid w:val="00B50885"/>
    <w:rsid w:val="00B5090C"/>
    <w:rsid w:val="00B50942"/>
    <w:rsid w:val="00B509A6"/>
    <w:rsid w:val="00B509D6"/>
    <w:rsid w:val="00B509DB"/>
    <w:rsid w:val="00B50A1C"/>
    <w:rsid w:val="00B50A71"/>
    <w:rsid w:val="00B50AF1"/>
    <w:rsid w:val="00B50B35"/>
    <w:rsid w:val="00B50B44"/>
    <w:rsid w:val="00B50BD6"/>
    <w:rsid w:val="00B50C33"/>
    <w:rsid w:val="00B50CF5"/>
    <w:rsid w:val="00B50E23"/>
    <w:rsid w:val="00B50E6E"/>
    <w:rsid w:val="00B50ECB"/>
    <w:rsid w:val="00B50EDD"/>
    <w:rsid w:val="00B50F7A"/>
    <w:rsid w:val="00B50F9A"/>
    <w:rsid w:val="00B50FB2"/>
    <w:rsid w:val="00B510B0"/>
    <w:rsid w:val="00B51138"/>
    <w:rsid w:val="00B51162"/>
    <w:rsid w:val="00B5131F"/>
    <w:rsid w:val="00B51335"/>
    <w:rsid w:val="00B513B0"/>
    <w:rsid w:val="00B51647"/>
    <w:rsid w:val="00B5170D"/>
    <w:rsid w:val="00B51738"/>
    <w:rsid w:val="00B5174F"/>
    <w:rsid w:val="00B517B3"/>
    <w:rsid w:val="00B517BB"/>
    <w:rsid w:val="00B51843"/>
    <w:rsid w:val="00B51850"/>
    <w:rsid w:val="00B518A9"/>
    <w:rsid w:val="00B51936"/>
    <w:rsid w:val="00B51976"/>
    <w:rsid w:val="00B519AF"/>
    <w:rsid w:val="00B51B09"/>
    <w:rsid w:val="00B51B25"/>
    <w:rsid w:val="00B51B73"/>
    <w:rsid w:val="00B51C18"/>
    <w:rsid w:val="00B51CDF"/>
    <w:rsid w:val="00B51D01"/>
    <w:rsid w:val="00B51D0E"/>
    <w:rsid w:val="00B51D67"/>
    <w:rsid w:val="00B51DD9"/>
    <w:rsid w:val="00B51E67"/>
    <w:rsid w:val="00B51E79"/>
    <w:rsid w:val="00B51FC5"/>
    <w:rsid w:val="00B52052"/>
    <w:rsid w:val="00B52056"/>
    <w:rsid w:val="00B520FA"/>
    <w:rsid w:val="00B52139"/>
    <w:rsid w:val="00B5213E"/>
    <w:rsid w:val="00B52144"/>
    <w:rsid w:val="00B5216A"/>
    <w:rsid w:val="00B52199"/>
    <w:rsid w:val="00B521F5"/>
    <w:rsid w:val="00B52219"/>
    <w:rsid w:val="00B52228"/>
    <w:rsid w:val="00B52235"/>
    <w:rsid w:val="00B522A6"/>
    <w:rsid w:val="00B523AE"/>
    <w:rsid w:val="00B5240A"/>
    <w:rsid w:val="00B52471"/>
    <w:rsid w:val="00B524FA"/>
    <w:rsid w:val="00B525E4"/>
    <w:rsid w:val="00B52606"/>
    <w:rsid w:val="00B5265E"/>
    <w:rsid w:val="00B5277B"/>
    <w:rsid w:val="00B5278D"/>
    <w:rsid w:val="00B527EA"/>
    <w:rsid w:val="00B52816"/>
    <w:rsid w:val="00B52820"/>
    <w:rsid w:val="00B528DF"/>
    <w:rsid w:val="00B528E1"/>
    <w:rsid w:val="00B5290B"/>
    <w:rsid w:val="00B529BB"/>
    <w:rsid w:val="00B52A0E"/>
    <w:rsid w:val="00B52ABC"/>
    <w:rsid w:val="00B52B6C"/>
    <w:rsid w:val="00B52B8A"/>
    <w:rsid w:val="00B52C28"/>
    <w:rsid w:val="00B52C33"/>
    <w:rsid w:val="00B52C37"/>
    <w:rsid w:val="00B52C77"/>
    <w:rsid w:val="00B52CE0"/>
    <w:rsid w:val="00B52CE3"/>
    <w:rsid w:val="00B52D04"/>
    <w:rsid w:val="00B52D77"/>
    <w:rsid w:val="00B52DFC"/>
    <w:rsid w:val="00B52E62"/>
    <w:rsid w:val="00B52E9A"/>
    <w:rsid w:val="00B52F96"/>
    <w:rsid w:val="00B52FBD"/>
    <w:rsid w:val="00B53150"/>
    <w:rsid w:val="00B531A6"/>
    <w:rsid w:val="00B531F2"/>
    <w:rsid w:val="00B5327C"/>
    <w:rsid w:val="00B5332C"/>
    <w:rsid w:val="00B5333F"/>
    <w:rsid w:val="00B534CD"/>
    <w:rsid w:val="00B5351D"/>
    <w:rsid w:val="00B53541"/>
    <w:rsid w:val="00B5358F"/>
    <w:rsid w:val="00B535BB"/>
    <w:rsid w:val="00B53653"/>
    <w:rsid w:val="00B53705"/>
    <w:rsid w:val="00B53789"/>
    <w:rsid w:val="00B537D7"/>
    <w:rsid w:val="00B53870"/>
    <w:rsid w:val="00B53887"/>
    <w:rsid w:val="00B5391D"/>
    <w:rsid w:val="00B539E3"/>
    <w:rsid w:val="00B53AAD"/>
    <w:rsid w:val="00B53AC0"/>
    <w:rsid w:val="00B53BE4"/>
    <w:rsid w:val="00B53C24"/>
    <w:rsid w:val="00B53C33"/>
    <w:rsid w:val="00B53C85"/>
    <w:rsid w:val="00B53C9F"/>
    <w:rsid w:val="00B53D9D"/>
    <w:rsid w:val="00B53E39"/>
    <w:rsid w:val="00B53E3B"/>
    <w:rsid w:val="00B53E78"/>
    <w:rsid w:val="00B54054"/>
    <w:rsid w:val="00B540D2"/>
    <w:rsid w:val="00B540D6"/>
    <w:rsid w:val="00B540E3"/>
    <w:rsid w:val="00B5420D"/>
    <w:rsid w:val="00B54273"/>
    <w:rsid w:val="00B542A5"/>
    <w:rsid w:val="00B542DB"/>
    <w:rsid w:val="00B543C6"/>
    <w:rsid w:val="00B5447C"/>
    <w:rsid w:val="00B54517"/>
    <w:rsid w:val="00B545A8"/>
    <w:rsid w:val="00B54627"/>
    <w:rsid w:val="00B54637"/>
    <w:rsid w:val="00B546F2"/>
    <w:rsid w:val="00B54721"/>
    <w:rsid w:val="00B547AD"/>
    <w:rsid w:val="00B547EE"/>
    <w:rsid w:val="00B5482D"/>
    <w:rsid w:val="00B548A2"/>
    <w:rsid w:val="00B548EF"/>
    <w:rsid w:val="00B5490C"/>
    <w:rsid w:val="00B5490F"/>
    <w:rsid w:val="00B549ED"/>
    <w:rsid w:val="00B54A01"/>
    <w:rsid w:val="00B54B23"/>
    <w:rsid w:val="00B54B88"/>
    <w:rsid w:val="00B54BD7"/>
    <w:rsid w:val="00B54C80"/>
    <w:rsid w:val="00B54DC7"/>
    <w:rsid w:val="00B54E2A"/>
    <w:rsid w:val="00B54E96"/>
    <w:rsid w:val="00B54F91"/>
    <w:rsid w:val="00B54FBF"/>
    <w:rsid w:val="00B54FD0"/>
    <w:rsid w:val="00B5502B"/>
    <w:rsid w:val="00B5502D"/>
    <w:rsid w:val="00B5504E"/>
    <w:rsid w:val="00B5508E"/>
    <w:rsid w:val="00B55145"/>
    <w:rsid w:val="00B55160"/>
    <w:rsid w:val="00B5517C"/>
    <w:rsid w:val="00B552B9"/>
    <w:rsid w:val="00B55395"/>
    <w:rsid w:val="00B554C8"/>
    <w:rsid w:val="00B5558A"/>
    <w:rsid w:val="00B555EA"/>
    <w:rsid w:val="00B555F8"/>
    <w:rsid w:val="00B55607"/>
    <w:rsid w:val="00B55678"/>
    <w:rsid w:val="00B55736"/>
    <w:rsid w:val="00B55805"/>
    <w:rsid w:val="00B5581D"/>
    <w:rsid w:val="00B5582A"/>
    <w:rsid w:val="00B558BA"/>
    <w:rsid w:val="00B558FB"/>
    <w:rsid w:val="00B5598A"/>
    <w:rsid w:val="00B559E8"/>
    <w:rsid w:val="00B55A57"/>
    <w:rsid w:val="00B55A92"/>
    <w:rsid w:val="00B55A93"/>
    <w:rsid w:val="00B55B04"/>
    <w:rsid w:val="00B55BE2"/>
    <w:rsid w:val="00B55C0C"/>
    <w:rsid w:val="00B55C43"/>
    <w:rsid w:val="00B55CB1"/>
    <w:rsid w:val="00B55D05"/>
    <w:rsid w:val="00B55EAE"/>
    <w:rsid w:val="00B55EED"/>
    <w:rsid w:val="00B55F49"/>
    <w:rsid w:val="00B55F94"/>
    <w:rsid w:val="00B55FC7"/>
    <w:rsid w:val="00B56089"/>
    <w:rsid w:val="00B56097"/>
    <w:rsid w:val="00B56153"/>
    <w:rsid w:val="00B561D6"/>
    <w:rsid w:val="00B56211"/>
    <w:rsid w:val="00B56256"/>
    <w:rsid w:val="00B5625B"/>
    <w:rsid w:val="00B5631A"/>
    <w:rsid w:val="00B56349"/>
    <w:rsid w:val="00B563B9"/>
    <w:rsid w:val="00B56402"/>
    <w:rsid w:val="00B5640D"/>
    <w:rsid w:val="00B56476"/>
    <w:rsid w:val="00B564CC"/>
    <w:rsid w:val="00B56595"/>
    <w:rsid w:val="00B565A9"/>
    <w:rsid w:val="00B565AC"/>
    <w:rsid w:val="00B56606"/>
    <w:rsid w:val="00B5660C"/>
    <w:rsid w:val="00B56668"/>
    <w:rsid w:val="00B566A4"/>
    <w:rsid w:val="00B566D9"/>
    <w:rsid w:val="00B56701"/>
    <w:rsid w:val="00B5688B"/>
    <w:rsid w:val="00B568B1"/>
    <w:rsid w:val="00B568B3"/>
    <w:rsid w:val="00B568C8"/>
    <w:rsid w:val="00B568D8"/>
    <w:rsid w:val="00B568F6"/>
    <w:rsid w:val="00B56902"/>
    <w:rsid w:val="00B56914"/>
    <w:rsid w:val="00B56923"/>
    <w:rsid w:val="00B56952"/>
    <w:rsid w:val="00B569A5"/>
    <w:rsid w:val="00B569B0"/>
    <w:rsid w:val="00B569B6"/>
    <w:rsid w:val="00B569DC"/>
    <w:rsid w:val="00B56B03"/>
    <w:rsid w:val="00B56BFA"/>
    <w:rsid w:val="00B56C16"/>
    <w:rsid w:val="00B56C4F"/>
    <w:rsid w:val="00B56C7F"/>
    <w:rsid w:val="00B56D02"/>
    <w:rsid w:val="00B56D1F"/>
    <w:rsid w:val="00B56DB0"/>
    <w:rsid w:val="00B56E00"/>
    <w:rsid w:val="00B56E5C"/>
    <w:rsid w:val="00B56EC1"/>
    <w:rsid w:val="00B56EF2"/>
    <w:rsid w:val="00B56FE0"/>
    <w:rsid w:val="00B570AB"/>
    <w:rsid w:val="00B5714B"/>
    <w:rsid w:val="00B57169"/>
    <w:rsid w:val="00B5723A"/>
    <w:rsid w:val="00B57244"/>
    <w:rsid w:val="00B5732A"/>
    <w:rsid w:val="00B573C1"/>
    <w:rsid w:val="00B573D3"/>
    <w:rsid w:val="00B575DB"/>
    <w:rsid w:val="00B576CB"/>
    <w:rsid w:val="00B57701"/>
    <w:rsid w:val="00B577F7"/>
    <w:rsid w:val="00B577FE"/>
    <w:rsid w:val="00B57850"/>
    <w:rsid w:val="00B5785C"/>
    <w:rsid w:val="00B57873"/>
    <w:rsid w:val="00B57915"/>
    <w:rsid w:val="00B57A93"/>
    <w:rsid w:val="00B57AC0"/>
    <w:rsid w:val="00B57ACE"/>
    <w:rsid w:val="00B57BDF"/>
    <w:rsid w:val="00B57C61"/>
    <w:rsid w:val="00B57D63"/>
    <w:rsid w:val="00B57D94"/>
    <w:rsid w:val="00B57DEE"/>
    <w:rsid w:val="00B57F4D"/>
    <w:rsid w:val="00B57FCC"/>
    <w:rsid w:val="00B6007E"/>
    <w:rsid w:val="00B600A6"/>
    <w:rsid w:val="00B600CD"/>
    <w:rsid w:val="00B601BA"/>
    <w:rsid w:val="00B602FC"/>
    <w:rsid w:val="00B60321"/>
    <w:rsid w:val="00B603DC"/>
    <w:rsid w:val="00B603E9"/>
    <w:rsid w:val="00B60446"/>
    <w:rsid w:val="00B6044E"/>
    <w:rsid w:val="00B6048C"/>
    <w:rsid w:val="00B604B0"/>
    <w:rsid w:val="00B6066F"/>
    <w:rsid w:val="00B606E8"/>
    <w:rsid w:val="00B607F9"/>
    <w:rsid w:val="00B60826"/>
    <w:rsid w:val="00B60946"/>
    <w:rsid w:val="00B6098E"/>
    <w:rsid w:val="00B60A12"/>
    <w:rsid w:val="00B60A78"/>
    <w:rsid w:val="00B60AB6"/>
    <w:rsid w:val="00B60ACE"/>
    <w:rsid w:val="00B60ADB"/>
    <w:rsid w:val="00B60B1B"/>
    <w:rsid w:val="00B60B55"/>
    <w:rsid w:val="00B60C0C"/>
    <w:rsid w:val="00B60C87"/>
    <w:rsid w:val="00B60D90"/>
    <w:rsid w:val="00B61019"/>
    <w:rsid w:val="00B6102F"/>
    <w:rsid w:val="00B610BC"/>
    <w:rsid w:val="00B610C2"/>
    <w:rsid w:val="00B61161"/>
    <w:rsid w:val="00B6119C"/>
    <w:rsid w:val="00B611B7"/>
    <w:rsid w:val="00B61247"/>
    <w:rsid w:val="00B612B6"/>
    <w:rsid w:val="00B612FE"/>
    <w:rsid w:val="00B6137A"/>
    <w:rsid w:val="00B613DC"/>
    <w:rsid w:val="00B6149B"/>
    <w:rsid w:val="00B61539"/>
    <w:rsid w:val="00B61550"/>
    <w:rsid w:val="00B61555"/>
    <w:rsid w:val="00B6155C"/>
    <w:rsid w:val="00B61566"/>
    <w:rsid w:val="00B615E5"/>
    <w:rsid w:val="00B616EB"/>
    <w:rsid w:val="00B6175C"/>
    <w:rsid w:val="00B617D2"/>
    <w:rsid w:val="00B617E8"/>
    <w:rsid w:val="00B6180E"/>
    <w:rsid w:val="00B618B3"/>
    <w:rsid w:val="00B618F7"/>
    <w:rsid w:val="00B61AEF"/>
    <w:rsid w:val="00B61BA5"/>
    <w:rsid w:val="00B61C55"/>
    <w:rsid w:val="00B61C65"/>
    <w:rsid w:val="00B61CE0"/>
    <w:rsid w:val="00B61D8F"/>
    <w:rsid w:val="00B61DE7"/>
    <w:rsid w:val="00B61E03"/>
    <w:rsid w:val="00B61E5A"/>
    <w:rsid w:val="00B61EBE"/>
    <w:rsid w:val="00B61F26"/>
    <w:rsid w:val="00B61F2A"/>
    <w:rsid w:val="00B61F41"/>
    <w:rsid w:val="00B620BE"/>
    <w:rsid w:val="00B62201"/>
    <w:rsid w:val="00B6225D"/>
    <w:rsid w:val="00B622AB"/>
    <w:rsid w:val="00B622C2"/>
    <w:rsid w:val="00B622C7"/>
    <w:rsid w:val="00B622ED"/>
    <w:rsid w:val="00B623F2"/>
    <w:rsid w:val="00B6241D"/>
    <w:rsid w:val="00B62484"/>
    <w:rsid w:val="00B62494"/>
    <w:rsid w:val="00B624DD"/>
    <w:rsid w:val="00B62512"/>
    <w:rsid w:val="00B6252D"/>
    <w:rsid w:val="00B625EF"/>
    <w:rsid w:val="00B625F3"/>
    <w:rsid w:val="00B6264B"/>
    <w:rsid w:val="00B627F2"/>
    <w:rsid w:val="00B62837"/>
    <w:rsid w:val="00B62995"/>
    <w:rsid w:val="00B62999"/>
    <w:rsid w:val="00B62A70"/>
    <w:rsid w:val="00B62B0D"/>
    <w:rsid w:val="00B62B29"/>
    <w:rsid w:val="00B62B33"/>
    <w:rsid w:val="00B62B80"/>
    <w:rsid w:val="00B62C46"/>
    <w:rsid w:val="00B62D2B"/>
    <w:rsid w:val="00B62EC1"/>
    <w:rsid w:val="00B63002"/>
    <w:rsid w:val="00B6302D"/>
    <w:rsid w:val="00B630C2"/>
    <w:rsid w:val="00B630ED"/>
    <w:rsid w:val="00B630F5"/>
    <w:rsid w:val="00B63221"/>
    <w:rsid w:val="00B6334A"/>
    <w:rsid w:val="00B63351"/>
    <w:rsid w:val="00B633D0"/>
    <w:rsid w:val="00B6346F"/>
    <w:rsid w:val="00B634AC"/>
    <w:rsid w:val="00B635EA"/>
    <w:rsid w:val="00B63613"/>
    <w:rsid w:val="00B63622"/>
    <w:rsid w:val="00B6366F"/>
    <w:rsid w:val="00B6368F"/>
    <w:rsid w:val="00B636B2"/>
    <w:rsid w:val="00B636EC"/>
    <w:rsid w:val="00B637DD"/>
    <w:rsid w:val="00B63838"/>
    <w:rsid w:val="00B6389F"/>
    <w:rsid w:val="00B638A2"/>
    <w:rsid w:val="00B638C9"/>
    <w:rsid w:val="00B638CF"/>
    <w:rsid w:val="00B6397F"/>
    <w:rsid w:val="00B63988"/>
    <w:rsid w:val="00B639A2"/>
    <w:rsid w:val="00B639DE"/>
    <w:rsid w:val="00B63A2B"/>
    <w:rsid w:val="00B63A2E"/>
    <w:rsid w:val="00B63AD6"/>
    <w:rsid w:val="00B63B5C"/>
    <w:rsid w:val="00B63C48"/>
    <w:rsid w:val="00B63D3B"/>
    <w:rsid w:val="00B63D5D"/>
    <w:rsid w:val="00B63DA8"/>
    <w:rsid w:val="00B63DC1"/>
    <w:rsid w:val="00B63DDA"/>
    <w:rsid w:val="00B63E27"/>
    <w:rsid w:val="00B63ED7"/>
    <w:rsid w:val="00B63F30"/>
    <w:rsid w:val="00B64036"/>
    <w:rsid w:val="00B6408E"/>
    <w:rsid w:val="00B64098"/>
    <w:rsid w:val="00B6415D"/>
    <w:rsid w:val="00B6418B"/>
    <w:rsid w:val="00B641DF"/>
    <w:rsid w:val="00B64211"/>
    <w:rsid w:val="00B64291"/>
    <w:rsid w:val="00B64379"/>
    <w:rsid w:val="00B64398"/>
    <w:rsid w:val="00B643F4"/>
    <w:rsid w:val="00B643FB"/>
    <w:rsid w:val="00B644E8"/>
    <w:rsid w:val="00B64528"/>
    <w:rsid w:val="00B64621"/>
    <w:rsid w:val="00B64682"/>
    <w:rsid w:val="00B6469E"/>
    <w:rsid w:val="00B646F0"/>
    <w:rsid w:val="00B64713"/>
    <w:rsid w:val="00B6472F"/>
    <w:rsid w:val="00B648E9"/>
    <w:rsid w:val="00B649A7"/>
    <w:rsid w:val="00B64B72"/>
    <w:rsid w:val="00B64B78"/>
    <w:rsid w:val="00B64D60"/>
    <w:rsid w:val="00B64D7A"/>
    <w:rsid w:val="00B64DF2"/>
    <w:rsid w:val="00B64EE6"/>
    <w:rsid w:val="00B64EF6"/>
    <w:rsid w:val="00B64F26"/>
    <w:rsid w:val="00B64F44"/>
    <w:rsid w:val="00B64F79"/>
    <w:rsid w:val="00B65019"/>
    <w:rsid w:val="00B650A0"/>
    <w:rsid w:val="00B65347"/>
    <w:rsid w:val="00B65390"/>
    <w:rsid w:val="00B653DF"/>
    <w:rsid w:val="00B653FD"/>
    <w:rsid w:val="00B65487"/>
    <w:rsid w:val="00B65541"/>
    <w:rsid w:val="00B6554A"/>
    <w:rsid w:val="00B65570"/>
    <w:rsid w:val="00B655D5"/>
    <w:rsid w:val="00B65759"/>
    <w:rsid w:val="00B6589C"/>
    <w:rsid w:val="00B659E9"/>
    <w:rsid w:val="00B65A0A"/>
    <w:rsid w:val="00B65AA6"/>
    <w:rsid w:val="00B65BBF"/>
    <w:rsid w:val="00B65BF1"/>
    <w:rsid w:val="00B65C6F"/>
    <w:rsid w:val="00B65CE9"/>
    <w:rsid w:val="00B65DE1"/>
    <w:rsid w:val="00B65DFD"/>
    <w:rsid w:val="00B65DFE"/>
    <w:rsid w:val="00B65E59"/>
    <w:rsid w:val="00B66065"/>
    <w:rsid w:val="00B660E1"/>
    <w:rsid w:val="00B6612F"/>
    <w:rsid w:val="00B6614F"/>
    <w:rsid w:val="00B66212"/>
    <w:rsid w:val="00B66296"/>
    <w:rsid w:val="00B662B0"/>
    <w:rsid w:val="00B66375"/>
    <w:rsid w:val="00B66389"/>
    <w:rsid w:val="00B6646E"/>
    <w:rsid w:val="00B66550"/>
    <w:rsid w:val="00B665FD"/>
    <w:rsid w:val="00B665FF"/>
    <w:rsid w:val="00B66633"/>
    <w:rsid w:val="00B66698"/>
    <w:rsid w:val="00B666DD"/>
    <w:rsid w:val="00B66776"/>
    <w:rsid w:val="00B66783"/>
    <w:rsid w:val="00B667EE"/>
    <w:rsid w:val="00B6687D"/>
    <w:rsid w:val="00B66899"/>
    <w:rsid w:val="00B668B7"/>
    <w:rsid w:val="00B668D5"/>
    <w:rsid w:val="00B66955"/>
    <w:rsid w:val="00B66982"/>
    <w:rsid w:val="00B66A53"/>
    <w:rsid w:val="00B66A69"/>
    <w:rsid w:val="00B66AAA"/>
    <w:rsid w:val="00B66ACA"/>
    <w:rsid w:val="00B66B46"/>
    <w:rsid w:val="00B66B60"/>
    <w:rsid w:val="00B66B7B"/>
    <w:rsid w:val="00B66B8D"/>
    <w:rsid w:val="00B66BB0"/>
    <w:rsid w:val="00B66C78"/>
    <w:rsid w:val="00B66D0B"/>
    <w:rsid w:val="00B66DF5"/>
    <w:rsid w:val="00B66E13"/>
    <w:rsid w:val="00B66FFC"/>
    <w:rsid w:val="00B67007"/>
    <w:rsid w:val="00B67112"/>
    <w:rsid w:val="00B67193"/>
    <w:rsid w:val="00B67217"/>
    <w:rsid w:val="00B67229"/>
    <w:rsid w:val="00B67264"/>
    <w:rsid w:val="00B6726F"/>
    <w:rsid w:val="00B67346"/>
    <w:rsid w:val="00B6738D"/>
    <w:rsid w:val="00B67524"/>
    <w:rsid w:val="00B6761A"/>
    <w:rsid w:val="00B67623"/>
    <w:rsid w:val="00B67633"/>
    <w:rsid w:val="00B676CF"/>
    <w:rsid w:val="00B67749"/>
    <w:rsid w:val="00B677DA"/>
    <w:rsid w:val="00B6782A"/>
    <w:rsid w:val="00B678AF"/>
    <w:rsid w:val="00B678E5"/>
    <w:rsid w:val="00B6791C"/>
    <w:rsid w:val="00B6792D"/>
    <w:rsid w:val="00B67A11"/>
    <w:rsid w:val="00B67A33"/>
    <w:rsid w:val="00B67AAD"/>
    <w:rsid w:val="00B67B1C"/>
    <w:rsid w:val="00B67CCB"/>
    <w:rsid w:val="00B67CE8"/>
    <w:rsid w:val="00B67D16"/>
    <w:rsid w:val="00B67D3F"/>
    <w:rsid w:val="00B67DA0"/>
    <w:rsid w:val="00B67E39"/>
    <w:rsid w:val="00B67EAE"/>
    <w:rsid w:val="00B67FD0"/>
    <w:rsid w:val="00B70035"/>
    <w:rsid w:val="00B7007A"/>
    <w:rsid w:val="00B70105"/>
    <w:rsid w:val="00B70186"/>
    <w:rsid w:val="00B701C3"/>
    <w:rsid w:val="00B701FB"/>
    <w:rsid w:val="00B702AB"/>
    <w:rsid w:val="00B70308"/>
    <w:rsid w:val="00B70327"/>
    <w:rsid w:val="00B704D0"/>
    <w:rsid w:val="00B704F3"/>
    <w:rsid w:val="00B705CC"/>
    <w:rsid w:val="00B705DA"/>
    <w:rsid w:val="00B7060E"/>
    <w:rsid w:val="00B7064C"/>
    <w:rsid w:val="00B70785"/>
    <w:rsid w:val="00B70813"/>
    <w:rsid w:val="00B70818"/>
    <w:rsid w:val="00B7089F"/>
    <w:rsid w:val="00B708DA"/>
    <w:rsid w:val="00B70962"/>
    <w:rsid w:val="00B70A67"/>
    <w:rsid w:val="00B70ACC"/>
    <w:rsid w:val="00B70B90"/>
    <w:rsid w:val="00B70BD2"/>
    <w:rsid w:val="00B70D93"/>
    <w:rsid w:val="00B70E4D"/>
    <w:rsid w:val="00B70E56"/>
    <w:rsid w:val="00B70ECB"/>
    <w:rsid w:val="00B70F1E"/>
    <w:rsid w:val="00B70F40"/>
    <w:rsid w:val="00B71050"/>
    <w:rsid w:val="00B71053"/>
    <w:rsid w:val="00B710F8"/>
    <w:rsid w:val="00B711DE"/>
    <w:rsid w:val="00B71227"/>
    <w:rsid w:val="00B71271"/>
    <w:rsid w:val="00B71349"/>
    <w:rsid w:val="00B71423"/>
    <w:rsid w:val="00B7142C"/>
    <w:rsid w:val="00B714EF"/>
    <w:rsid w:val="00B7152D"/>
    <w:rsid w:val="00B71546"/>
    <w:rsid w:val="00B715F2"/>
    <w:rsid w:val="00B71650"/>
    <w:rsid w:val="00B71691"/>
    <w:rsid w:val="00B716B7"/>
    <w:rsid w:val="00B7178B"/>
    <w:rsid w:val="00B717C1"/>
    <w:rsid w:val="00B71882"/>
    <w:rsid w:val="00B718D4"/>
    <w:rsid w:val="00B71961"/>
    <w:rsid w:val="00B71969"/>
    <w:rsid w:val="00B719B2"/>
    <w:rsid w:val="00B719D7"/>
    <w:rsid w:val="00B71B07"/>
    <w:rsid w:val="00B71BC0"/>
    <w:rsid w:val="00B71E48"/>
    <w:rsid w:val="00B71ECF"/>
    <w:rsid w:val="00B71EDE"/>
    <w:rsid w:val="00B7204F"/>
    <w:rsid w:val="00B720D0"/>
    <w:rsid w:val="00B7211E"/>
    <w:rsid w:val="00B721DC"/>
    <w:rsid w:val="00B721F3"/>
    <w:rsid w:val="00B72219"/>
    <w:rsid w:val="00B72282"/>
    <w:rsid w:val="00B722A7"/>
    <w:rsid w:val="00B722F9"/>
    <w:rsid w:val="00B72358"/>
    <w:rsid w:val="00B72434"/>
    <w:rsid w:val="00B725DF"/>
    <w:rsid w:val="00B7269C"/>
    <w:rsid w:val="00B72729"/>
    <w:rsid w:val="00B72736"/>
    <w:rsid w:val="00B72755"/>
    <w:rsid w:val="00B727AC"/>
    <w:rsid w:val="00B729B1"/>
    <w:rsid w:val="00B72A14"/>
    <w:rsid w:val="00B72A7A"/>
    <w:rsid w:val="00B72AF0"/>
    <w:rsid w:val="00B72B42"/>
    <w:rsid w:val="00B72B43"/>
    <w:rsid w:val="00B72CA7"/>
    <w:rsid w:val="00B72CE8"/>
    <w:rsid w:val="00B72D7E"/>
    <w:rsid w:val="00B72E6A"/>
    <w:rsid w:val="00B72E78"/>
    <w:rsid w:val="00B72E90"/>
    <w:rsid w:val="00B72EB3"/>
    <w:rsid w:val="00B7307C"/>
    <w:rsid w:val="00B730BF"/>
    <w:rsid w:val="00B730E3"/>
    <w:rsid w:val="00B731C6"/>
    <w:rsid w:val="00B731D0"/>
    <w:rsid w:val="00B73202"/>
    <w:rsid w:val="00B7340B"/>
    <w:rsid w:val="00B73419"/>
    <w:rsid w:val="00B7345A"/>
    <w:rsid w:val="00B735E5"/>
    <w:rsid w:val="00B7365F"/>
    <w:rsid w:val="00B73689"/>
    <w:rsid w:val="00B7374E"/>
    <w:rsid w:val="00B737EB"/>
    <w:rsid w:val="00B7380D"/>
    <w:rsid w:val="00B738D5"/>
    <w:rsid w:val="00B738F3"/>
    <w:rsid w:val="00B738F9"/>
    <w:rsid w:val="00B7393F"/>
    <w:rsid w:val="00B73B09"/>
    <w:rsid w:val="00B73B3B"/>
    <w:rsid w:val="00B73B60"/>
    <w:rsid w:val="00B73BD5"/>
    <w:rsid w:val="00B73BE3"/>
    <w:rsid w:val="00B73C26"/>
    <w:rsid w:val="00B73C49"/>
    <w:rsid w:val="00B73C5C"/>
    <w:rsid w:val="00B73C6D"/>
    <w:rsid w:val="00B74032"/>
    <w:rsid w:val="00B74048"/>
    <w:rsid w:val="00B7405E"/>
    <w:rsid w:val="00B74199"/>
    <w:rsid w:val="00B74338"/>
    <w:rsid w:val="00B743CE"/>
    <w:rsid w:val="00B743CF"/>
    <w:rsid w:val="00B743D5"/>
    <w:rsid w:val="00B74444"/>
    <w:rsid w:val="00B7448D"/>
    <w:rsid w:val="00B744C4"/>
    <w:rsid w:val="00B7453D"/>
    <w:rsid w:val="00B746CC"/>
    <w:rsid w:val="00B746EA"/>
    <w:rsid w:val="00B74757"/>
    <w:rsid w:val="00B74806"/>
    <w:rsid w:val="00B748CC"/>
    <w:rsid w:val="00B748DD"/>
    <w:rsid w:val="00B74905"/>
    <w:rsid w:val="00B7490D"/>
    <w:rsid w:val="00B7490E"/>
    <w:rsid w:val="00B74962"/>
    <w:rsid w:val="00B74963"/>
    <w:rsid w:val="00B749C5"/>
    <w:rsid w:val="00B74A1E"/>
    <w:rsid w:val="00B74A47"/>
    <w:rsid w:val="00B74A5C"/>
    <w:rsid w:val="00B74B03"/>
    <w:rsid w:val="00B74BC9"/>
    <w:rsid w:val="00B75033"/>
    <w:rsid w:val="00B7503C"/>
    <w:rsid w:val="00B75096"/>
    <w:rsid w:val="00B750C5"/>
    <w:rsid w:val="00B750F7"/>
    <w:rsid w:val="00B75126"/>
    <w:rsid w:val="00B7522D"/>
    <w:rsid w:val="00B75275"/>
    <w:rsid w:val="00B752DE"/>
    <w:rsid w:val="00B75342"/>
    <w:rsid w:val="00B75421"/>
    <w:rsid w:val="00B754C7"/>
    <w:rsid w:val="00B754CA"/>
    <w:rsid w:val="00B754DF"/>
    <w:rsid w:val="00B754EA"/>
    <w:rsid w:val="00B7558C"/>
    <w:rsid w:val="00B755FE"/>
    <w:rsid w:val="00B7562F"/>
    <w:rsid w:val="00B75696"/>
    <w:rsid w:val="00B756DC"/>
    <w:rsid w:val="00B7572A"/>
    <w:rsid w:val="00B75811"/>
    <w:rsid w:val="00B75855"/>
    <w:rsid w:val="00B75897"/>
    <w:rsid w:val="00B758AA"/>
    <w:rsid w:val="00B758AD"/>
    <w:rsid w:val="00B758F2"/>
    <w:rsid w:val="00B75B3E"/>
    <w:rsid w:val="00B75BBB"/>
    <w:rsid w:val="00B75BCC"/>
    <w:rsid w:val="00B75C07"/>
    <w:rsid w:val="00B75C56"/>
    <w:rsid w:val="00B75D89"/>
    <w:rsid w:val="00B75EAD"/>
    <w:rsid w:val="00B75F0C"/>
    <w:rsid w:val="00B75F13"/>
    <w:rsid w:val="00B75F72"/>
    <w:rsid w:val="00B75FC0"/>
    <w:rsid w:val="00B75FCE"/>
    <w:rsid w:val="00B7600C"/>
    <w:rsid w:val="00B7602B"/>
    <w:rsid w:val="00B760FE"/>
    <w:rsid w:val="00B76126"/>
    <w:rsid w:val="00B761D7"/>
    <w:rsid w:val="00B761E7"/>
    <w:rsid w:val="00B7629F"/>
    <w:rsid w:val="00B76349"/>
    <w:rsid w:val="00B763F6"/>
    <w:rsid w:val="00B76423"/>
    <w:rsid w:val="00B76430"/>
    <w:rsid w:val="00B76436"/>
    <w:rsid w:val="00B764C1"/>
    <w:rsid w:val="00B765CE"/>
    <w:rsid w:val="00B766BC"/>
    <w:rsid w:val="00B767DE"/>
    <w:rsid w:val="00B7682A"/>
    <w:rsid w:val="00B7684F"/>
    <w:rsid w:val="00B7685A"/>
    <w:rsid w:val="00B768F6"/>
    <w:rsid w:val="00B7693B"/>
    <w:rsid w:val="00B769E4"/>
    <w:rsid w:val="00B76A46"/>
    <w:rsid w:val="00B76ACF"/>
    <w:rsid w:val="00B76AE8"/>
    <w:rsid w:val="00B76B29"/>
    <w:rsid w:val="00B76B8A"/>
    <w:rsid w:val="00B76C3F"/>
    <w:rsid w:val="00B76C89"/>
    <w:rsid w:val="00B76CDB"/>
    <w:rsid w:val="00B76D11"/>
    <w:rsid w:val="00B76D51"/>
    <w:rsid w:val="00B76D57"/>
    <w:rsid w:val="00B76D78"/>
    <w:rsid w:val="00B76DEE"/>
    <w:rsid w:val="00B76E14"/>
    <w:rsid w:val="00B76E15"/>
    <w:rsid w:val="00B76E6B"/>
    <w:rsid w:val="00B76E93"/>
    <w:rsid w:val="00B76FC9"/>
    <w:rsid w:val="00B76FCF"/>
    <w:rsid w:val="00B76FD7"/>
    <w:rsid w:val="00B770D1"/>
    <w:rsid w:val="00B77131"/>
    <w:rsid w:val="00B77355"/>
    <w:rsid w:val="00B773BD"/>
    <w:rsid w:val="00B77420"/>
    <w:rsid w:val="00B77440"/>
    <w:rsid w:val="00B774B4"/>
    <w:rsid w:val="00B77570"/>
    <w:rsid w:val="00B775A9"/>
    <w:rsid w:val="00B775EE"/>
    <w:rsid w:val="00B77636"/>
    <w:rsid w:val="00B7763B"/>
    <w:rsid w:val="00B777E3"/>
    <w:rsid w:val="00B7784B"/>
    <w:rsid w:val="00B778C9"/>
    <w:rsid w:val="00B778CF"/>
    <w:rsid w:val="00B778E8"/>
    <w:rsid w:val="00B77984"/>
    <w:rsid w:val="00B77A03"/>
    <w:rsid w:val="00B77AAE"/>
    <w:rsid w:val="00B77B2F"/>
    <w:rsid w:val="00B77C86"/>
    <w:rsid w:val="00B77C97"/>
    <w:rsid w:val="00B77E11"/>
    <w:rsid w:val="00B77EBB"/>
    <w:rsid w:val="00B77F25"/>
    <w:rsid w:val="00B77F92"/>
    <w:rsid w:val="00B77F96"/>
    <w:rsid w:val="00B80022"/>
    <w:rsid w:val="00B80110"/>
    <w:rsid w:val="00B8013C"/>
    <w:rsid w:val="00B80189"/>
    <w:rsid w:val="00B802B4"/>
    <w:rsid w:val="00B802E3"/>
    <w:rsid w:val="00B80387"/>
    <w:rsid w:val="00B8039E"/>
    <w:rsid w:val="00B803C6"/>
    <w:rsid w:val="00B803D0"/>
    <w:rsid w:val="00B80472"/>
    <w:rsid w:val="00B8050E"/>
    <w:rsid w:val="00B8051B"/>
    <w:rsid w:val="00B80527"/>
    <w:rsid w:val="00B80639"/>
    <w:rsid w:val="00B80661"/>
    <w:rsid w:val="00B8066F"/>
    <w:rsid w:val="00B806C2"/>
    <w:rsid w:val="00B8074C"/>
    <w:rsid w:val="00B80852"/>
    <w:rsid w:val="00B808A1"/>
    <w:rsid w:val="00B808E1"/>
    <w:rsid w:val="00B80B69"/>
    <w:rsid w:val="00B80BB9"/>
    <w:rsid w:val="00B80C0D"/>
    <w:rsid w:val="00B80C54"/>
    <w:rsid w:val="00B80D13"/>
    <w:rsid w:val="00B80D20"/>
    <w:rsid w:val="00B80D2B"/>
    <w:rsid w:val="00B80D39"/>
    <w:rsid w:val="00B80D9B"/>
    <w:rsid w:val="00B80E25"/>
    <w:rsid w:val="00B80E46"/>
    <w:rsid w:val="00B80E57"/>
    <w:rsid w:val="00B80E78"/>
    <w:rsid w:val="00B8102D"/>
    <w:rsid w:val="00B81185"/>
    <w:rsid w:val="00B81226"/>
    <w:rsid w:val="00B813C0"/>
    <w:rsid w:val="00B813E5"/>
    <w:rsid w:val="00B813F4"/>
    <w:rsid w:val="00B8147D"/>
    <w:rsid w:val="00B814D1"/>
    <w:rsid w:val="00B814F9"/>
    <w:rsid w:val="00B815B0"/>
    <w:rsid w:val="00B8161F"/>
    <w:rsid w:val="00B8162A"/>
    <w:rsid w:val="00B816BF"/>
    <w:rsid w:val="00B816FE"/>
    <w:rsid w:val="00B817CF"/>
    <w:rsid w:val="00B81815"/>
    <w:rsid w:val="00B81816"/>
    <w:rsid w:val="00B81858"/>
    <w:rsid w:val="00B818B6"/>
    <w:rsid w:val="00B818CF"/>
    <w:rsid w:val="00B819E2"/>
    <w:rsid w:val="00B81A2E"/>
    <w:rsid w:val="00B81A78"/>
    <w:rsid w:val="00B81ADD"/>
    <w:rsid w:val="00B81B32"/>
    <w:rsid w:val="00B81BBC"/>
    <w:rsid w:val="00B81BE9"/>
    <w:rsid w:val="00B81C0A"/>
    <w:rsid w:val="00B81C85"/>
    <w:rsid w:val="00B81CB3"/>
    <w:rsid w:val="00B81DFC"/>
    <w:rsid w:val="00B81E3E"/>
    <w:rsid w:val="00B81E9B"/>
    <w:rsid w:val="00B81E9C"/>
    <w:rsid w:val="00B81EAA"/>
    <w:rsid w:val="00B81EF7"/>
    <w:rsid w:val="00B81F68"/>
    <w:rsid w:val="00B81F9D"/>
    <w:rsid w:val="00B81FC4"/>
    <w:rsid w:val="00B8207D"/>
    <w:rsid w:val="00B820BB"/>
    <w:rsid w:val="00B820C9"/>
    <w:rsid w:val="00B820F6"/>
    <w:rsid w:val="00B82101"/>
    <w:rsid w:val="00B82192"/>
    <w:rsid w:val="00B82279"/>
    <w:rsid w:val="00B822B8"/>
    <w:rsid w:val="00B8237D"/>
    <w:rsid w:val="00B823C5"/>
    <w:rsid w:val="00B8241B"/>
    <w:rsid w:val="00B8249F"/>
    <w:rsid w:val="00B824A6"/>
    <w:rsid w:val="00B824B7"/>
    <w:rsid w:val="00B824F0"/>
    <w:rsid w:val="00B825E2"/>
    <w:rsid w:val="00B825F6"/>
    <w:rsid w:val="00B825F7"/>
    <w:rsid w:val="00B826A3"/>
    <w:rsid w:val="00B826E9"/>
    <w:rsid w:val="00B8273C"/>
    <w:rsid w:val="00B82745"/>
    <w:rsid w:val="00B827F6"/>
    <w:rsid w:val="00B82858"/>
    <w:rsid w:val="00B82944"/>
    <w:rsid w:val="00B82996"/>
    <w:rsid w:val="00B829A3"/>
    <w:rsid w:val="00B82A48"/>
    <w:rsid w:val="00B82A70"/>
    <w:rsid w:val="00B82BBC"/>
    <w:rsid w:val="00B82BF1"/>
    <w:rsid w:val="00B82C40"/>
    <w:rsid w:val="00B82C96"/>
    <w:rsid w:val="00B82D02"/>
    <w:rsid w:val="00B82D5D"/>
    <w:rsid w:val="00B82DF9"/>
    <w:rsid w:val="00B82F3C"/>
    <w:rsid w:val="00B82F51"/>
    <w:rsid w:val="00B82F64"/>
    <w:rsid w:val="00B83001"/>
    <w:rsid w:val="00B8318B"/>
    <w:rsid w:val="00B831AD"/>
    <w:rsid w:val="00B83401"/>
    <w:rsid w:val="00B83426"/>
    <w:rsid w:val="00B83469"/>
    <w:rsid w:val="00B83484"/>
    <w:rsid w:val="00B83507"/>
    <w:rsid w:val="00B83563"/>
    <w:rsid w:val="00B83632"/>
    <w:rsid w:val="00B83657"/>
    <w:rsid w:val="00B837E5"/>
    <w:rsid w:val="00B83835"/>
    <w:rsid w:val="00B8386F"/>
    <w:rsid w:val="00B83874"/>
    <w:rsid w:val="00B83909"/>
    <w:rsid w:val="00B8394D"/>
    <w:rsid w:val="00B8398F"/>
    <w:rsid w:val="00B83A34"/>
    <w:rsid w:val="00B83A35"/>
    <w:rsid w:val="00B83A6C"/>
    <w:rsid w:val="00B83A98"/>
    <w:rsid w:val="00B83AD8"/>
    <w:rsid w:val="00B83B29"/>
    <w:rsid w:val="00B83B3F"/>
    <w:rsid w:val="00B83BFA"/>
    <w:rsid w:val="00B83C5B"/>
    <w:rsid w:val="00B83CB3"/>
    <w:rsid w:val="00B83CB4"/>
    <w:rsid w:val="00B83CBE"/>
    <w:rsid w:val="00B83CF9"/>
    <w:rsid w:val="00B83D20"/>
    <w:rsid w:val="00B83D8A"/>
    <w:rsid w:val="00B83DAE"/>
    <w:rsid w:val="00B83DD0"/>
    <w:rsid w:val="00B83DED"/>
    <w:rsid w:val="00B83F25"/>
    <w:rsid w:val="00B83F41"/>
    <w:rsid w:val="00B84107"/>
    <w:rsid w:val="00B841A2"/>
    <w:rsid w:val="00B841CC"/>
    <w:rsid w:val="00B84302"/>
    <w:rsid w:val="00B84354"/>
    <w:rsid w:val="00B84478"/>
    <w:rsid w:val="00B84499"/>
    <w:rsid w:val="00B844A9"/>
    <w:rsid w:val="00B844FE"/>
    <w:rsid w:val="00B8451E"/>
    <w:rsid w:val="00B8465A"/>
    <w:rsid w:val="00B8468C"/>
    <w:rsid w:val="00B846B3"/>
    <w:rsid w:val="00B846BE"/>
    <w:rsid w:val="00B8473E"/>
    <w:rsid w:val="00B84757"/>
    <w:rsid w:val="00B8480E"/>
    <w:rsid w:val="00B8484C"/>
    <w:rsid w:val="00B84884"/>
    <w:rsid w:val="00B849D8"/>
    <w:rsid w:val="00B849FC"/>
    <w:rsid w:val="00B84B31"/>
    <w:rsid w:val="00B84B9D"/>
    <w:rsid w:val="00B84C26"/>
    <w:rsid w:val="00B84C28"/>
    <w:rsid w:val="00B84C41"/>
    <w:rsid w:val="00B84D9B"/>
    <w:rsid w:val="00B84E01"/>
    <w:rsid w:val="00B84E6C"/>
    <w:rsid w:val="00B84ED5"/>
    <w:rsid w:val="00B84FA1"/>
    <w:rsid w:val="00B84FF6"/>
    <w:rsid w:val="00B85163"/>
    <w:rsid w:val="00B85168"/>
    <w:rsid w:val="00B8519B"/>
    <w:rsid w:val="00B851AA"/>
    <w:rsid w:val="00B8524F"/>
    <w:rsid w:val="00B852D7"/>
    <w:rsid w:val="00B85327"/>
    <w:rsid w:val="00B853BF"/>
    <w:rsid w:val="00B853F4"/>
    <w:rsid w:val="00B85463"/>
    <w:rsid w:val="00B85481"/>
    <w:rsid w:val="00B854C5"/>
    <w:rsid w:val="00B8552D"/>
    <w:rsid w:val="00B855D7"/>
    <w:rsid w:val="00B855FC"/>
    <w:rsid w:val="00B8564B"/>
    <w:rsid w:val="00B85779"/>
    <w:rsid w:val="00B858B2"/>
    <w:rsid w:val="00B858EC"/>
    <w:rsid w:val="00B859CC"/>
    <w:rsid w:val="00B85A5C"/>
    <w:rsid w:val="00B85C34"/>
    <w:rsid w:val="00B85C57"/>
    <w:rsid w:val="00B85E2B"/>
    <w:rsid w:val="00B85F3A"/>
    <w:rsid w:val="00B8603F"/>
    <w:rsid w:val="00B8607B"/>
    <w:rsid w:val="00B860A8"/>
    <w:rsid w:val="00B860AA"/>
    <w:rsid w:val="00B8610D"/>
    <w:rsid w:val="00B86147"/>
    <w:rsid w:val="00B86174"/>
    <w:rsid w:val="00B86190"/>
    <w:rsid w:val="00B8621B"/>
    <w:rsid w:val="00B86415"/>
    <w:rsid w:val="00B86462"/>
    <w:rsid w:val="00B86465"/>
    <w:rsid w:val="00B864EE"/>
    <w:rsid w:val="00B86504"/>
    <w:rsid w:val="00B8653E"/>
    <w:rsid w:val="00B865C7"/>
    <w:rsid w:val="00B86611"/>
    <w:rsid w:val="00B86636"/>
    <w:rsid w:val="00B866BF"/>
    <w:rsid w:val="00B86711"/>
    <w:rsid w:val="00B867EB"/>
    <w:rsid w:val="00B8696F"/>
    <w:rsid w:val="00B869F4"/>
    <w:rsid w:val="00B86A3B"/>
    <w:rsid w:val="00B86AF5"/>
    <w:rsid w:val="00B86B39"/>
    <w:rsid w:val="00B86B85"/>
    <w:rsid w:val="00B86C1C"/>
    <w:rsid w:val="00B86CAF"/>
    <w:rsid w:val="00B86CFF"/>
    <w:rsid w:val="00B86E3D"/>
    <w:rsid w:val="00B86FE5"/>
    <w:rsid w:val="00B8707A"/>
    <w:rsid w:val="00B870FB"/>
    <w:rsid w:val="00B8719E"/>
    <w:rsid w:val="00B871B5"/>
    <w:rsid w:val="00B871C8"/>
    <w:rsid w:val="00B871F0"/>
    <w:rsid w:val="00B87248"/>
    <w:rsid w:val="00B87361"/>
    <w:rsid w:val="00B87406"/>
    <w:rsid w:val="00B875B8"/>
    <w:rsid w:val="00B876CA"/>
    <w:rsid w:val="00B876E8"/>
    <w:rsid w:val="00B876EA"/>
    <w:rsid w:val="00B8770B"/>
    <w:rsid w:val="00B877B0"/>
    <w:rsid w:val="00B878BC"/>
    <w:rsid w:val="00B878D6"/>
    <w:rsid w:val="00B87927"/>
    <w:rsid w:val="00B879DE"/>
    <w:rsid w:val="00B879ED"/>
    <w:rsid w:val="00B87A3D"/>
    <w:rsid w:val="00B87AF1"/>
    <w:rsid w:val="00B87BE1"/>
    <w:rsid w:val="00B87C78"/>
    <w:rsid w:val="00B87CB8"/>
    <w:rsid w:val="00B87CFA"/>
    <w:rsid w:val="00B87D81"/>
    <w:rsid w:val="00B87DA4"/>
    <w:rsid w:val="00B87E53"/>
    <w:rsid w:val="00B87E7D"/>
    <w:rsid w:val="00B87ED6"/>
    <w:rsid w:val="00B87F3C"/>
    <w:rsid w:val="00B87F9A"/>
    <w:rsid w:val="00B87FB7"/>
    <w:rsid w:val="00B87FF4"/>
    <w:rsid w:val="00B90008"/>
    <w:rsid w:val="00B90115"/>
    <w:rsid w:val="00B901C7"/>
    <w:rsid w:val="00B9025F"/>
    <w:rsid w:val="00B9031D"/>
    <w:rsid w:val="00B90341"/>
    <w:rsid w:val="00B903E1"/>
    <w:rsid w:val="00B90468"/>
    <w:rsid w:val="00B9048F"/>
    <w:rsid w:val="00B904AD"/>
    <w:rsid w:val="00B904E9"/>
    <w:rsid w:val="00B90558"/>
    <w:rsid w:val="00B90643"/>
    <w:rsid w:val="00B906C7"/>
    <w:rsid w:val="00B906E7"/>
    <w:rsid w:val="00B90993"/>
    <w:rsid w:val="00B90A14"/>
    <w:rsid w:val="00B90AC9"/>
    <w:rsid w:val="00B90B0D"/>
    <w:rsid w:val="00B90BD0"/>
    <w:rsid w:val="00B90C06"/>
    <w:rsid w:val="00B90C2A"/>
    <w:rsid w:val="00B90C88"/>
    <w:rsid w:val="00B90CE5"/>
    <w:rsid w:val="00B90D48"/>
    <w:rsid w:val="00B90E15"/>
    <w:rsid w:val="00B90E4B"/>
    <w:rsid w:val="00B90E66"/>
    <w:rsid w:val="00B910A6"/>
    <w:rsid w:val="00B911A2"/>
    <w:rsid w:val="00B911DC"/>
    <w:rsid w:val="00B9126E"/>
    <w:rsid w:val="00B91385"/>
    <w:rsid w:val="00B913E0"/>
    <w:rsid w:val="00B9148B"/>
    <w:rsid w:val="00B914CD"/>
    <w:rsid w:val="00B914F2"/>
    <w:rsid w:val="00B9151A"/>
    <w:rsid w:val="00B9153F"/>
    <w:rsid w:val="00B915C8"/>
    <w:rsid w:val="00B9160C"/>
    <w:rsid w:val="00B91615"/>
    <w:rsid w:val="00B91634"/>
    <w:rsid w:val="00B91651"/>
    <w:rsid w:val="00B91717"/>
    <w:rsid w:val="00B91763"/>
    <w:rsid w:val="00B91820"/>
    <w:rsid w:val="00B9188D"/>
    <w:rsid w:val="00B918B3"/>
    <w:rsid w:val="00B91972"/>
    <w:rsid w:val="00B919FC"/>
    <w:rsid w:val="00B91A1B"/>
    <w:rsid w:val="00B91A8D"/>
    <w:rsid w:val="00B91AC8"/>
    <w:rsid w:val="00B91B79"/>
    <w:rsid w:val="00B91BA7"/>
    <w:rsid w:val="00B91BCD"/>
    <w:rsid w:val="00B91CB4"/>
    <w:rsid w:val="00B91E86"/>
    <w:rsid w:val="00B91FEC"/>
    <w:rsid w:val="00B9200E"/>
    <w:rsid w:val="00B92012"/>
    <w:rsid w:val="00B92023"/>
    <w:rsid w:val="00B920B7"/>
    <w:rsid w:val="00B920D3"/>
    <w:rsid w:val="00B920D7"/>
    <w:rsid w:val="00B920E0"/>
    <w:rsid w:val="00B9228B"/>
    <w:rsid w:val="00B92311"/>
    <w:rsid w:val="00B9258C"/>
    <w:rsid w:val="00B925B6"/>
    <w:rsid w:val="00B925F0"/>
    <w:rsid w:val="00B92607"/>
    <w:rsid w:val="00B9265E"/>
    <w:rsid w:val="00B92738"/>
    <w:rsid w:val="00B9273C"/>
    <w:rsid w:val="00B927A2"/>
    <w:rsid w:val="00B92816"/>
    <w:rsid w:val="00B928A9"/>
    <w:rsid w:val="00B92919"/>
    <w:rsid w:val="00B92929"/>
    <w:rsid w:val="00B92975"/>
    <w:rsid w:val="00B929A6"/>
    <w:rsid w:val="00B92A40"/>
    <w:rsid w:val="00B92A7D"/>
    <w:rsid w:val="00B92AAB"/>
    <w:rsid w:val="00B92ABF"/>
    <w:rsid w:val="00B92AC8"/>
    <w:rsid w:val="00B92B40"/>
    <w:rsid w:val="00B92C61"/>
    <w:rsid w:val="00B92C6D"/>
    <w:rsid w:val="00B92D9F"/>
    <w:rsid w:val="00B92DC5"/>
    <w:rsid w:val="00B92DF8"/>
    <w:rsid w:val="00B92E5B"/>
    <w:rsid w:val="00B92F27"/>
    <w:rsid w:val="00B92F76"/>
    <w:rsid w:val="00B931F9"/>
    <w:rsid w:val="00B93250"/>
    <w:rsid w:val="00B932B4"/>
    <w:rsid w:val="00B9330D"/>
    <w:rsid w:val="00B9338A"/>
    <w:rsid w:val="00B93539"/>
    <w:rsid w:val="00B93540"/>
    <w:rsid w:val="00B9356C"/>
    <w:rsid w:val="00B93696"/>
    <w:rsid w:val="00B9371A"/>
    <w:rsid w:val="00B9373A"/>
    <w:rsid w:val="00B93752"/>
    <w:rsid w:val="00B937C2"/>
    <w:rsid w:val="00B9386D"/>
    <w:rsid w:val="00B93971"/>
    <w:rsid w:val="00B939A8"/>
    <w:rsid w:val="00B93A82"/>
    <w:rsid w:val="00B93B69"/>
    <w:rsid w:val="00B93CF7"/>
    <w:rsid w:val="00B93D2A"/>
    <w:rsid w:val="00B93D2F"/>
    <w:rsid w:val="00B93D36"/>
    <w:rsid w:val="00B93D6A"/>
    <w:rsid w:val="00B93E85"/>
    <w:rsid w:val="00B93EEE"/>
    <w:rsid w:val="00B93F31"/>
    <w:rsid w:val="00B940F4"/>
    <w:rsid w:val="00B942D7"/>
    <w:rsid w:val="00B9432F"/>
    <w:rsid w:val="00B94373"/>
    <w:rsid w:val="00B943CE"/>
    <w:rsid w:val="00B944E3"/>
    <w:rsid w:val="00B945A0"/>
    <w:rsid w:val="00B945F0"/>
    <w:rsid w:val="00B945FB"/>
    <w:rsid w:val="00B946CA"/>
    <w:rsid w:val="00B9470E"/>
    <w:rsid w:val="00B947C2"/>
    <w:rsid w:val="00B947E9"/>
    <w:rsid w:val="00B94909"/>
    <w:rsid w:val="00B94912"/>
    <w:rsid w:val="00B94A05"/>
    <w:rsid w:val="00B94B18"/>
    <w:rsid w:val="00B94B3C"/>
    <w:rsid w:val="00B94BB4"/>
    <w:rsid w:val="00B94BD2"/>
    <w:rsid w:val="00B94BE3"/>
    <w:rsid w:val="00B94C28"/>
    <w:rsid w:val="00B94CD3"/>
    <w:rsid w:val="00B94CE1"/>
    <w:rsid w:val="00B94CE5"/>
    <w:rsid w:val="00B94E3D"/>
    <w:rsid w:val="00B94E75"/>
    <w:rsid w:val="00B94F1B"/>
    <w:rsid w:val="00B94F8C"/>
    <w:rsid w:val="00B95043"/>
    <w:rsid w:val="00B9512A"/>
    <w:rsid w:val="00B9519E"/>
    <w:rsid w:val="00B9527E"/>
    <w:rsid w:val="00B95305"/>
    <w:rsid w:val="00B9533F"/>
    <w:rsid w:val="00B95391"/>
    <w:rsid w:val="00B953B2"/>
    <w:rsid w:val="00B95482"/>
    <w:rsid w:val="00B95486"/>
    <w:rsid w:val="00B95553"/>
    <w:rsid w:val="00B955F0"/>
    <w:rsid w:val="00B9565C"/>
    <w:rsid w:val="00B956DA"/>
    <w:rsid w:val="00B9571D"/>
    <w:rsid w:val="00B95788"/>
    <w:rsid w:val="00B957E2"/>
    <w:rsid w:val="00B95898"/>
    <w:rsid w:val="00B9591B"/>
    <w:rsid w:val="00B959CC"/>
    <w:rsid w:val="00B959D2"/>
    <w:rsid w:val="00B959D3"/>
    <w:rsid w:val="00B95BD7"/>
    <w:rsid w:val="00B95BD9"/>
    <w:rsid w:val="00B95C38"/>
    <w:rsid w:val="00B95C77"/>
    <w:rsid w:val="00B95C99"/>
    <w:rsid w:val="00B95D38"/>
    <w:rsid w:val="00B95D4A"/>
    <w:rsid w:val="00B95DB2"/>
    <w:rsid w:val="00B95DE6"/>
    <w:rsid w:val="00B95E0A"/>
    <w:rsid w:val="00B95E38"/>
    <w:rsid w:val="00B95E4E"/>
    <w:rsid w:val="00B95E58"/>
    <w:rsid w:val="00B95E70"/>
    <w:rsid w:val="00B95F38"/>
    <w:rsid w:val="00B95F90"/>
    <w:rsid w:val="00B95FB0"/>
    <w:rsid w:val="00B96046"/>
    <w:rsid w:val="00B961D7"/>
    <w:rsid w:val="00B96364"/>
    <w:rsid w:val="00B963EB"/>
    <w:rsid w:val="00B96409"/>
    <w:rsid w:val="00B96458"/>
    <w:rsid w:val="00B964F1"/>
    <w:rsid w:val="00B96507"/>
    <w:rsid w:val="00B965AC"/>
    <w:rsid w:val="00B965B2"/>
    <w:rsid w:val="00B9669C"/>
    <w:rsid w:val="00B9669F"/>
    <w:rsid w:val="00B96775"/>
    <w:rsid w:val="00B9679C"/>
    <w:rsid w:val="00B967B6"/>
    <w:rsid w:val="00B967F7"/>
    <w:rsid w:val="00B9682F"/>
    <w:rsid w:val="00B9685F"/>
    <w:rsid w:val="00B968B1"/>
    <w:rsid w:val="00B968B3"/>
    <w:rsid w:val="00B968ED"/>
    <w:rsid w:val="00B9691A"/>
    <w:rsid w:val="00B9695C"/>
    <w:rsid w:val="00B96AB7"/>
    <w:rsid w:val="00B96BC1"/>
    <w:rsid w:val="00B96C51"/>
    <w:rsid w:val="00B96D60"/>
    <w:rsid w:val="00B96E5C"/>
    <w:rsid w:val="00B96EBE"/>
    <w:rsid w:val="00B96ED2"/>
    <w:rsid w:val="00B96EF8"/>
    <w:rsid w:val="00B96F6F"/>
    <w:rsid w:val="00B96FC8"/>
    <w:rsid w:val="00B9709B"/>
    <w:rsid w:val="00B970B1"/>
    <w:rsid w:val="00B970EF"/>
    <w:rsid w:val="00B971D1"/>
    <w:rsid w:val="00B9721F"/>
    <w:rsid w:val="00B97308"/>
    <w:rsid w:val="00B97339"/>
    <w:rsid w:val="00B9735A"/>
    <w:rsid w:val="00B9743A"/>
    <w:rsid w:val="00B9743B"/>
    <w:rsid w:val="00B9750F"/>
    <w:rsid w:val="00B975D1"/>
    <w:rsid w:val="00B977A7"/>
    <w:rsid w:val="00B977F1"/>
    <w:rsid w:val="00B9781C"/>
    <w:rsid w:val="00B97890"/>
    <w:rsid w:val="00B97895"/>
    <w:rsid w:val="00B97AD5"/>
    <w:rsid w:val="00B97B34"/>
    <w:rsid w:val="00B97BF8"/>
    <w:rsid w:val="00B97C3A"/>
    <w:rsid w:val="00B97D26"/>
    <w:rsid w:val="00B97DC0"/>
    <w:rsid w:val="00B97E4A"/>
    <w:rsid w:val="00B97E80"/>
    <w:rsid w:val="00B97ED8"/>
    <w:rsid w:val="00B97EF7"/>
    <w:rsid w:val="00B97FDC"/>
    <w:rsid w:val="00BA0086"/>
    <w:rsid w:val="00BA01B3"/>
    <w:rsid w:val="00BA02F6"/>
    <w:rsid w:val="00BA0312"/>
    <w:rsid w:val="00BA0318"/>
    <w:rsid w:val="00BA0320"/>
    <w:rsid w:val="00BA036A"/>
    <w:rsid w:val="00BA048B"/>
    <w:rsid w:val="00BA0547"/>
    <w:rsid w:val="00BA05A5"/>
    <w:rsid w:val="00BA05C6"/>
    <w:rsid w:val="00BA0681"/>
    <w:rsid w:val="00BA06FD"/>
    <w:rsid w:val="00BA0994"/>
    <w:rsid w:val="00BA09B4"/>
    <w:rsid w:val="00BA0AB0"/>
    <w:rsid w:val="00BA0AC7"/>
    <w:rsid w:val="00BA0AD0"/>
    <w:rsid w:val="00BA0B2E"/>
    <w:rsid w:val="00BA0BFE"/>
    <w:rsid w:val="00BA0C0F"/>
    <w:rsid w:val="00BA0C41"/>
    <w:rsid w:val="00BA0CC1"/>
    <w:rsid w:val="00BA0CD7"/>
    <w:rsid w:val="00BA0CEA"/>
    <w:rsid w:val="00BA0D11"/>
    <w:rsid w:val="00BA0D32"/>
    <w:rsid w:val="00BA0D3A"/>
    <w:rsid w:val="00BA0D41"/>
    <w:rsid w:val="00BA0D9E"/>
    <w:rsid w:val="00BA0DAE"/>
    <w:rsid w:val="00BA0EE0"/>
    <w:rsid w:val="00BA0EFE"/>
    <w:rsid w:val="00BA1026"/>
    <w:rsid w:val="00BA10CD"/>
    <w:rsid w:val="00BA10D0"/>
    <w:rsid w:val="00BA10D4"/>
    <w:rsid w:val="00BA125B"/>
    <w:rsid w:val="00BA1275"/>
    <w:rsid w:val="00BA1384"/>
    <w:rsid w:val="00BA13AA"/>
    <w:rsid w:val="00BA14A3"/>
    <w:rsid w:val="00BA1559"/>
    <w:rsid w:val="00BA15B4"/>
    <w:rsid w:val="00BA15D7"/>
    <w:rsid w:val="00BA16BE"/>
    <w:rsid w:val="00BA16EE"/>
    <w:rsid w:val="00BA1746"/>
    <w:rsid w:val="00BA1791"/>
    <w:rsid w:val="00BA18D2"/>
    <w:rsid w:val="00BA190C"/>
    <w:rsid w:val="00BA1925"/>
    <w:rsid w:val="00BA19C8"/>
    <w:rsid w:val="00BA19DA"/>
    <w:rsid w:val="00BA19EA"/>
    <w:rsid w:val="00BA1A70"/>
    <w:rsid w:val="00BA1A94"/>
    <w:rsid w:val="00BA1AC8"/>
    <w:rsid w:val="00BA1AE6"/>
    <w:rsid w:val="00BA1B15"/>
    <w:rsid w:val="00BA1B4E"/>
    <w:rsid w:val="00BA1DC1"/>
    <w:rsid w:val="00BA1E81"/>
    <w:rsid w:val="00BA1E9A"/>
    <w:rsid w:val="00BA1F0B"/>
    <w:rsid w:val="00BA1F33"/>
    <w:rsid w:val="00BA1F67"/>
    <w:rsid w:val="00BA1FB3"/>
    <w:rsid w:val="00BA1FDE"/>
    <w:rsid w:val="00BA208C"/>
    <w:rsid w:val="00BA226D"/>
    <w:rsid w:val="00BA2273"/>
    <w:rsid w:val="00BA236C"/>
    <w:rsid w:val="00BA249D"/>
    <w:rsid w:val="00BA24AF"/>
    <w:rsid w:val="00BA264D"/>
    <w:rsid w:val="00BA26B2"/>
    <w:rsid w:val="00BA2705"/>
    <w:rsid w:val="00BA2715"/>
    <w:rsid w:val="00BA2852"/>
    <w:rsid w:val="00BA28D1"/>
    <w:rsid w:val="00BA28FC"/>
    <w:rsid w:val="00BA297D"/>
    <w:rsid w:val="00BA2A33"/>
    <w:rsid w:val="00BA2A59"/>
    <w:rsid w:val="00BA2BBB"/>
    <w:rsid w:val="00BA2CC0"/>
    <w:rsid w:val="00BA2D1C"/>
    <w:rsid w:val="00BA2D37"/>
    <w:rsid w:val="00BA2D45"/>
    <w:rsid w:val="00BA2D5F"/>
    <w:rsid w:val="00BA2E2D"/>
    <w:rsid w:val="00BA2E7B"/>
    <w:rsid w:val="00BA2F40"/>
    <w:rsid w:val="00BA2F42"/>
    <w:rsid w:val="00BA2F77"/>
    <w:rsid w:val="00BA2FEE"/>
    <w:rsid w:val="00BA3096"/>
    <w:rsid w:val="00BA3168"/>
    <w:rsid w:val="00BA31E5"/>
    <w:rsid w:val="00BA31EF"/>
    <w:rsid w:val="00BA32B5"/>
    <w:rsid w:val="00BA32C6"/>
    <w:rsid w:val="00BA32DB"/>
    <w:rsid w:val="00BA330A"/>
    <w:rsid w:val="00BA333E"/>
    <w:rsid w:val="00BA337C"/>
    <w:rsid w:val="00BA3398"/>
    <w:rsid w:val="00BA346A"/>
    <w:rsid w:val="00BA34BA"/>
    <w:rsid w:val="00BA36B4"/>
    <w:rsid w:val="00BA3775"/>
    <w:rsid w:val="00BA37A2"/>
    <w:rsid w:val="00BA382D"/>
    <w:rsid w:val="00BA395A"/>
    <w:rsid w:val="00BA3966"/>
    <w:rsid w:val="00BA3978"/>
    <w:rsid w:val="00BA3B02"/>
    <w:rsid w:val="00BA3B0C"/>
    <w:rsid w:val="00BA3B42"/>
    <w:rsid w:val="00BA3B81"/>
    <w:rsid w:val="00BA3CAC"/>
    <w:rsid w:val="00BA3D3E"/>
    <w:rsid w:val="00BA3D8F"/>
    <w:rsid w:val="00BA3DBC"/>
    <w:rsid w:val="00BA3E24"/>
    <w:rsid w:val="00BA3E3F"/>
    <w:rsid w:val="00BA3F47"/>
    <w:rsid w:val="00BA3F5F"/>
    <w:rsid w:val="00BA3FA0"/>
    <w:rsid w:val="00BA407C"/>
    <w:rsid w:val="00BA409A"/>
    <w:rsid w:val="00BA411D"/>
    <w:rsid w:val="00BA419D"/>
    <w:rsid w:val="00BA41CD"/>
    <w:rsid w:val="00BA41D9"/>
    <w:rsid w:val="00BA4358"/>
    <w:rsid w:val="00BA4370"/>
    <w:rsid w:val="00BA455F"/>
    <w:rsid w:val="00BA4583"/>
    <w:rsid w:val="00BA4599"/>
    <w:rsid w:val="00BA4623"/>
    <w:rsid w:val="00BA4847"/>
    <w:rsid w:val="00BA4937"/>
    <w:rsid w:val="00BA498B"/>
    <w:rsid w:val="00BA4A12"/>
    <w:rsid w:val="00BA4A46"/>
    <w:rsid w:val="00BA4A57"/>
    <w:rsid w:val="00BA4A82"/>
    <w:rsid w:val="00BA4B38"/>
    <w:rsid w:val="00BA4BBC"/>
    <w:rsid w:val="00BA4BC8"/>
    <w:rsid w:val="00BA4C74"/>
    <w:rsid w:val="00BA4D10"/>
    <w:rsid w:val="00BA4D5A"/>
    <w:rsid w:val="00BA4E73"/>
    <w:rsid w:val="00BA4EDF"/>
    <w:rsid w:val="00BA4F6F"/>
    <w:rsid w:val="00BA502D"/>
    <w:rsid w:val="00BA504D"/>
    <w:rsid w:val="00BA50CC"/>
    <w:rsid w:val="00BA513A"/>
    <w:rsid w:val="00BA5176"/>
    <w:rsid w:val="00BA51CA"/>
    <w:rsid w:val="00BA526A"/>
    <w:rsid w:val="00BA5460"/>
    <w:rsid w:val="00BA5593"/>
    <w:rsid w:val="00BA55BD"/>
    <w:rsid w:val="00BA55EC"/>
    <w:rsid w:val="00BA5609"/>
    <w:rsid w:val="00BA5610"/>
    <w:rsid w:val="00BA562B"/>
    <w:rsid w:val="00BA56C9"/>
    <w:rsid w:val="00BA5792"/>
    <w:rsid w:val="00BA57A8"/>
    <w:rsid w:val="00BA595E"/>
    <w:rsid w:val="00BA59D2"/>
    <w:rsid w:val="00BA5A14"/>
    <w:rsid w:val="00BA5A3B"/>
    <w:rsid w:val="00BA5A59"/>
    <w:rsid w:val="00BA5A6D"/>
    <w:rsid w:val="00BA5A95"/>
    <w:rsid w:val="00BA5AF3"/>
    <w:rsid w:val="00BA5B62"/>
    <w:rsid w:val="00BA5C16"/>
    <w:rsid w:val="00BA5C51"/>
    <w:rsid w:val="00BA5CA6"/>
    <w:rsid w:val="00BA5CD4"/>
    <w:rsid w:val="00BA5CEC"/>
    <w:rsid w:val="00BA5EB0"/>
    <w:rsid w:val="00BA6144"/>
    <w:rsid w:val="00BA62AE"/>
    <w:rsid w:val="00BA6346"/>
    <w:rsid w:val="00BA6447"/>
    <w:rsid w:val="00BA6480"/>
    <w:rsid w:val="00BA65A3"/>
    <w:rsid w:val="00BA66AC"/>
    <w:rsid w:val="00BA66FA"/>
    <w:rsid w:val="00BA6897"/>
    <w:rsid w:val="00BA68AD"/>
    <w:rsid w:val="00BA68AE"/>
    <w:rsid w:val="00BA6926"/>
    <w:rsid w:val="00BA6A2F"/>
    <w:rsid w:val="00BA6A56"/>
    <w:rsid w:val="00BA6B01"/>
    <w:rsid w:val="00BA6B6A"/>
    <w:rsid w:val="00BA6B89"/>
    <w:rsid w:val="00BA6C3E"/>
    <w:rsid w:val="00BA6DDA"/>
    <w:rsid w:val="00BA6E25"/>
    <w:rsid w:val="00BA6F29"/>
    <w:rsid w:val="00BA6F3D"/>
    <w:rsid w:val="00BA7088"/>
    <w:rsid w:val="00BA708E"/>
    <w:rsid w:val="00BA70D8"/>
    <w:rsid w:val="00BA70DA"/>
    <w:rsid w:val="00BA7150"/>
    <w:rsid w:val="00BA7185"/>
    <w:rsid w:val="00BA71A9"/>
    <w:rsid w:val="00BA71B4"/>
    <w:rsid w:val="00BA71F7"/>
    <w:rsid w:val="00BA7272"/>
    <w:rsid w:val="00BA73C8"/>
    <w:rsid w:val="00BA73DE"/>
    <w:rsid w:val="00BA7409"/>
    <w:rsid w:val="00BA7568"/>
    <w:rsid w:val="00BA7569"/>
    <w:rsid w:val="00BA7597"/>
    <w:rsid w:val="00BA7691"/>
    <w:rsid w:val="00BA772B"/>
    <w:rsid w:val="00BA774A"/>
    <w:rsid w:val="00BA7778"/>
    <w:rsid w:val="00BA782E"/>
    <w:rsid w:val="00BA785A"/>
    <w:rsid w:val="00BA7864"/>
    <w:rsid w:val="00BA7879"/>
    <w:rsid w:val="00BA789E"/>
    <w:rsid w:val="00BA78AB"/>
    <w:rsid w:val="00BA7A58"/>
    <w:rsid w:val="00BA7AF6"/>
    <w:rsid w:val="00BA7B50"/>
    <w:rsid w:val="00BA7BCA"/>
    <w:rsid w:val="00BA7E2B"/>
    <w:rsid w:val="00BA7E7E"/>
    <w:rsid w:val="00BA7E9E"/>
    <w:rsid w:val="00BA7F7E"/>
    <w:rsid w:val="00BB007B"/>
    <w:rsid w:val="00BB00CF"/>
    <w:rsid w:val="00BB00DB"/>
    <w:rsid w:val="00BB00F3"/>
    <w:rsid w:val="00BB01EC"/>
    <w:rsid w:val="00BB01FB"/>
    <w:rsid w:val="00BB023A"/>
    <w:rsid w:val="00BB0310"/>
    <w:rsid w:val="00BB0404"/>
    <w:rsid w:val="00BB05E8"/>
    <w:rsid w:val="00BB06A1"/>
    <w:rsid w:val="00BB06C3"/>
    <w:rsid w:val="00BB0756"/>
    <w:rsid w:val="00BB07E2"/>
    <w:rsid w:val="00BB07F7"/>
    <w:rsid w:val="00BB0973"/>
    <w:rsid w:val="00BB0987"/>
    <w:rsid w:val="00BB0995"/>
    <w:rsid w:val="00BB0A76"/>
    <w:rsid w:val="00BB0BCB"/>
    <w:rsid w:val="00BB0BE8"/>
    <w:rsid w:val="00BB0DC9"/>
    <w:rsid w:val="00BB0DD7"/>
    <w:rsid w:val="00BB0E76"/>
    <w:rsid w:val="00BB0E8F"/>
    <w:rsid w:val="00BB0EEF"/>
    <w:rsid w:val="00BB0F04"/>
    <w:rsid w:val="00BB0F99"/>
    <w:rsid w:val="00BB1015"/>
    <w:rsid w:val="00BB1153"/>
    <w:rsid w:val="00BB1220"/>
    <w:rsid w:val="00BB138B"/>
    <w:rsid w:val="00BB1447"/>
    <w:rsid w:val="00BB1480"/>
    <w:rsid w:val="00BB1664"/>
    <w:rsid w:val="00BB1665"/>
    <w:rsid w:val="00BB16B8"/>
    <w:rsid w:val="00BB170D"/>
    <w:rsid w:val="00BB1765"/>
    <w:rsid w:val="00BB17C8"/>
    <w:rsid w:val="00BB187B"/>
    <w:rsid w:val="00BB1890"/>
    <w:rsid w:val="00BB18A5"/>
    <w:rsid w:val="00BB18AE"/>
    <w:rsid w:val="00BB1A25"/>
    <w:rsid w:val="00BB1A84"/>
    <w:rsid w:val="00BB1AFE"/>
    <w:rsid w:val="00BB1B2E"/>
    <w:rsid w:val="00BB1B4E"/>
    <w:rsid w:val="00BB1C2D"/>
    <w:rsid w:val="00BB1C48"/>
    <w:rsid w:val="00BB1C60"/>
    <w:rsid w:val="00BB1C82"/>
    <w:rsid w:val="00BB1C90"/>
    <w:rsid w:val="00BB1D4B"/>
    <w:rsid w:val="00BB1D7F"/>
    <w:rsid w:val="00BB1DC1"/>
    <w:rsid w:val="00BB1E0D"/>
    <w:rsid w:val="00BB1E5D"/>
    <w:rsid w:val="00BB1EA8"/>
    <w:rsid w:val="00BB1F57"/>
    <w:rsid w:val="00BB1FEF"/>
    <w:rsid w:val="00BB2010"/>
    <w:rsid w:val="00BB2038"/>
    <w:rsid w:val="00BB2070"/>
    <w:rsid w:val="00BB207F"/>
    <w:rsid w:val="00BB214C"/>
    <w:rsid w:val="00BB21B8"/>
    <w:rsid w:val="00BB21D9"/>
    <w:rsid w:val="00BB21F0"/>
    <w:rsid w:val="00BB2232"/>
    <w:rsid w:val="00BB2364"/>
    <w:rsid w:val="00BB23C2"/>
    <w:rsid w:val="00BB23E4"/>
    <w:rsid w:val="00BB2427"/>
    <w:rsid w:val="00BB25B6"/>
    <w:rsid w:val="00BB25C2"/>
    <w:rsid w:val="00BB25FC"/>
    <w:rsid w:val="00BB2627"/>
    <w:rsid w:val="00BB2672"/>
    <w:rsid w:val="00BB269A"/>
    <w:rsid w:val="00BB27C3"/>
    <w:rsid w:val="00BB2830"/>
    <w:rsid w:val="00BB2938"/>
    <w:rsid w:val="00BB2A8D"/>
    <w:rsid w:val="00BB2C01"/>
    <w:rsid w:val="00BB2C24"/>
    <w:rsid w:val="00BB2C36"/>
    <w:rsid w:val="00BB2C5A"/>
    <w:rsid w:val="00BB2C68"/>
    <w:rsid w:val="00BB2CF8"/>
    <w:rsid w:val="00BB2E8C"/>
    <w:rsid w:val="00BB2EC9"/>
    <w:rsid w:val="00BB2FA6"/>
    <w:rsid w:val="00BB2FEA"/>
    <w:rsid w:val="00BB3001"/>
    <w:rsid w:val="00BB3061"/>
    <w:rsid w:val="00BB3125"/>
    <w:rsid w:val="00BB32EB"/>
    <w:rsid w:val="00BB3348"/>
    <w:rsid w:val="00BB3355"/>
    <w:rsid w:val="00BB33AB"/>
    <w:rsid w:val="00BB33DD"/>
    <w:rsid w:val="00BB3596"/>
    <w:rsid w:val="00BB35EB"/>
    <w:rsid w:val="00BB361E"/>
    <w:rsid w:val="00BB3675"/>
    <w:rsid w:val="00BB36A7"/>
    <w:rsid w:val="00BB373D"/>
    <w:rsid w:val="00BB3760"/>
    <w:rsid w:val="00BB377C"/>
    <w:rsid w:val="00BB384D"/>
    <w:rsid w:val="00BB38A4"/>
    <w:rsid w:val="00BB39C9"/>
    <w:rsid w:val="00BB3A16"/>
    <w:rsid w:val="00BB3A5E"/>
    <w:rsid w:val="00BB3B36"/>
    <w:rsid w:val="00BB3C4C"/>
    <w:rsid w:val="00BB3CF5"/>
    <w:rsid w:val="00BB3D13"/>
    <w:rsid w:val="00BB3D17"/>
    <w:rsid w:val="00BB3D83"/>
    <w:rsid w:val="00BB3DC4"/>
    <w:rsid w:val="00BB3DDD"/>
    <w:rsid w:val="00BB3E2F"/>
    <w:rsid w:val="00BB3E3B"/>
    <w:rsid w:val="00BB3F70"/>
    <w:rsid w:val="00BB3FA7"/>
    <w:rsid w:val="00BB3FBF"/>
    <w:rsid w:val="00BB3FC8"/>
    <w:rsid w:val="00BB4220"/>
    <w:rsid w:val="00BB4246"/>
    <w:rsid w:val="00BB42BF"/>
    <w:rsid w:val="00BB436D"/>
    <w:rsid w:val="00BB44D7"/>
    <w:rsid w:val="00BB4513"/>
    <w:rsid w:val="00BB4593"/>
    <w:rsid w:val="00BB4700"/>
    <w:rsid w:val="00BB4702"/>
    <w:rsid w:val="00BB4725"/>
    <w:rsid w:val="00BB481C"/>
    <w:rsid w:val="00BB4830"/>
    <w:rsid w:val="00BB483C"/>
    <w:rsid w:val="00BB4977"/>
    <w:rsid w:val="00BB49A0"/>
    <w:rsid w:val="00BB49D4"/>
    <w:rsid w:val="00BB4A3F"/>
    <w:rsid w:val="00BB4C05"/>
    <w:rsid w:val="00BB4C20"/>
    <w:rsid w:val="00BB4C24"/>
    <w:rsid w:val="00BB4C90"/>
    <w:rsid w:val="00BB4D15"/>
    <w:rsid w:val="00BB5037"/>
    <w:rsid w:val="00BB50F4"/>
    <w:rsid w:val="00BB51D5"/>
    <w:rsid w:val="00BB51E8"/>
    <w:rsid w:val="00BB5221"/>
    <w:rsid w:val="00BB52D8"/>
    <w:rsid w:val="00BB545B"/>
    <w:rsid w:val="00BB5631"/>
    <w:rsid w:val="00BB56C2"/>
    <w:rsid w:val="00BB57B7"/>
    <w:rsid w:val="00BB595D"/>
    <w:rsid w:val="00BB598B"/>
    <w:rsid w:val="00BB5A4D"/>
    <w:rsid w:val="00BB5BCD"/>
    <w:rsid w:val="00BB5DB6"/>
    <w:rsid w:val="00BB5ED6"/>
    <w:rsid w:val="00BB5EF3"/>
    <w:rsid w:val="00BB5F64"/>
    <w:rsid w:val="00BB5F97"/>
    <w:rsid w:val="00BB6023"/>
    <w:rsid w:val="00BB604C"/>
    <w:rsid w:val="00BB60BE"/>
    <w:rsid w:val="00BB61D0"/>
    <w:rsid w:val="00BB6282"/>
    <w:rsid w:val="00BB62FC"/>
    <w:rsid w:val="00BB633D"/>
    <w:rsid w:val="00BB636E"/>
    <w:rsid w:val="00BB6426"/>
    <w:rsid w:val="00BB64D9"/>
    <w:rsid w:val="00BB65A7"/>
    <w:rsid w:val="00BB666D"/>
    <w:rsid w:val="00BB668A"/>
    <w:rsid w:val="00BB6711"/>
    <w:rsid w:val="00BB67E7"/>
    <w:rsid w:val="00BB67FA"/>
    <w:rsid w:val="00BB67FB"/>
    <w:rsid w:val="00BB6815"/>
    <w:rsid w:val="00BB68A5"/>
    <w:rsid w:val="00BB68B6"/>
    <w:rsid w:val="00BB6970"/>
    <w:rsid w:val="00BB69BC"/>
    <w:rsid w:val="00BB69F1"/>
    <w:rsid w:val="00BB6A46"/>
    <w:rsid w:val="00BB6A67"/>
    <w:rsid w:val="00BB6B55"/>
    <w:rsid w:val="00BB6B82"/>
    <w:rsid w:val="00BB6BA4"/>
    <w:rsid w:val="00BB6BC8"/>
    <w:rsid w:val="00BB6BCC"/>
    <w:rsid w:val="00BB6CE9"/>
    <w:rsid w:val="00BB6CFC"/>
    <w:rsid w:val="00BB6D1B"/>
    <w:rsid w:val="00BB6D43"/>
    <w:rsid w:val="00BB6E6D"/>
    <w:rsid w:val="00BB6EBB"/>
    <w:rsid w:val="00BB6EC1"/>
    <w:rsid w:val="00BB6F13"/>
    <w:rsid w:val="00BB6FE0"/>
    <w:rsid w:val="00BB7006"/>
    <w:rsid w:val="00BB7040"/>
    <w:rsid w:val="00BB707F"/>
    <w:rsid w:val="00BB7091"/>
    <w:rsid w:val="00BB70E4"/>
    <w:rsid w:val="00BB711A"/>
    <w:rsid w:val="00BB7140"/>
    <w:rsid w:val="00BB7185"/>
    <w:rsid w:val="00BB72C4"/>
    <w:rsid w:val="00BB731F"/>
    <w:rsid w:val="00BB737C"/>
    <w:rsid w:val="00BB738B"/>
    <w:rsid w:val="00BB7397"/>
    <w:rsid w:val="00BB73BB"/>
    <w:rsid w:val="00BB7408"/>
    <w:rsid w:val="00BB750C"/>
    <w:rsid w:val="00BB752B"/>
    <w:rsid w:val="00BB75AD"/>
    <w:rsid w:val="00BB75B5"/>
    <w:rsid w:val="00BB75C0"/>
    <w:rsid w:val="00BB75F9"/>
    <w:rsid w:val="00BB7677"/>
    <w:rsid w:val="00BB76C2"/>
    <w:rsid w:val="00BB7727"/>
    <w:rsid w:val="00BB7748"/>
    <w:rsid w:val="00BB7761"/>
    <w:rsid w:val="00BB778E"/>
    <w:rsid w:val="00BB77B8"/>
    <w:rsid w:val="00BB7809"/>
    <w:rsid w:val="00BB782C"/>
    <w:rsid w:val="00BB7A13"/>
    <w:rsid w:val="00BB7AAE"/>
    <w:rsid w:val="00BB7B45"/>
    <w:rsid w:val="00BB7B69"/>
    <w:rsid w:val="00BB7BC5"/>
    <w:rsid w:val="00BB7C8B"/>
    <w:rsid w:val="00BB7C8C"/>
    <w:rsid w:val="00BB7D37"/>
    <w:rsid w:val="00BB7E02"/>
    <w:rsid w:val="00BB7E5E"/>
    <w:rsid w:val="00BB7FA4"/>
    <w:rsid w:val="00BB7FB4"/>
    <w:rsid w:val="00BC0193"/>
    <w:rsid w:val="00BC01BA"/>
    <w:rsid w:val="00BC01D0"/>
    <w:rsid w:val="00BC01D1"/>
    <w:rsid w:val="00BC029D"/>
    <w:rsid w:val="00BC02A0"/>
    <w:rsid w:val="00BC02F2"/>
    <w:rsid w:val="00BC0479"/>
    <w:rsid w:val="00BC051F"/>
    <w:rsid w:val="00BC058C"/>
    <w:rsid w:val="00BC05FB"/>
    <w:rsid w:val="00BC07F4"/>
    <w:rsid w:val="00BC0843"/>
    <w:rsid w:val="00BC08C0"/>
    <w:rsid w:val="00BC0918"/>
    <w:rsid w:val="00BC0946"/>
    <w:rsid w:val="00BC098C"/>
    <w:rsid w:val="00BC0BE0"/>
    <w:rsid w:val="00BC0DFF"/>
    <w:rsid w:val="00BC0E0F"/>
    <w:rsid w:val="00BC0F0B"/>
    <w:rsid w:val="00BC0F15"/>
    <w:rsid w:val="00BC0F63"/>
    <w:rsid w:val="00BC1007"/>
    <w:rsid w:val="00BC108E"/>
    <w:rsid w:val="00BC10B9"/>
    <w:rsid w:val="00BC10E3"/>
    <w:rsid w:val="00BC1136"/>
    <w:rsid w:val="00BC1138"/>
    <w:rsid w:val="00BC114D"/>
    <w:rsid w:val="00BC120C"/>
    <w:rsid w:val="00BC127A"/>
    <w:rsid w:val="00BC137F"/>
    <w:rsid w:val="00BC14C3"/>
    <w:rsid w:val="00BC16A8"/>
    <w:rsid w:val="00BC16E7"/>
    <w:rsid w:val="00BC171B"/>
    <w:rsid w:val="00BC173A"/>
    <w:rsid w:val="00BC1840"/>
    <w:rsid w:val="00BC1848"/>
    <w:rsid w:val="00BC193E"/>
    <w:rsid w:val="00BC19C0"/>
    <w:rsid w:val="00BC1A4F"/>
    <w:rsid w:val="00BC1AC9"/>
    <w:rsid w:val="00BC1B8C"/>
    <w:rsid w:val="00BC1C83"/>
    <w:rsid w:val="00BC1D68"/>
    <w:rsid w:val="00BC1DBE"/>
    <w:rsid w:val="00BC1DD6"/>
    <w:rsid w:val="00BC1DDE"/>
    <w:rsid w:val="00BC1E07"/>
    <w:rsid w:val="00BC1E3A"/>
    <w:rsid w:val="00BC1E74"/>
    <w:rsid w:val="00BC1E81"/>
    <w:rsid w:val="00BC1EDA"/>
    <w:rsid w:val="00BC1EF7"/>
    <w:rsid w:val="00BC1F93"/>
    <w:rsid w:val="00BC1FA7"/>
    <w:rsid w:val="00BC1FF4"/>
    <w:rsid w:val="00BC209D"/>
    <w:rsid w:val="00BC211D"/>
    <w:rsid w:val="00BC21AF"/>
    <w:rsid w:val="00BC2209"/>
    <w:rsid w:val="00BC22CA"/>
    <w:rsid w:val="00BC22CC"/>
    <w:rsid w:val="00BC22E8"/>
    <w:rsid w:val="00BC22F5"/>
    <w:rsid w:val="00BC23B0"/>
    <w:rsid w:val="00BC2414"/>
    <w:rsid w:val="00BC2440"/>
    <w:rsid w:val="00BC2590"/>
    <w:rsid w:val="00BC25F1"/>
    <w:rsid w:val="00BC2607"/>
    <w:rsid w:val="00BC2664"/>
    <w:rsid w:val="00BC2721"/>
    <w:rsid w:val="00BC275D"/>
    <w:rsid w:val="00BC2835"/>
    <w:rsid w:val="00BC285B"/>
    <w:rsid w:val="00BC2874"/>
    <w:rsid w:val="00BC28C2"/>
    <w:rsid w:val="00BC2963"/>
    <w:rsid w:val="00BC296C"/>
    <w:rsid w:val="00BC296F"/>
    <w:rsid w:val="00BC29AB"/>
    <w:rsid w:val="00BC29B7"/>
    <w:rsid w:val="00BC2A45"/>
    <w:rsid w:val="00BC2A5D"/>
    <w:rsid w:val="00BC2A64"/>
    <w:rsid w:val="00BC2A9E"/>
    <w:rsid w:val="00BC2AC8"/>
    <w:rsid w:val="00BC2AD9"/>
    <w:rsid w:val="00BC2B7C"/>
    <w:rsid w:val="00BC2C8D"/>
    <w:rsid w:val="00BC2D2E"/>
    <w:rsid w:val="00BC2D6E"/>
    <w:rsid w:val="00BC2D8E"/>
    <w:rsid w:val="00BC2DC4"/>
    <w:rsid w:val="00BC2DCE"/>
    <w:rsid w:val="00BC2E6A"/>
    <w:rsid w:val="00BC2F48"/>
    <w:rsid w:val="00BC2F78"/>
    <w:rsid w:val="00BC3059"/>
    <w:rsid w:val="00BC311F"/>
    <w:rsid w:val="00BC31E7"/>
    <w:rsid w:val="00BC3367"/>
    <w:rsid w:val="00BC33B0"/>
    <w:rsid w:val="00BC3466"/>
    <w:rsid w:val="00BC350C"/>
    <w:rsid w:val="00BC35B7"/>
    <w:rsid w:val="00BC3653"/>
    <w:rsid w:val="00BC3701"/>
    <w:rsid w:val="00BC371C"/>
    <w:rsid w:val="00BC375B"/>
    <w:rsid w:val="00BC376D"/>
    <w:rsid w:val="00BC393E"/>
    <w:rsid w:val="00BC3976"/>
    <w:rsid w:val="00BC39F4"/>
    <w:rsid w:val="00BC3ABD"/>
    <w:rsid w:val="00BC3AE6"/>
    <w:rsid w:val="00BC3BBF"/>
    <w:rsid w:val="00BC3C0A"/>
    <w:rsid w:val="00BC3CBA"/>
    <w:rsid w:val="00BC3D3F"/>
    <w:rsid w:val="00BC3D58"/>
    <w:rsid w:val="00BC3D84"/>
    <w:rsid w:val="00BC3DC1"/>
    <w:rsid w:val="00BC3E75"/>
    <w:rsid w:val="00BC3EF2"/>
    <w:rsid w:val="00BC3F4E"/>
    <w:rsid w:val="00BC3F83"/>
    <w:rsid w:val="00BC3F89"/>
    <w:rsid w:val="00BC3FE2"/>
    <w:rsid w:val="00BC410B"/>
    <w:rsid w:val="00BC413A"/>
    <w:rsid w:val="00BC41C7"/>
    <w:rsid w:val="00BC4310"/>
    <w:rsid w:val="00BC433C"/>
    <w:rsid w:val="00BC439A"/>
    <w:rsid w:val="00BC442E"/>
    <w:rsid w:val="00BC44F7"/>
    <w:rsid w:val="00BC4504"/>
    <w:rsid w:val="00BC4597"/>
    <w:rsid w:val="00BC45BB"/>
    <w:rsid w:val="00BC46B4"/>
    <w:rsid w:val="00BC4782"/>
    <w:rsid w:val="00BC480B"/>
    <w:rsid w:val="00BC482B"/>
    <w:rsid w:val="00BC488D"/>
    <w:rsid w:val="00BC49CC"/>
    <w:rsid w:val="00BC4A01"/>
    <w:rsid w:val="00BC4A03"/>
    <w:rsid w:val="00BC4AAB"/>
    <w:rsid w:val="00BC4B82"/>
    <w:rsid w:val="00BC4BDF"/>
    <w:rsid w:val="00BC4CAF"/>
    <w:rsid w:val="00BC4CFB"/>
    <w:rsid w:val="00BC4DF1"/>
    <w:rsid w:val="00BC5065"/>
    <w:rsid w:val="00BC5123"/>
    <w:rsid w:val="00BC5171"/>
    <w:rsid w:val="00BC520B"/>
    <w:rsid w:val="00BC5245"/>
    <w:rsid w:val="00BC52A7"/>
    <w:rsid w:val="00BC52D3"/>
    <w:rsid w:val="00BC5374"/>
    <w:rsid w:val="00BC542B"/>
    <w:rsid w:val="00BC54FE"/>
    <w:rsid w:val="00BC5640"/>
    <w:rsid w:val="00BC56E3"/>
    <w:rsid w:val="00BC5733"/>
    <w:rsid w:val="00BC574A"/>
    <w:rsid w:val="00BC57B5"/>
    <w:rsid w:val="00BC58A5"/>
    <w:rsid w:val="00BC58A9"/>
    <w:rsid w:val="00BC5929"/>
    <w:rsid w:val="00BC5942"/>
    <w:rsid w:val="00BC5981"/>
    <w:rsid w:val="00BC5A88"/>
    <w:rsid w:val="00BC5AB9"/>
    <w:rsid w:val="00BC5B89"/>
    <w:rsid w:val="00BC5C10"/>
    <w:rsid w:val="00BC5D05"/>
    <w:rsid w:val="00BC5D11"/>
    <w:rsid w:val="00BC5D6E"/>
    <w:rsid w:val="00BC5DA8"/>
    <w:rsid w:val="00BC5DD1"/>
    <w:rsid w:val="00BC5E0A"/>
    <w:rsid w:val="00BC5E5A"/>
    <w:rsid w:val="00BC5F5C"/>
    <w:rsid w:val="00BC600D"/>
    <w:rsid w:val="00BC60E9"/>
    <w:rsid w:val="00BC6145"/>
    <w:rsid w:val="00BC6158"/>
    <w:rsid w:val="00BC6199"/>
    <w:rsid w:val="00BC61F1"/>
    <w:rsid w:val="00BC6293"/>
    <w:rsid w:val="00BC62C1"/>
    <w:rsid w:val="00BC633B"/>
    <w:rsid w:val="00BC6378"/>
    <w:rsid w:val="00BC63D8"/>
    <w:rsid w:val="00BC6418"/>
    <w:rsid w:val="00BC6462"/>
    <w:rsid w:val="00BC647C"/>
    <w:rsid w:val="00BC64A8"/>
    <w:rsid w:val="00BC657C"/>
    <w:rsid w:val="00BC658B"/>
    <w:rsid w:val="00BC65DB"/>
    <w:rsid w:val="00BC6604"/>
    <w:rsid w:val="00BC6673"/>
    <w:rsid w:val="00BC6690"/>
    <w:rsid w:val="00BC66DE"/>
    <w:rsid w:val="00BC66F9"/>
    <w:rsid w:val="00BC6707"/>
    <w:rsid w:val="00BC67B4"/>
    <w:rsid w:val="00BC68F1"/>
    <w:rsid w:val="00BC6924"/>
    <w:rsid w:val="00BC6A20"/>
    <w:rsid w:val="00BC6A35"/>
    <w:rsid w:val="00BC6A93"/>
    <w:rsid w:val="00BC6AFA"/>
    <w:rsid w:val="00BC6B3B"/>
    <w:rsid w:val="00BC6B43"/>
    <w:rsid w:val="00BC6B82"/>
    <w:rsid w:val="00BC6B84"/>
    <w:rsid w:val="00BC6B8A"/>
    <w:rsid w:val="00BC6BB5"/>
    <w:rsid w:val="00BC6D73"/>
    <w:rsid w:val="00BC6E20"/>
    <w:rsid w:val="00BC6E2D"/>
    <w:rsid w:val="00BC6E45"/>
    <w:rsid w:val="00BC6E69"/>
    <w:rsid w:val="00BC6FBE"/>
    <w:rsid w:val="00BC7016"/>
    <w:rsid w:val="00BC7058"/>
    <w:rsid w:val="00BC711B"/>
    <w:rsid w:val="00BC7268"/>
    <w:rsid w:val="00BC7333"/>
    <w:rsid w:val="00BC7351"/>
    <w:rsid w:val="00BC7385"/>
    <w:rsid w:val="00BC738C"/>
    <w:rsid w:val="00BC73E4"/>
    <w:rsid w:val="00BC74FA"/>
    <w:rsid w:val="00BC7610"/>
    <w:rsid w:val="00BC762F"/>
    <w:rsid w:val="00BC7719"/>
    <w:rsid w:val="00BC7758"/>
    <w:rsid w:val="00BC78B6"/>
    <w:rsid w:val="00BC78B7"/>
    <w:rsid w:val="00BC791B"/>
    <w:rsid w:val="00BC791C"/>
    <w:rsid w:val="00BC79DD"/>
    <w:rsid w:val="00BC7A7D"/>
    <w:rsid w:val="00BC7B2A"/>
    <w:rsid w:val="00BC7C3E"/>
    <w:rsid w:val="00BC7DEB"/>
    <w:rsid w:val="00BC7ECD"/>
    <w:rsid w:val="00BC7EE2"/>
    <w:rsid w:val="00BC7EFF"/>
    <w:rsid w:val="00BC7F15"/>
    <w:rsid w:val="00BC7F70"/>
    <w:rsid w:val="00BD005B"/>
    <w:rsid w:val="00BD00AF"/>
    <w:rsid w:val="00BD00B0"/>
    <w:rsid w:val="00BD00C4"/>
    <w:rsid w:val="00BD00DE"/>
    <w:rsid w:val="00BD00F4"/>
    <w:rsid w:val="00BD00FE"/>
    <w:rsid w:val="00BD013A"/>
    <w:rsid w:val="00BD0194"/>
    <w:rsid w:val="00BD01A6"/>
    <w:rsid w:val="00BD0202"/>
    <w:rsid w:val="00BD021C"/>
    <w:rsid w:val="00BD02B3"/>
    <w:rsid w:val="00BD02D8"/>
    <w:rsid w:val="00BD02F5"/>
    <w:rsid w:val="00BD032B"/>
    <w:rsid w:val="00BD0393"/>
    <w:rsid w:val="00BD03E2"/>
    <w:rsid w:val="00BD03EF"/>
    <w:rsid w:val="00BD0422"/>
    <w:rsid w:val="00BD0531"/>
    <w:rsid w:val="00BD064A"/>
    <w:rsid w:val="00BD073B"/>
    <w:rsid w:val="00BD073D"/>
    <w:rsid w:val="00BD08C9"/>
    <w:rsid w:val="00BD08E9"/>
    <w:rsid w:val="00BD08FD"/>
    <w:rsid w:val="00BD0929"/>
    <w:rsid w:val="00BD0A25"/>
    <w:rsid w:val="00BD0A53"/>
    <w:rsid w:val="00BD0AAB"/>
    <w:rsid w:val="00BD0AB9"/>
    <w:rsid w:val="00BD0AF9"/>
    <w:rsid w:val="00BD0B16"/>
    <w:rsid w:val="00BD0B1C"/>
    <w:rsid w:val="00BD0BB8"/>
    <w:rsid w:val="00BD0BD0"/>
    <w:rsid w:val="00BD0C0E"/>
    <w:rsid w:val="00BD0DBF"/>
    <w:rsid w:val="00BD0DE7"/>
    <w:rsid w:val="00BD0E3E"/>
    <w:rsid w:val="00BD0E93"/>
    <w:rsid w:val="00BD0E9D"/>
    <w:rsid w:val="00BD0F3B"/>
    <w:rsid w:val="00BD11D3"/>
    <w:rsid w:val="00BD13CC"/>
    <w:rsid w:val="00BD13EF"/>
    <w:rsid w:val="00BD141B"/>
    <w:rsid w:val="00BD144F"/>
    <w:rsid w:val="00BD14B5"/>
    <w:rsid w:val="00BD151B"/>
    <w:rsid w:val="00BD1543"/>
    <w:rsid w:val="00BD184C"/>
    <w:rsid w:val="00BD185D"/>
    <w:rsid w:val="00BD18A0"/>
    <w:rsid w:val="00BD197D"/>
    <w:rsid w:val="00BD1A63"/>
    <w:rsid w:val="00BD1B01"/>
    <w:rsid w:val="00BD1B2D"/>
    <w:rsid w:val="00BD1D79"/>
    <w:rsid w:val="00BD1D93"/>
    <w:rsid w:val="00BD1EFB"/>
    <w:rsid w:val="00BD1F9A"/>
    <w:rsid w:val="00BD1FD8"/>
    <w:rsid w:val="00BD2177"/>
    <w:rsid w:val="00BD2207"/>
    <w:rsid w:val="00BD228E"/>
    <w:rsid w:val="00BD22F9"/>
    <w:rsid w:val="00BD23CC"/>
    <w:rsid w:val="00BD23D7"/>
    <w:rsid w:val="00BD24EA"/>
    <w:rsid w:val="00BD2551"/>
    <w:rsid w:val="00BD25C4"/>
    <w:rsid w:val="00BD25EA"/>
    <w:rsid w:val="00BD26AA"/>
    <w:rsid w:val="00BD26EC"/>
    <w:rsid w:val="00BD2779"/>
    <w:rsid w:val="00BD27C1"/>
    <w:rsid w:val="00BD27D8"/>
    <w:rsid w:val="00BD2AD2"/>
    <w:rsid w:val="00BD2B12"/>
    <w:rsid w:val="00BD2B20"/>
    <w:rsid w:val="00BD2B68"/>
    <w:rsid w:val="00BD2BBF"/>
    <w:rsid w:val="00BD2C96"/>
    <w:rsid w:val="00BD2CE8"/>
    <w:rsid w:val="00BD2D72"/>
    <w:rsid w:val="00BD2D85"/>
    <w:rsid w:val="00BD2E4B"/>
    <w:rsid w:val="00BD2EFC"/>
    <w:rsid w:val="00BD2F71"/>
    <w:rsid w:val="00BD2F84"/>
    <w:rsid w:val="00BD2F88"/>
    <w:rsid w:val="00BD2FFC"/>
    <w:rsid w:val="00BD308D"/>
    <w:rsid w:val="00BD30B8"/>
    <w:rsid w:val="00BD313F"/>
    <w:rsid w:val="00BD3150"/>
    <w:rsid w:val="00BD31DB"/>
    <w:rsid w:val="00BD32CE"/>
    <w:rsid w:val="00BD3324"/>
    <w:rsid w:val="00BD338D"/>
    <w:rsid w:val="00BD33A7"/>
    <w:rsid w:val="00BD33C9"/>
    <w:rsid w:val="00BD33E2"/>
    <w:rsid w:val="00BD34B5"/>
    <w:rsid w:val="00BD34CE"/>
    <w:rsid w:val="00BD350B"/>
    <w:rsid w:val="00BD356F"/>
    <w:rsid w:val="00BD3664"/>
    <w:rsid w:val="00BD366E"/>
    <w:rsid w:val="00BD368A"/>
    <w:rsid w:val="00BD3720"/>
    <w:rsid w:val="00BD37DA"/>
    <w:rsid w:val="00BD37EC"/>
    <w:rsid w:val="00BD37EF"/>
    <w:rsid w:val="00BD3876"/>
    <w:rsid w:val="00BD391F"/>
    <w:rsid w:val="00BD39C8"/>
    <w:rsid w:val="00BD3AAA"/>
    <w:rsid w:val="00BD3B09"/>
    <w:rsid w:val="00BD3C63"/>
    <w:rsid w:val="00BD3C7C"/>
    <w:rsid w:val="00BD3CFF"/>
    <w:rsid w:val="00BD3E18"/>
    <w:rsid w:val="00BD3EAF"/>
    <w:rsid w:val="00BD3F55"/>
    <w:rsid w:val="00BD3F8D"/>
    <w:rsid w:val="00BD402B"/>
    <w:rsid w:val="00BD4061"/>
    <w:rsid w:val="00BD41C6"/>
    <w:rsid w:val="00BD41D8"/>
    <w:rsid w:val="00BD41FB"/>
    <w:rsid w:val="00BD4208"/>
    <w:rsid w:val="00BD42C4"/>
    <w:rsid w:val="00BD43B5"/>
    <w:rsid w:val="00BD43DA"/>
    <w:rsid w:val="00BD441E"/>
    <w:rsid w:val="00BD4425"/>
    <w:rsid w:val="00BD4458"/>
    <w:rsid w:val="00BD454F"/>
    <w:rsid w:val="00BD4559"/>
    <w:rsid w:val="00BD456D"/>
    <w:rsid w:val="00BD45B4"/>
    <w:rsid w:val="00BD4673"/>
    <w:rsid w:val="00BD4801"/>
    <w:rsid w:val="00BD4929"/>
    <w:rsid w:val="00BD4930"/>
    <w:rsid w:val="00BD49D3"/>
    <w:rsid w:val="00BD4A24"/>
    <w:rsid w:val="00BD4AA1"/>
    <w:rsid w:val="00BD4B07"/>
    <w:rsid w:val="00BD4B31"/>
    <w:rsid w:val="00BD4BD1"/>
    <w:rsid w:val="00BD4C85"/>
    <w:rsid w:val="00BD4CE6"/>
    <w:rsid w:val="00BD4DAE"/>
    <w:rsid w:val="00BD4DBF"/>
    <w:rsid w:val="00BD4E53"/>
    <w:rsid w:val="00BD4E6F"/>
    <w:rsid w:val="00BD4F28"/>
    <w:rsid w:val="00BD4F2D"/>
    <w:rsid w:val="00BD501B"/>
    <w:rsid w:val="00BD5096"/>
    <w:rsid w:val="00BD50D4"/>
    <w:rsid w:val="00BD5116"/>
    <w:rsid w:val="00BD5154"/>
    <w:rsid w:val="00BD5174"/>
    <w:rsid w:val="00BD51E1"/>
    <w:rsid w:val="00BD524D"/>
    <w:rsid w:val="00BD5263"/>
    <w:rsid w:val="00BD5291"/>
    <w:rsid w:val="00BD52C4"/>
    <w:rsid w:val="00BD52DD"/>
    <w:rsid w:val="00BD52FD"/>
    <w:rsid w:val="00BD5343"/>
    <w:rsid w:val="00BD53FB"/>
    <w:rsid w:val="00BD5443"/>
    <w:rsid w:val="00BD5653"/>
    <w:rsid w:val="00BD5668"/>
    <w:rsid w:val="00BD56A6"/>
    <w:rsid w:val="00BD56D8"/>
    <w:rsid w:val="00BD5752"/>
    <w:rsid w:val="00BD576B"/>
    <w:rsid w:val="00BD57A4"/>
    <w:rsid w:val="00BD580D"/>
    <w:rsid w:val="00BD5828"/>
    <w:rsid w:val="00BD5898"/>
    <w:rsid w:val="00BD58A9"/>
    <w:rsid w:val="00BD5924"/>
    <w:rsid w:val="00BD5994"/>
    <w:rsid w:val="00BD59BA"/>
    <w:rsid w:val="00BD5A01"/>
    <w:rsid w:val="00BD5AC2"/>
    <w:rsid w:val="00BD5AD5"/>
    <w:rsid w:val="00BD5B98"/>
    <w:rsid w:val="00BD5BB0"/>
    <w:rsid w:val="00BD5CEF"/>
    <w:rsid w:val="00BD5D15"/>
    <w:rsid w:val="00BD5D63"/>
    <w:rsid w:val="00BD5D74"/>
    <w:rsid w:val="00BD5E24"/>
    <w:rsid w:val="00BD5E93"/>
    <w:rsid w:val="00BD5ED0"/>
    <w:rsid w:val="00BD5EEF"/>
    <w:rsid w:val="00BD5FA8"/>
    <w:rsid w:val="00BD6015"/>
    <w:rsid w:val="00BD609E"/>
    <w:rsid w:val="00BD60D5"/>
    <w:rsid w:val="00BD6112"/>
    <w:rsid w:val="00BD6133"/>
    <w:rsid w:val="00BD621E"/>
    <w:rsid w:val="00BD6247"/>
    <w:rsid w:val="00BD62BE"/>
    <w:rsid w:val="00BD62E2"/>
    <w:rsid w:val="00BD6331"/>
    <w:rsid w:val="00BD636C"/>
    <w:rsid w:val="00BD63D5"/>
    <w:rsid w:val="00BD6544"/>
    <w:rsid w:val="00BD654F"/>
    <w:rsid w:val="00BD655F"/>
    <w:rsid w:val="00BD659D"/>
    <w:rsid w:val="00BD65A4"/>
    <w:rsid w:val="00BD65B7"/>
    <w:rsid w:val="00BD65C6"/>
    <w:rsid w:val="00BD65CB"/>
    <w:rsid w:val="00BD65EB"/>
    <w:rsid w:val="00BD6610"/>
    <w:rsid w:val="00BD6627"/>
    <w:rsid w:val="00BD6670"/>
    <w:rsid w:val="00BD6680"/>
    <w:rsid w:val="00BD66FB"/>
    <w:rsid w:val="00BD6919"/>
    <w:rsid w:val="00BD6926"/>
    <w:rsid w:val="00BD6935"/>
    <w:rsid w:val="00BD696B"/>
    <w:rsid w:val="00BD69E7"/>
    <w:rsid w:val="00BD6AF6"/>
    <w:rsid w:val="00BD6B32"/>
    <w:rsid w:val="00BD6B4B"/>
    <w:rsid w:val="00BD6BAB"/>
    <w:rsid w:val="00BD6C3D"/>
    <w:rsid w:val="00BD6D02"/>
    <w:rsid w:val="00BD6D39"/>
    <w:rsid w:val="00BD6F06"/>
    <w:rsid w:val="00BD7075"/>
    <w:rsid w:val="00BD713D"/>
    <w:rsid w:val="00BD7161"/>
    <w:rsid w:val="00BD7177"/>
    <w:rsid w:val="00BD72BA"/>
    <w:rsid w:val="00BD7335"/>
    <w:rsid w:val="00BD7389"/>
    <w:rsid w:val="00BD7399"/>
    <w:rsid w:val="00BD746B"/>
    <w:rsid w:val="00BD7563"/>
    <w:rsid w:val="00BD75B2"/>
    <w:rsid w:val="00BD75D0"/>
    <w:rsid w:val="00BD767A"/>
    <w:rsid w:val="00BD76B6"/>
    <w:rsid w:val="00BD775F"/>
    <w:rsid w:val="00BD77C5"/>
    <w:rsid w:val="00BD786D"/>
    <w:rsid w:val="00BD796F"/>
    <w:rsid w:val="00BD7A50"/>
    <w:rsid w:val="00BD7A68"/>
    <w:rsid w:val="00BD7AF9"/>
    <w:rsid w:val="00BD7B82"/>
    <w:rsid w:val="00BD7BEA"/>
    <w:rsid w:val="00BD7C7A"/>
    <w:rsid w:val="00BD7CBE"/>
    <w:rsid w:val="00BD7D52"/>
    <w:rsid w:val="00BD7DDC"/>
    <w:rsid w:val="00BD7E67"/>
    <w:rsid w:val="00BD7EF8"/>
    <w:rsid w:val="00BD7FF5"/>
    <w:rsid w:val="00BE003F"/>
    <w:rsid w:val="00BE006D"/>
    <w:rsid w:val="00BE00ED"/>
    <w:rsid w:val="00BE014F"/>
    <w:rsid w:val="00BE0170"/>
    <w:rsid w:val="00BE0186"/>
    <w:rsid w:val="00BE01F4"/>
    <w:rsid w:val="00BE0245"/>
    <w:rsid w:val="00BE035E"/>
    <w:rsid w:val="00BE0445"/>
    <w:rsid w:val="00BE0481"/>
    <w:rsid w:val="00BE04C9"/>
    <w:rsid w:val="00BE04EF"/>
    <w:rsid w:val="00BE05DF"/>
    <w:rsid w:val="00BE069B"/>
    <w:rsid w:val="00BE06B6"/>
    <w:rsid w:val="00BE06E2"/>
    <w:rsid w:val="00BE072C"/>
    <w:rsid w:val="00BE0796"/>
    <w:rsid w:val="00BE093A"/>
    <w:rsid w:val="00BE0959"/>
    <w:rsid w:val="00BE0977"/>
    <w:rsid w:val="00BE0B1F"/>
    <w:rsid w:val="00BE0BEC"/>
    <w:rsid w:val="00BE0C2C"/>
    <w:rsid w:val="00BE0C3F"/>
    <w:rsid w:val="00BE0C7B"/>
    <w:rsid w:val="00BE0CC8"/>
    <w:rsid w:val="00BE0CE6"/>
    <w:rsid w:val="00BE0D0A"/>
    <w:rsid w:val="00BE0E42"/>
    <w:rsid w:val="00BE0EBD"/>
    <w:rsid w:val="00BE0ED7"/>
    <w:rsid w:val="00BE0F0F"/>
    <w:rsid w:val="00BE1013"/>
    <w:rsid w:val="00BE10A5"/>
    <w:rsid w:val="00BE1173"/>
    <w:rsid w:val="00BE11BE"/>
    <w:rsid w:val="00BE11F0"/>
    <w:rsid w:val="00BE125B"/>
    <w:rsid w:val="00BE12AA"/>
    <w:rsid w:val="00BE12F4"/>
    <w:rsid w:val="00BE137C"/>
    <w:rsid w:val="00BE13CD"/>
    <w:rsid w:val="00BE14BD"/>
    <w:rsid w:val="00BE14C5"/>
    <w:rsid w:val="00BE152E"/>
    <w:rsid w:val="00BE1565"/>
    <w:rsid w:val="00BE1591"/>
    <w:rsid w:val="00BE161F"/>
    <w:rsid w:val="00BE17F3"/>
    <w:rsid w:val="00BE17FF"/>
    <w:rsid w:val="00BE18D6"/>
    <w:rsid w:val="00BE18D9"/>
    <w:rsid w:val="00BE19A7"/>
    <w:rsid w:val="00BE19C5"/>
    <w:rsid w:val="00BE1A6F"/>
    <w:rsid w:val="00BE1B68"/>
    <w:rsid w:val="00BE1B88"/>
    <w:rsid w:val="00BE1BF2"/>
    <w:rsid w:val="00BE1C0E"/>
    <w:rsid w:val="00BE1CAE"/>
    <w:rsid w:val="00BE1CBA"/>
    <w:rsid w:val="00BE1E7E"/>
    <w:rsid w:val="00BE1F50"/>
    <w:rsid w:val="00BE1FBE"/>
    <w:rsid w:val="00BE20C7"/>
    <w:rsid w:val="00BE2100"/>
    <w:rsid w:val="00BE21FA"/>
    <w:rsid w:val="00BE226C"/>
    <w:rsid w:val="00BE2278"/>
    <w:rsid w:val="00BE22C4"/>
    <w:rsid w:val="00BE2334"/>
    <w:rsid w:val="00BE234F"/>
    <w:rsid w:val="00BE23D0"/>
    <w:rsid w:val="00BE2411"/>
    <w:rsid w:val="00BE24EC"/>
    <w:rsid w:val="00BE26B0"/>
    <w:rsid w:val="00BE2710"/>
    <w:rsid w:val="00BE27A1"/>
    <w:rsid w:val="00BE28D3"/>
    <w:rsid w:val="00BE28DA"/>
    <w:rsid w:val="00BE2971"/>
    <w:rsid w:val="00BE297F"/>
    <w:rsid w:val="00BE2A37"/>
    <w:rsid w:val="00BE2A5D"/>
    <w:rsid w:val="00BE2AC2"/>
    <w:rsid w:val="00BE2AE9"/>
    <w:rsid w:val="00BE2B98"/>
    <w:rsid w:val="00BE2C18"/>
    <w:rsid w:val="00BE2DA6"/>
    <w:rsid w:val="00BE2E33"/>
    <w:rsid w:val="00BE2E4E"/>
    <w:rsid w:val="00BE2EE8"/>
    <w:rsid w:val="00BE2EF8"/>
    <w:rsid w:val="00BE2FE8"/>
    <w:rsid w:val="00BE3035"/>
    <w:rsid w:val="00BE308D"/>
    <w:rsid w:val="00BE319A"/>
    <w:rsid w:val="00BE31D4"/>
    <w:rsid w:val="00BE3267"/>
    <w:rsid w:val="00BE33B4"/>
    <w:rsid w:val="00BE3414"/>
    <w:rsid w:val="00BE349E"/>
    <w:rsid w:val="00BE34D2"/>
    <w:rsid w:val="00BE34E7"/>
    <w:rsid w:val="00BE3547"/>
    <w:rsid w:val="00BE3565"/>
    <w:rsid w:val="00BE3589"/>
    <w:rsid w:val="00BE36D3"/>
    <w:rsid w:val="00BE3726"/>
    <w:rsid w:val="00BE3751"/>
    <w:rsid w:val="00BE37DB"/>
    <w:rsid w:val="00BE3804"/>
    <w:rsid w:val="00BE3840"/>
    <w:rsid w:val="00BE38A8"/>
    <w:rsid w:val="00BE38B7"/>
    <w:rsid w:val="00BE38BD"/>
    <w:rsid w:val="00BE38E2"/>
    <w:rsid w:val="00BE390B"/>
    <w:rsid w:val="00BE3958"/>
    <w:rsid w:val="00BE396F"/>
    <w:rsid w:val="00BE39D0"/>
    <w:rsid w:val="00BE3A0A"/>
    <w:rsid w:val="00BE3A4D"/>
    <w:rsid w:val="00BE3B27"/>
    <w:rsid w:val="00BE3B84"/>
    <w:rsid w:val="00BE3BCA"/>
    <w:rsid w:val="00BE3BE9"/>
    <w:rsid w:val="00BE3C78"/>
    <w:rsid w:val="00BE3D26"/>
    <w:rsid w:val="00BE3D45"/>
    <w:rsid w:val="00BE3D76"/>
    <w:rsid w:val="00BE3E83"/>
    <w:rsid w:val="00BE3EC9"/>
    <w:rsid w:val="00BE3FFC"/>
    <w:rsid w:val="00BE4056"/>
    <w:rsid w:val="00BE4088"/>
    <w:rsid w:val="00BE4118"/>
    <w:rsid w:val="00BE416F"/>
    <w:rsid w:val="00BE4187"/>
    <w:rsid w:val="00BE41C7"/>
    <w:rsid w:val="00BE4297"/>
    <w:rsid w:val="00BE42C8"/>
    <w:rsid w:val="00BE42EB"/>
    <w:rsid w:val="00BE430A"/>
    <w:rsid w:val="00BE436F"/>
    <w:rsid w:val="00BE43CD"/>
    <w:rsid w:val="00BE43DE"/>
    <w:rsid w:val="00BE446B"/>
    <w:rsid w:val="00BE44D8"/>
    <w:rsid w:val="00BE450C"/>
    <w:rsid w:val="00BE4550"/>
    <w:rsid w:val="00BE4598"/>
    <w:rsid w:val="00BE45D4"/>
    <w:rsid w:val="00BE465A"/>
    <w:rsid w:val="00BE46DA"/>
    <w:rsid w:val="00BE471D"/>
    <w:rsid w:val="00BE4728"/>
    <w:rsid w:val="00BE481E"/>
    <w:rsid w:val="00BE4840"/>
    <w:rsid w:val="00BE4998"/>
    <w:rsid w:val="00BE4A19"/>
    <w:rsid w:val="00BE4BA0"/>
    <w:rsid w:val="00BE4CA3"/>
    <w:rsid w:val="00BE4CF4"/>
    <w:rsid w:val="00BE4CF6"/>
    <w:rsid w:val="00BE4D7E"/>
    <w:rsid w:val="00BE4D90"/>
    <w:rsid w:val="00BE4DEF"/>
    <w:rsid w:val="00BE5020"/>
    <w:rsid w:val="00BE506B"/>
    <w:rsid w:val="00BE50B2"/>
    <w:rsid w:val="00BE5110"/>
    <w:rsid w:val="00BE5131"/>
    <w:rsid w:val="00BE5209"/>
    <w:rsid w:val="00BE525A"/>
    <w:rsid w:val="00BE53B5"/>
    <w:rsid w:val="00BE54BC"/>
    <w:rsid w:val="00BE54D7"/>
    <w:rsid w:val="00BE55A4"/>
    <w:rsid w:val="00BE56E7"/>
    <w:rsid w:val="00BE5845"/>
    <w:rsid w:val="00BE588C"/>
    <w:rsid w:val="00BE589F"/>
    <w:rsid w:val="00BE58F3"/>
    <w:rsid w:val="00BE597F"/>
    <w:rsid w:val="00BE5A22"/>
    <w:rsid w:val="00BE5A67"/>
    <w:rsid w:val="00BE5A7D"/>
    <w:rsid w:val="00BE5B09"/>
    <w:rsid w:val="00BE5B82"/>
    <w:rsid w:val="00BE5C76"/>
    <w:rsid w:val="00BE5D40"/>
    <w:rsid w:val="00BE5D7C"/>
    <w:rsid w:val="00BE5D91"/>
    <w:rsid w:val="00BE5DC8"/>
    <w:rsid w:val="00BE5DD7"/>
    <w:rsid w:val="00BE5E05"/>
    <w:rsid w:val="00BE5E28"/>
    <w:rsid w:val="00BE5E6C"/>
    <w:rsid w:val="00BE5E8D"/>
    <w:rsid w:val="00BE5EA2"/>
    <w:rsid w:val="00BE5F0E"/>
    <w:rsid w:val="00BE60A5"/>
    <w:rsid w:val="00BE61E1"/>
    <w:rsid w:val="00BE61F5"/>
    <w:rsid w:val="00BE6269"/>
    <w:rsid w:val="00BE626D"/>
    <w:rsid w:val="00BE6351"/>
    <w:rsid w:val="00BE635B"/>
    <w:rsid w:val="00BE636B"/>
    <w:rsid w:val="00BE6388"/>
    <w:rsid w:val="00BE63C7"/>
    <w:rsid w:val="00BE642A"/>
    <w:rsid w:val="00BE6550"/>
    <w:rsid w:val="00BE65C4"/>
    <w:rsid w:val="00BE65E9"/>
    <w:rsid w:val="00BE6759"/>
    <w:rsid w:val="00BE67E6"/>
    <w:rsid w:val="00BE6825"/>
    <w:rsid w:val="00BE693E"/>
    <w:rsid w:val="00BE6954"/>
    <w:rsid w:val="00BE6967"/>
    <w:rsid w:val="00BE6A06"/>
    <w:rsid w:val="00BE6A0F"/>
    <w:rsid w:val="00BE6A5E"/>
    <w:rsid w:val="00BE6AAD"/>
    <w:rsid w:val="00BE6AF1"/>
    <w:rsid w:val="00BE6AF3"/>
    <w:rsid w:val="00BE6B0F"/>
    <w:rsid w:val="00BE6B5A"/>
    <w:rsid w:val="00BE6B8C"/>
    <w:rsid w:val="00BE6C4F"/>
    <w:rsid w:val="00BE6D37"/>
    <w:rsid w:val="00BE6D8A"/>
    <w:rsid w:val="00BE6E04"/>
    <w:rsid w:val="00BE6E19"/>
    <w:rsid w:val="00BE6E8F"/>
    <w:rsid w:val="00BE6F55"/>
    <w:rsid w:val="00BE6FCB"/>
    <w:rsid w:val="00BE7138"/>
    <w:rsid w:val="00BE72E2"/>
    <w:rsid w:val="00BE72E6"/>
    <w:rsid w:val="00BE7331"/>
    <w:rsid w:val="00BE73D4"/>
    <w:rsid w:val="00BE747D"/>
    <w:rsid w:val="00BE74D4"/>
    <w:rsid w:val="00BE751A"/>
    <w:rsid w:val="00BE7560"/>
    <w:rsid w:val="00BE77A8"/>
    <w:rsid w:val="00BE77BC"/>
    <w:rsid w:val="00BE77BE"/>
    <w:rsid w:val="00BE77E7"/>
    <w:rsid w:val="00BE787D"/>
    <w:rsid w:val="00BE7974"/>
    <w:rsid w:val="00BE7985"/>
    <w:rsid w:val="00BE7ACD"/>
    <w:rsid w:val="00BE7B0B"/>
    <w:rsid w:val="00BE7B33"/>
    <w:rsid w:val="00BE7B71"/>
    <w:rsid w:val="00BE7C0D"/>
    <w:rsid w:val="00BE7CC8"/>
    <w:rsid w:val="00BE7EA5"/>
    <w:rsid w:val="00BE7F19"/>
    <w:rsid w:val="00BE7F5A"/>
    <w:rsid w:val="00BE7FFA"/>
    <w:rsid w:val="00BF0011"/>
    <w:rsid w:val="00BF0036"/>
    <w:rsid w:val="00BF012A"/>
    <w:rsid w:val="00BF016F"/>
    <w:rsid w:val="00BF01CF"/>
    <w:rsid w:val="00BF02E5"/>
    <w:rsid w:val="00BF0300"/>
    <w:rsid w:val="00BF0375"/>
    <w:rsid w:val="00BF04BB"/>
    <w:rsid w:val="00BF04D5"/>
    <w:rsid w:val="00BF04F6"/>
    <w:rsid w:val="00BF057D"/>
    <w:rsid w:val="00BF06DA"/>
    <w:rsid w:val="00BF0709"/>
    <w:rsid w:val="00BF09C9"/>
    <w:rsid w:val="00BF09D3"/>
    <w:rsid w:val="00BF0A03"/>
    <w:rsid w:val="00BF0A57"/>
    <w:rsid w:val="00BF0A82"/>
    <w:rsid w:val="00BF0B04"/>
    <w:rsid w:val="00BF0D41"/>
    <w:rsid w:val="00BF0D85"/>
    <w:rsid w:val="00BF0D93"/>
    <w:rsid w:val="00BF0D9F"/>
    <w:rsid w:val="00BF0E10"/>
    <w:rsid w:val="00BF0E48"/>
    <w:rsid w:val="00BF0EAC"/>
    <w:rsid w:val="00BF0F58"/>
    <w:rsid w:val="00BF0FB7"/>
    <w:rsid w:val="00BF0FD4"/>
    <w:rsid w:val="00BF1036"/>
    <w:rsid w:val="00BF1122"/>
    <w:rsid w:val="00BF115B"/>
    <w:rsid w:val="00BF12C5"/>
    <w:rsid w:val="00BF1302"/>
    <w:rsid w:val="00BF139C"/>
    <w:rsid w:val="00BF13D5"/>
    <w:rsid w:val="00BF1412"/>
    <w:rsid w:val="00BF1455"/>
    <w:rsid w:val="00BF1496"/>
    <w:rsid w:val="00BF150B"/>
    <w:rsid w:val="00BF1540"/>
    <w:rsid w:val="00BF1569"/>
    <w:rsid w:val="00BF15AF"/>
    <w:rsid w:val="00BF1661"/>
    <w:rsid w:val="00BF1706"/>
    <w:rsid w:val="00BF171B"/>
    <w:rsid w:val="00BF17B7"/>
    <w:rsid w:val="00BF18E8"/>
    <w:rsid w:val="00BF18F2"/>
    <w:rsid w:val="00BF191B"/>
    <w:rsid w:val="00BF1953"/>
    <w:rsid w:val="00BF1993"/>
    <w:rsid w:val="00BF19A5"/>
    <w:rsid w:val="00BF19C5"/>
    <w:rsid w:val="00BF1A0D"/>
    <w:rsid w:val="00BF1A2F"/>
    <w:rsid w:val="00BF1A59"/>
    <w:rsid w:val="00BF1AB7"/>
    <w:rsid w:val="00BF1AB9"/>
    <w:rsid w:val="00BF1B31"/>
    <w:rsid w:val="00BF1BAE"/>
    <w:rsid w:val="00BF1BE6"/>
    <w:rsid w:val="00BF1C33"/>
    <w:rsid w:val="00BF1CBC"/>
    <w:rsid w:val="00BF1CED"/>
    <w:rsid w:val="00BF1EA4"/>
    <w:rsid w:val="00BF1F36"/>
    <w:rsid w:val="00BF1FC2"/>
    <w:rsid w:val="00BF207B"/>
    <w:rsid w:val="00BF2080"/>
    <w:rsid w:val="00BF20E6"/>
    <w:rsid w:val="00BF21EA"/>
    <w:rsid w:val="00BF2235"/>
    <w:rsid w:val="00BF22B8"/>
    <w:rsid w:val="00BF2335"/>
    <w:rsid w:val="00BF250A"/>
    <w:rsid w:val="00BF2592"/>
    <w:rsid w:val="00BF25D3"/>
    <w:rsid w:val="00BF26EC"/>
    <w:rsid w:val="00BF2793"/>
    <w:rsid w:val="00BF284B"/>
    <w:rsid w:val="00BF285D"/>
    <w:rsid w:val="00BF28B1"/>
    <w:rsid w:val="00BF29A8"/>
    <w:rsid w:val="00BF29EA"/>
    <w:rsid w:val="00BF2A26"/>
    <w:rsid w:val="00BF2A43"/>
    <w:rsid w:val="00BF2A52"/>
    <w:rsid w:val="00BF2BAA"/>
    <w:rsid w:val="00BF2BFC"/>
    <w:rsid w:val="00BF2C0E"/>
    <w:rsid w:val="00BF2C22"/>
    <w:rsid w:val="00BF2C90"/>
    <w:rsid w:val="00BF2D81"/>
    <w:rsid w:val="00BF2D90"/>
    <w:rsid w:val="00BF2F80"/>
    <w:rsid w:val="00BF3042"/>
    <w:rsid w:val="00BF3098"/>
    <w:rsid w:val="00BF30D0"/>
    <w:rsid w:val="00BF318B"/>
    <w:rsid w:val="00BF3223"/>
    <w:rsid w:val="00BF32AC"/>
    <w:rsid w:val="00BF33A3"/>
    <w:rsid w:val="00BF3418"/>
    <w:rsid w:val="00BF341A"/>
    <w:rsid w:val="00BF3493"/>
    <w:rsid w:val="00BF34EE"/>
    <w:rsid w:val="00BF359E"/>
    <w:rsid w:val="00BF35D1"/>
    <w:rsid w:val="00BF3627"/>
    <w:rsid w:val="00BF36A8"/>
    <w:rsid w:val="00BF36BA"/>
    <w:rsid w:val="00BF373D"/>
    <w:rsid w:val="00BF3752"/>
    <w:rsid w:val="00BF375C"/>
    <w:rsid w:val="00BF37AD"/>
    <w:rsid w:val="00BF37E6"/>
    <w:rsid w:val="00BF3885"/>
    <w:rsid w:val="00BF38A9"/>
    <w:rsid w:val="00BF38AF"/>
    <w:rsid w:val="00BF39B5"/>
    <w:rsid w:val="00BF39E5"/>
    <w:rsid w:val="00BF3A1D"/>
    <w:rsid w:val="00BF3A2A"/>
    <w:rsid w:val="00BF3A49"/>
    <w:rsid w:val="00BF3A91"/>
    <w:rsid w:val="00BF3A92"/>
    <w:rsid w:val="00BF3AB0"/>
    <w:rsid w:val="00BF3AE6"/>
    <w:rsid w:val="00BF3B4B"/>
    <w:rsid w:val="00BF3B59"/>
    <w:rsid w:val="00BF3BCD"/>
    <w:rsid w:val="00BF3BDB"/>
    <w:rsid w:val="00BF3C3D"/>
    <w:rsid w:val="00BF3C57"/>
    <w:rsid w:val="00BF3C62"/>
    <w:rsid w:val="00BF3D7B"/>
    <w:rsid w:val="00BF3D7D"/>
    <w:rsid w:val="00BF3E24"/>
    <w:rsid w:val="00BF3E5A"/>
    <w:rsid w:val="00BF3E94"/>
    <w:rsid w:val="00BF3FFC"/>
    <w:rsid w:val="00BF40B0"/>
    <w:rsid w:val="00BF40ED"/>
    <w:rsid w:val="00BF414B"/>
    <w:rsid w:val="00BF41C4"/>
    <w:rsid w:val="00BF41EB"/>
    <w:rsid w:val="00BF4243"/>
    <w:rsid w:val="00BF4244"/>
    <w:rsid w:val="00BF4417"/>
    <w:rsid w:val="00BF4483"/>
    <w:rsid w:val="00BF4516"/>
    <w:rsid w:val="00BF4543"/>
    <w:rsid w:val="00BF45C1"/>
    <w:rsid w:val="00BF45C9"/>
    <w:rsid w:val="00BF464A"/>
    <w:rsid w:val="00BF46F8"/>
    <w:rsid w:val="00BF4701"/>
    <w:rsid w:val="00BF4715"/>
    <w:rsid w:val="00BF4790"/>
    <w:rsid w:val="00BF4904"/>
    <w:rsid w:val="00BF4939"/>
    <w:rsid w:val="00BF49FA"/>
    <w:rsid w:val="00BF4A21"/>
    <w:rsid w:val="00BF4A3C"/>
    <w:rsid w:val="00BF4A51"/>
    <w:rsid w:val="00BF4BC1"/>
    <w:rsid w:val="00BF4C1D"/>
    <w:rsid w:val="00BF4C9A"/>
    <w:rsid w:val="00BF4CE0"/>
    <w:rsid w:val="00BF4DE9"/>
    <w:rsid w:val="00BF4E51"/>
    <w:rsid w:val="00BF4E73"/>
    <w:rsid w:val="00BF4E85"/>
    <w:rsid w:val="00BF4E96"/>
    <w:rsid w:val="00BF4EB3"/>
    <w:rsid w:val="00BF4ECA"/>
    <w:rsid w:val="00BF4EEB"/>
    <w:rsid w:val="00BF4F85"/>
    <w:rsid w:val="00BF4FC5"/>
    <w:rsid w:val="00BF50F0"/>
    <w:rsid w:val="00BF512B"/>
    <w:rsid w:val="00BF515D"/>
    <w:rsid w:val="00BF5242"/>
    <w:rsid w:val="00BF52AB"/>
    <w:rsid w:val="00BF52CE"/>
    <w:rsid w:val="00BF53FB"/>
    <w:rsid w:val="00BF5404"/>
    <w:rsid w:val="00BF542D"/>
    <w:rsid w:val="00BF549E"/>
    <w:rsid w:val="00BF54EF"/>
    <w:rsid w:val="00BF5538"/>
    <w:rsid w:val="00BF5595"/>
    <w:rsid w:val="00BF55E1"/>
    <w:rsid w:val="00BF55ED"/>
    <w:rsid w:val="00BF566F"/>
    <w:rsid w:val="00BF56D6"/>
    <w:rsid w:val="00BF571F"/>
    <w:rsid w:val="00BF573B"/>
    <w:rsid w:val="00BF57C8"/>
    <w:rsid w:val="00BF5854"/>
    <w:rsid w:val="00BF5889"/>
    <w:rsid w:val="00BF58EC"/>
    <w:rsid w:val="00BF5901"/>
    <w:rsid w:val="00BF5913"/>
    <w:rsid w:val="00BF59E6"/>
    <w:rsid w:val="00BF5AA9"/>
    <w:rsid w:val="00BF5AB1"/>
    <w:rsid w:val="00BF5B1C"/>
    <w:rsid w:val="00BF5BBE"/>
    <w:rsid w:val="00BF5C0D"/>
    <w:rsid w:val="00BF5C3D"/>
    <w:rsid w:val="00BF5CEA"/>
    <w:rsid w:val="00BF5D10"/>
    <w:rsid w:val="00BF5D22"/>
    <w:rsid w:val="00BF5D39"/>
    <w:rsid w:val="00BF5D8E"/>
    <w:rsid w:val="00BF5E27"/>
    <w:rsid w:val="00BF5E66"/>
    <w:rsid w:val="00BF5E90"/>
    <w:rsid w:val="00BF5F43"/>
    <w:rsid w:val="00BF5F84"/>
    <w:rsid w:val="00BF6028"/>
    <w:rsid w:val="00BF6097"/>
    <w:rsid w:val="00BF60A4"/>
    <w:rsid w:val="00BF612A"/>
    <w:rsid w:val="00BF61CB"/>
    <w:rsid w:val="00BF626C"/>
    <w:rsid w:val="00BF62B6"/>
    <w:rsid w:val="00BF62BA"/>
    <w:rsid w:val="00BF62FF"/>
    <w:rsid w:val="00BF6313"/>
    <w:rsid w:val="00BF63B8"/>
    <w:rsid w:val="00BF6441"/>
    <w:rsid w:val="00BF6457"/>
    <w:rsid w:val="00BF6480"/>
    <w:rsid w:val="00BF64CD"/>
    <w:rsid w:val="00BF65B4"/>
    <w:rsid w:val="00BF65D3"/>
    <w:rsid w:val="00BF6650"/>
    <w:rsid w:val="00BF6667"/>
    <w:rsid w:val="00BF66F0"/>
    <w:rsid w:val="00BF683C"/>
    <w:rsid w:val="00BF6A0F"/>
    <w:rsid w:val="00BF6A6B"/>
    <w:rsid w:val="00BF6A73"/>
    <w:rsid w:val="00BF6AE8"/>
    <w:rsid w:val="00BF6B35"/>
    <w:rsid w:val="00BF6B75"/>
    <w:rsid w:val="00BF6BED"/>
    <w:rsid w:val="00BF6D63"/>
    <w:rsid w:val="00BF6D99"/>
    <w:rsid w:val="00BF6DAB"/>
    <w:rsid w:val="00BF6EDA"/>
    <w:rsid w:val="00BF6F67"/>
    <w:rsid w:val="00BF6F7A"/>
    <w:rsid w:val="00BF702C"/>
    <w:rsid w:val="00BF7091"/>
    <w:rsid w:val="00BF70C5"/>
    <w:rsid w:val="00BF70D8"/>
    <w:rsid w:val="00BF71BE"/>
    <w:rsid w:val="00BF721D"/>
    <w:rsid w:val="00BF72D8"/>
    <w:rsid w:val="00BF73B4"/>
    <w:rsid w:val="00BF73BB"/>
    <w:rsid w:val="00BF7464"/>
    <w:rsid w:val="00BF74D2"/>
    <w:rsid w:val="00BF756F"/>
    <w:rsid w:val="00BF757D"/>
    <w:rsid w:val="00BF7643"/>
    <w:rsid w:val="00BF7671"/>
    <w:rsid w:val="00BF76F0"/>
    <w:rsid w:val="00BF7726"/>
    <w:rsid w:val="00BF7741"/>
    <w:rsid w:val="00BF7794"/>
    <w:rsid w:val="00BF7797"/>
    <w:rsid w:val="00BF77D0"/>
    <w:rsid w:val="00BF7848"/>
    <w:rsid w:val="00BF7865"/>
    <w:rsid w:val="00BF78DB"/>
    <w:rsid w:val="00BF78EF"/>
    <w:rsid w:val="00BF7953"/>
    <w:rsid w:val="00BF7997"/>
    <w:rsid w:val="00BF7A16"/>
    <w:rsid w:val="00BF7A6A"/>
    <w:rsid w:val="00BF7AFA"/>
    <w:rsid w:val="00BF7B0D"/>
    <w:rsid w:val="00BF7B22"/>
    <w:rsid w:val="00BF7BE4"/>
    <w:rsid w:val="00BF7BF1"/>
    <w:rsid w:val="00BF7BF3"/>
    <w:rsid w:val="00BF7C16"/>
    <w:rsid w:val="00BF7CD6"/>
    <w:rsid w:val="00BF7CEF"/>
    <w:rsid w:val="00BF7D29"/>
    <w:rsid w:val="00BF7DBC"/>
    <w:rsid w:val="00BF7DE0"/>
    <w:rsid w:val="00BF7E7A"/>
    <w:rsid w:val="00BF7E87"/>
    <w:rsid w:val="00BF7EF1"/>
    <w:rsid w:val="00BF7F40"/>
    <w:rsid w:val="00BF7F66"/>
    <w:rsid w:val="00BF7FDB"/>
    <w:rsid w:val="00C00042"/>
    <w:rsid w:val="00C00065"/>
    <w:rsid w:val="00C0014B"/>
    <w:rsid w:val="00C00175"/>
    <w:rsid w:val="00C00190"/>
    <w:rsid w:val="00C001EC"/>
    <w:rsid w:val="00C002B3"/>
    <w:rsid w:val="00C00304"/>
    <w:rsid w:val="00C003AA"/>
    <w:rsid w:val="00C003AD"/>
    <w:rsid w:val="00C003B7"/>
    <w:rsid w:val="00C0041F"/>
    <w:rsid w:val="00C0042E"/>
    <w:rsid w:val="00C0054A"/>
    <w:rsid w:val="00C005E4"/>
    <w:rsid w:val="00C00600"/>
    <w:rsid w:val="00C00679"/>
    <w:rsid w:val="00C007C7"/>
    <w:rsid w:val="00C007DC"/>
    <w:rsid w:val="00C0082A"/>
    <w:rsid w:val="00C00882"/>
    <w:rsid w:val="00C008EB"/>
    <w:rsid w:val="00C008F4"/>
    <w:rsid w:val="00C0099E"/>
    <w:rsid w:val="00C00A79"/>
    <w:rsid w:val="00C00ABF"/>
    <w:rsid w:val="00C00AE2"/>
    <w:rsid w:val="00C00BA9"/>
    <w:rsid w:val="00C00BE9"/>
    <w:rsid w:val="00C00CE7"/>
    <w:rsid w:val="00C00D2B"/>
    <w:rsid w:val="00C00DEE"/>
    <w:rsid w:val="00C00F6C"/>
    <w:rsid w:val="00C00F7D"/>
    <w:rsid w:val="00C00FC5"/>
    <w:rsid w:val="00C00FCE"/>
    <w:rsid w:val="00C01009"/>
    <w:rsid w:val="00C01049"/>
    <w:rsid w:val="00C0105C"/>
    <w:rsid w:val="00C01155"/>
    <w:rsid w:val="00C0118C"/>
    <w:rsid w:val="00C0124F"/>
    <w:rsid w:val="00C01254"/>
    <w:rsid w:val="00C01272"/>
    <w:rsid w:val="00C01308"/>
    <w:rsid w:val="00C01310"/>
    <w:rsid w:val="00C01461"/>
    <w:rsid w:val="00C014D2"/>
    <w:rsid w:val="00C0156B"/>
    <w:rsid w:val="00C01663"/>
    <w:rsid w:val="00C0169D"/>
    <w:rsid w:val="00C0175B"/>
    <w:rsid w:val="00C01814"/>
    <w:rsid w:val="00C0182D"/>
    <w:rsid w:val="00C018B8"/>
    <w:rsid w:val="00C018EC"/>
    <w:rsid w:val="00C01A19"/>
    <w:rsid w:val="00C01A4C"/>
    <w:rsid w:val="00C01A83"/>
    <w:rsid w:val="00C01AEA"/>
    <w:rsid w:val="00C01C6E"/>
    <w:rsid w:val="00C01C9F"/>
    <w:rsid w:val="00C01D04"/>
    <w:rsid w:val="00C01D98"/>
    <w:rsid w:val="00C01DB2"/>
    <w:rsid w:val="00C01DCC"/>
    <w:rsid w:val="00C01DE3"/>
    <w:rsid w:val="00C01E51"/>
    <w:rsid w:val="00C01EA3"/>
    <w:rsid w:val="00C01FF0"/>
    <w:rsid w:val="00C0207D"/>
    <w:rsid w:val="00C02091"/>
    <w:rsid w:val="00C02145"/>
    <w:rsid w:val="00C021A6"/>
    <w:rsid w:val="00C021D8"/>
    <w:rsid w:val="00C021EB"/>
    <w:rsid w:val="00C0224C"/>
    <w:rsid w:val="00C0226F"/>
    <w:rsid w:val="00C0227D"/>
    <w:rsid w:val="00C0228F"/>
    <w:rsid w:val="00C02375"/>
    <w:rsid w:val="00C023A9"/>
    <w:rsid w:val="00C02411"/>
    <w:rsid w:val="00C024DE"/>
    <w:rsid w:val="00C02616"/>
    <w:rsid w:val="00C02630"/>
    <w:rsid w:val="00C026C4"/>
    <w:rsid w:val="00C026DB"/>
    <w:rsid w:val="00C02768"/>
    <w:rsid w:val="00C02835"/>
    <w:rsid w:val="00C029D4"/>
    <w:rsid w:val="00C02A0D"/>
    <w:rsid w:val="00C02A8C"/>
    <w:rsid w:val="00C02AB5"/>
    <w:rsid w:val="00C02BEF"/>
    <w:rsid w:val="00C02C31"/>
    <w:rsid w:val="00C02C62"/>
    <w:rsid w:val="00C02D25"/>
    <w:rsid w:val="00C02D6D"/>
    <w:rsid w:val="00C02E20"/>
    <w:rsid w:val="00C02ED5"/>
    <w:rsid w:val="00C02F7A"/>
    <w:rsid w:val="00C02FAD"/>
    <w:rsid w:val="00C03070"/>
    <w:rsid w:val="00C030E8"/>
    <w:rsid w:val="00C03182"/>
    <w:rsid w:val="00C03238"/>
    <w:rsid w:val="00C03252"/>
    <w:rsid w:val="00C03276"/>
    <w:rsid w:val="00C032D5"/>
    <w:rsid w:val="00C032EF"/>
    <w:rsid w:val="00C03357"/>
    <w:rsid w:val="00C033C9"/>
    <w:rsid w:val="00C033DF"/>
    <w:rsid w:val="00C03424"/>
    <w:rsid w:val="00C0343F"/>
    <w:rsid w:val="00C03458"/>
    <w:rsid w:val="00C03472"/>
    <w:rsid w:val="00C03515"/>
    <w:rsid w:val="00C03548"/>
    <w:rsid w:val="00C03624"/>
    <w:rsid w:val="00C03806"/>
    <w:rsid w:val="00C0381F"/>
    <w:rsid w:val="00C03842"/>
    <w:rsid w:val="00C03876"/>
    <w:rsid w:val="00C038BF"/>
    <w:rsid w:val="00C038E4"/>
    <w:rsid w:val="00C0390E"/>
    <w:rsid w:val="00C03962"/>
    <w:rsid w:val="00C039AD"/>
    <w:rsid w:val="00C03ABA"/>
    <w:rsid w:val="00C03D12"/>
    <w:rsid w:val="00C03D73"/>
    <w:rsid w:val="00C03DC4"/>
    <w:rsid w:val="00C03E88"/>
    <w:rsid w:val="00C03F91"/>
    <w:rsid w:val="00C04052"/>
    <w:rsid w:val="00C0419C"/>
    <w:rsid w:val="00C042A4"/>
    <w:rsid w:val="00C0440F"/>
    <w:rsid w:val="00C0447F"/>
    <w:rsid w:val="00C044A6"/>
    <w:rsid w:val="00C044AD"/>
    <w:rsid w:val="00C04509"/>
    <w:rsid w:val="00C045A1"/>
    <w:rsid w:val="00C045E4"/>
    <w:rsid w:val="00C04645"/>
    <w:rsid w:val="00C04777"/>
    <w:rsid w:val="00C047CB"/>
    <w:rsid w:val="00C04818"/>
    <w:rsid w:val="00C04840"/>
    <w:rsid w:val="00C04854"/>
    <w:rsid w:val="00C04AFA"/>
    <w:rsid w:val="00C04BA7"/>
    <w:rsid w:val="00C04C2E"/>
    <w:rsid w:val="00C04C48"/>
    <w:rsid w:val="00C04C9D"/>
    <w:rsid w:val="00C04CFB"/>
    <w:rsid w:val="00C04D47"/>
    <w:rsid w:val="00C04D65"/>
    <w:rsid w:val="00C04E50"/>
    <w:rsid w:val="00C0501E"/>
    <w:rsid w:val="00C0506E"/>
    <w:rsid w:val="00C05170"/>
    <w:rsid w:val="00C05248"/>
    <w:rsid w:val="00C0524B"/>
    <w:rsid w:val="00C05378"/>
    <w:rsid w:val="00C0546D"/>
    <w:rsid w:val="00C05598"/>
    <w:rsid w:val="00C055B0"/>
    <w:rsid w:val="00C056B1"/>
    <w:rsid w:val="00C0580F"/>
    <w:rsid w:val="00C05898"/>
    <w:rsid w:val="00C0589C"/>
    <w:rsid w:val="00C058FF"/>
    <w:rsid w:val="00C05963"/>
    <w:rsid w:val="00C05979"/>
    <w:rsid w:val="00C059A3"/>
    <w:rsid w:val="00C059D4"/>
    <w:rsid w:val="00C05A15"/>
    <w:rsid w:val="00C05AD1"/>
    <w:rsid w:val="00C05B94"/>
    <w:rsid w:val="00C05C76"/>
    <w:rsid w:val="00C05D3F"/>
    <w:rsid w:val="00C05D46"/>
    <w:rsid w:val="00C05D56"/>
    <w:rsid w:val="00C05E0B"/>
    <w:rsid w:val="00C05E4E"/>
    <w:rsid w:val="00C05E93"/>
    <w:rsid w:val="00C05EB9"/>
    <w:rsid w:val="00C05F10"/>
    <w:rsid w:val="00C05FC3"/>
    <w:rsid w:val="00C06072"/>
    <w:rsid w:val="00C06196"/>
    <w:rsid w:val="00C06221"/>
    <w:rsid w:val="00C0629A"/>
    <w:rsid w:val="00C06324"/>
    <w:rsid w:val="00C06332"/>
    <w:rsid w:val="00C06409"/>
    <w:rsid w:val="00C06501"/>
    <w:rsid w:val="00C06530"/>
    <w:rsid w:val="00C065AA"/>
    <w:rsid w:val="00C065E5"/>
    <w:rsid w:val="00C0680A"/>
    <w:rsid w:val="00C06873"/>
    <w:rsid w:val="00C0692E"/>
    <w:rsid w:val="00C0695C"/>
    <w:rsid w:val="00C069DB"/>
    <w:rsid w:val="00C069E5"/>
    <w:rsid w:val="00C069E7"/>
    <w:rsid w:val="00C06B74"/>
    <w:rsid w:val="00C06C77"/>
    <w:rsid w:val="00C06C90"/>
    <w:rsid w:val="00C06CBF"/>
    <w:rsid w:val="00C06D55"/>
    <w:rsid w:val="00C06D6E"/>
    <w:rsid w:val="00C06DDA"/>
    <w:rsid w:val="00C06DE6"/>
    <w:rsid w:val="00C06E24"/>
    <w:rsid w:val="00C06E2A"/>
    <w:rsid w:val="00C06EDA"/>
    <w:rsid w:val="00C06F53"/>
    <w:rsid w:val="00C06F7D"/>
    <w:rsid w:val="00C07032"/>
    <w:rsid w:val="00C07085"/>
    <w:rsid w:val="00C070C0"/>
    <w:rsid w:val="00C070FD"/>
    <w:rsid w:val="00C0713E"/>
    <w:rsid w:val="00C07338"/>
    <w:rsid w:val="00C073E9"/>
    <w:rsid w:val="00C075FB"/>
    <w:rsid w:val="00C076EC"/>
    <w:rsid w:val="00C07725"/>
    <w:rsid w:val="00C0779D"/>
    <w:rsid w:val="00C077C6"/>
    <w:rsid w:val="00C07841"/>
    <w:rsid w:val="00C0787C"/>
    <w:rsid w:val="00C0790A"/>
    <w:rsid w:val="00C0797E"/>
    <w:rsid w:val="00C07A4D"/>
    <w:rsid w:val="00C07A65"/>
    <w:rsid w:val="00C07ADB"/>
    <w:rsid w:val="00C07B65"/>
    <w:rsid w:val="00C07C38"/>
    <w:rsid w:val="00C07C42"/>
    <w:rsid w:val="00C07C46"/>
    <w:rsid w:val="00C07C4D"/>
    <w:rsid w:val="00C07C65"/>
    <w:rsid w:val="00C07CC5"/>
    <w:rsid w:val="00C07D94"/>
    <w:rsid w:val="00C07DF7"/>
    <w:rsid w:val="00C07E0E"/>
    <w:rsid w:val="00C07E6F"/>
    <w:rsid w:val="00C07F14"/>
    <w:rsid w:val="00C07F3B"/>
    <w:rsid w:val="00C07FD2"/>
    <w:rsid w:val="00C10217"/>
    <w:rsid w:val="00C1024C"/>
    <w:rsid w:val="00C1025C"/>
    <w:rsid w:val="00C10321"/>
    <w:rsid w:val="00C103D9"/>
    <w:rsid w:val="00C1044D"/>
    <w:rsid w:val="00C10494"/>
    <w:rsid w:val="00C104EB"/>
    <w:rsid w:val="00C104EC"/>
    <w:rsid w:val="00C10735"/>
    <w:rsid w:val="00C10808"/>
    <w:rsid w:val="00C10819"/>
    <w:rsid w:val="00C108DE"/>
    <w:rsid w:val="00C10949"/>
    <w:rsid w:val="00C1094F"/>
    <w:rsid w:val="00C10953"/>
    <w:rsid w:val="00C109DF"/>
    <w:rsid w:val="00C109ED"/>
    <w:rsid w:val="00C10A28"/>
    <w:rsid w:val="00C10A5E"/>
    <w:rsid w:val="00C10A94"/>
    <w:rsid w:val="00C10C83"/>
    <w:rsid w:val="00C10CDE"/>
    <w:rsid w:val="00C10DBD"/>
    <w:rsid w:val="00C10DDD"/>
    <w:rsid w:val="00C10F53"/>
    <w:rsid w:val="00C10F79"/>
    <w:rsid w:val="00C11108"/>
    <w:rsid w:val="00C1120F"/>
    <w:rsid w:val="00C11226"/>
    <w:rsid w:val="00C11347"/>
    <w:rsid w:val="00C1137F"/>
    <w:rsid w:val="00C1144D"/>
    <w:rsid w:val="00C115B4"/>
    <w:rsid w:val="00C115CF"/>
    <w:rsid w:val="00C1163C"/>
    <w:rsid w:val="00C11731"/>
    <w:rsid w:val="00C117CB"/>
    <w:rsid w:val="00C1183D"/>
    <w:rsid w:val="00C11907"/>
    <w:rsid w:val="00C1197D"/>
    <w:rsid w:val="00C119A2"/>
    <w:rsid w:val="00C11AA3"/>
    <w:rsid w:val="00C11AF1"/>
    <w:rsid w:val="00C11AF7"/>
    <w:rsid w:val="00C11B68"/>
    <w:rsid w:val="00C11B96"/>
    <w:rsid w:val="00C11C21"/>
    <w:rsid w:val="00C11C49"/>
    <w:rsid w:val="00C11CC1"/>
    <w:rsid w:val="00C11CDA"/>
    <w:rsid w:val="00C11D7D"/>
    <w:rsid w:val="00C11E0E"/>
    <w:rsid w:val="00C11E50"/>
    <w:rsid w:val="00C11E71"/>
    <w:rsid w:val="00C11EC9"/>
    <w:rsid w:val="00C11F14"/>
    <w:rsid w:val="00C12037"/>
    <w:rsid w:val="00C1203E"/>
    <w:rsid w:val="00C121AF"/>
    <w:rsid w:val="00C121E9"/>
    <w:rsid w:val="00C1227C"/>
    <w:rsid w:val="00C12290"/>
    <w:rsid w:val="00C1237D"/>
    <w:rsid w:val="00C12411"/>
    <w:rsid w:val="00C1247F"/>
    <w:rsid w:val="00C125C0"/>
    <w:rsid w:val="00C125EC"/>
    <w:rsid w:val="00C1261F"/>
    <w:rsid w:val="00C126BA"/>
    <w:rsid w:val="00C126CF"/>
    <w:rsid w:val="00C12735"/>
    <w:rsid w:val="00C1278A"/>
    <w:rsid w:val="00C127CD"/>
    <w:rsid w:val="00C128D2"/>
    <w:rsid w:val="00C12941"/>
    <w:rsid w:val="00C12973"/>
    <w:rsid w:val="00C129CB"/>
    <w:rsid w:val="00C12A17"/>
    <w:rsid w:val="00C12A1E"/>
    <w:rsid w:val="00C12AD0"/>
    <w:rsid w:val="00C12BFB"/>
    <w:rsid w:val="00C12C78"/>
    <w:rsid w:val="00C12CB6"/>
    <w:rsid w:val="00C12CB8"/>
    <w:rsid w:val="00C12D2D"/>
    <w:rsid w:val="00C12D6E"/>
    <w:rsid w:val="00C12EAE"/>
    <w:rsid w:val="00C12EBE"/>
    <w:rsid w:val="00C12F5F"/>
    <w:rsid w:val="00C12F72"/>
    <w:rsid w:val="00C12FA9"/>
    <w:rsid w:val="00C12FD5"/>
    <w:rsid w:val="00C1309E"/>
    <w:rsid w:val="00C13254"/>
    <w:rsid w:val="00C13284"/>
    <w:rsid w:val="00C1335F"/>
    <w:rsid w:val="00C1337C"/>
    <w:rsid w:val="00C13444"/>
    <w:rsid w:val="00C134A2"/>
    <w:rsid w:val="00C134E0"/>
    <w:rsid w:val="00C134EB"/>
    <w:rsid w:val="00C1358F"/>
    <w:rsid w:val="00C1361B"/>
    <w:rsid w:val="00C136E3"/>
    <w:rsid w:val="00C136E8"/>
    <w:rsid w:val="00C137C4"/>
    <w:rsid w:val="00C13845"/>
    <w:rsid w:val="00C13882"/>
    <w:rsid w:val="00C138B4"/>
    <w:rsid w:val="00C13994"/>
    <w:rsid w:val="00C139FD"/>
    <w:rsid w:val="00C13A40"/>
    <w:rsid w:val="00C13A58"/>
    <w:rsid w:val="00C13A65"/>
    <w:rsid w:val="00C13A83"/>
    <w:rsid w:val="00C13AA2"/>
    <w:rsid w:val="00C13B1A"/>
    <w:rsid w:val="00C13C28"/>
    <w:rsid w:val="00C13C63"/>
    <w:rsid w:val="00C13D97"/>
    <w:rsid w:val="00C13DBC"/>
    <w:rsid w:val="00C13DCE"/>
    <w:rsid w:val="00C141C4"/>
    <w:rsid w:val="00C14227"/>
    <w:rsid w:val="00C1429B"/>
    <w:rsid w:val="00C1430B"/>
    <w:rsid w:val="00C1433D"/>
    <w:rsid w:val="00C1442C"/>
    <w:rsid w:val="00C14488"/>
    <w:rsid w:val="00C146BB"/>
    <w:rsid w:val="00C146E8"/>
    <w:rsid w:val="00C14786"/>
    <w:rsid w:val="00C1488B"/>
    <w:rsid w:val="00C148E6"/>
    <w:rsid w:val="00C14989"/>
    <w:rsid w:val="00C14B86"/>
    <w:rsid w:val="00C14C40"/>
    <w:rsid w:val="00C14C8F"/>
    <w:rsid w:val="00C14C9E"/>
    <w:rsid w:val="00C14DAE"/>
    <w:rsid w:val="00C14FB7"/>
    <w:rsid w:val="00C1503B"/>
    <w:rsid w:val="00C150AD"/>
    <w:rsid w:val="00C15118"/>
    <w:rsid w:val="00C1511B"/>
    <w:rsid w:val="00C1517B"/>
    <w:rsid w:val="00C15461"/>
    <w:rsid w:val="00C154AC"/>
    <w:rsid w:val="00C154F5"/>
    <w:rsid w:val="00C15514"/>
    <w:rsid w:val="00C156DB"/>
    <w:rsid w:val="00C15719"/>
    <w:rsid w:val="00C15744"/>
    <w:rsid w:val="00C1581F"/>
    <w:rsid w:val="00C1593C"/>
    <w:rsid w:val="00C159EB"/>
    <w:rsid w:val="00C15A1D"/>
    <w:rsid w:val="00C15A5B"/>
    <w:rsid w:val="00C15B41"/>
    <w:rsid w:val="00C15B79"/>
    <w:rsid w:val="00C15BD8"/>
    <w:rsid w:val="00C15BF0"/>
    <w:rsid w:val="00C15CA2"/>
    <w:rsid w:val="00C15CBB"/>
    <w:rsid w:val="00C15DDE"/>
    <w:rsid w:val="00C15E49"/>
    <w:rsid w:val="00C15E9B"/>
    <w:rsid w:val="00C15EB4"/>
    <w:rsid w:val="00C15F11"/>
    <w:rsid w:val="00C16077"/>
    <w:rsid w:val="00C161B8"/>
    <w:rsid w:val="00C161F4"/>
    <w:rsid w:val="00C1631B"/>
    <w:rsid w:val="00C1632F"/>
    <w:rsid w:val="00C16343"/>
    <w:rsid w:val="00C16388"/>
    <w:rsid w:val="00C1650A"/>
    <w:rsid w:val="00C16611"/>
    <w:rsid w:val="00C167B1"/>
    <w:rsid w:val="00C16888"/>
    <w:rsid w:val="00C168E2"/>
    <w:rsid w:val="00C16B6B"/>
    <w:rsid w:val="00C16B8B"/>
    <w:rsid w:val="00C16BF1"/>
    <w:rsid w:val="00C16C10"/>
    <w:rsid w:val="00C16D3B"/>
    <w:rsid w:val="00C16D59"/>
    <w:rsid w:val="00C16D7A"/>
    <w:rsid w:val="00C16E8E"/>
    <w:rsid w:val="00C16E8F"/>
    <w:rsid w:val="00C16F59"/>
    <w:rsid w:val="00C16F89"/>
    <w:rsid w:val="00C16FF6"/>
    <w:rsid w:val="00C17076"/>
    <w:rsid w:val="00C17104"/>
    <w:rsid w:val="00C171EF"/>
    <w:rsid w:val="00C17237"/>
    <w:rsid w:val="00C1738D"/>
    <w:rsid w:val="00C173E2"/>
    <w:rsid w:val="00C1743B"/>
    <w:rsid w:val="00C17488"/>
    <w:rsid w:val="00C174D4"/>
    <w:rsid w:val="00C174F9"/>
    <w:rsid w:val="00C1759B"/>
    <w:rsid w:val="00C1769C"/>
    <w:rsid w:val="00C176CC"/>
    <w:rsid w:val="00C176F6"/>
    <w:rsid w:val="00C17787"/>
    <w:rsid w:val="00C1780B"/>
    <w:rsid w:val="00C17851"/>
    <w:rsid w:val="00C1788A"/>
    <w:rsid w:val="00C1797D"/>
    <w:rsid w:val="00C179AB"/>
    <w:rsid w:val="00C17A51"/>
    <w:rsid w:val="00C17AB4"/>
    <w:rsid w:val="00C17AD8"/>
    <w:rsid w:val="00C17C35"/>
    <w:rsid w:val="00C17C39"/>
    <w:rsid w:val="00C17C78"/>
    <w:rsid w:val="00C17CFC"/>
    <w:rsid w:val="00C17E37"/>
    <w:rsid w:val="00C17E59"/>
    <w:rsid w:val="00C17EA1"/>
    <w:rsid w:val="00C17ECA"/>
    <w:rsid w:val="00C17EF7"/>
    <w:rsid w:val="00C17F28"/>
    <w:rsid w:val="00C200A5"/>
    <w:rsid w:val="00C200A9"/>
    <w:rsid w:val="00C200C0"/>
    <w:rsid w:val="00C200F8"/>
    <w:rsid w:val="00C201C5"/>
    <w:rsid w:val="00C2020A"/>
    <w:rsid w:val="00C20229"/>
    <w:rsid w:val="00C202B3"/>
    <w:rsid w:val="00C20369"/>
    <w:rsid w:val="00C203E2"/>
    <w:rsid w:val="00C20436"/>
    <w:rsid w:val="00C20459"/>
    <w:rsid w:val="00C204F3"/>
    <w:rsid w:val="00C20558"/>
    <w:rsid w:val="00C20574"/>
    <w:rsid w:val="00C20581"/>
    <w:rsid w:val="00C205E6"/>
    <w:rsid w:val="00C20617"/>
    <w:rsid w:val="00C206AD"/>
    <w:rsid w:val="00C207D8"/>
    <w:rsid w:val="00C20889"/>
    <w:rsid w:val="00C20899"/>
    <w:rsid w:val="00C208E6"/>
    <w:rsid w:val="00C20969"/>
    <w:rsid w:val="00C209CE"/>
    <w:rsid w:val="00C209EE"/>
    <w:rsid w:val="00C209F2"/>
    <w:rsid w:val="00C209F5"/>
    <w:rsid w:val="00C20AF6"/>
    <w:rsid w:val="00C20BC9"/>
    <w:rsid w:val="00C20C1D"/>
    <w:rsid w:val="00C20C5E"/>
    <w:rsid w:val="00C20C77"/>
    <w:rsid w:val="00C20C8D"/>
    <w:rsid w:val="00C20DD4"/>
    <w:rsid w:val="00C20E36"/>
    <w:rsid w:val="00C20F28"/>
    <w:rsid w:val="00C20F3A"/>
    <w:rsid w:val="00C20FC3"/>
    <w:rsid w:val="00C2106F"/>
    <w:rsid w:val="00C21155"/>
    <w:rsid w:val="00C21251"/>
    <w:rsid w:val="00C21263"/>
    <w:rsid w:val="00C21292"/>
    <w:rsid w:val="00C212B5"/>
    <w:rsid w:val="00C212C8"/>
    <w:rsid w:val="00C21326"/>
    <w:rsid w:val="00C21365"/>
    <w:rsid w:val="00C2136B"/>
    <w:rsid w:val="00C2137C"/>
    <w:rsid w:val="00C214FE"/>
    <w:rsid w:val="00C21591"/>
    <w:rsid w:val="00C215D2"/>
    <w:rsid w:val="00C215E5"/>
    <w:rsid w:val="00C21637"/>
    <w:rsid w:val="00C216BF"/>
    <w:rsid w:val="00C2172A"/>
    <w:rsid w:val="00C2177C"/>
    <w:rsid w:val="00C21857"/>
    <w:rsid w:val="00C21A02"/>
    <w:rsid w:val="00C21BDF"/>
    <w:rsid w:val="00C21C1D"/>
    <w:rsid w:val="00C21CD7"/>
    <w:rsid w:val="00C21D40"/>
    <w:rsid w:val="00C21DF5"/>
    <w:rsid w:val="00C21E45"/>
    <w:rsid w:val="00C21E5A"/>
    <w:rsid w:val="00C21EA6"/>
    <w:rsid w:val="00C21EE0"/>
    <w:rsid w:val="00C21F7A"/>
    <w:rsid w:val="00C21FCD"/>
    <w:rsid w:val="00C2205E"/>
    <w:rsid w:val="00C2212F"/>
    <w:rsid w:val="00C222A8"/>
    <w:rsid w:val="00C22355"/>
    <w:rsid w:val="00C22363"/>
    <w:rsid w:val="00C224AC"/>
    <w:rsid w:val="00C2250F"/>
    <w:rsid w:val="00C22636"/>
    <w:rsid w:val="00C226ED"/>
    <w:rsid w:val="00C2272A"/>
    <w:rsid w:val="00C22737"/>
    <w:rsid w:val="00C227CB"/>
    <w:rsid w:val="00C22863"/>
    <w:rsid w:val="00C2287B"/>
    <w:rsid w:val="00C22910"/>
    <w:rsid w:val="00C229C5"/>
    <w:rsid w:val="00C229D9"/>
    <w:rsid w:val="00C22A26"/>
    <w:rsid w:val="00C22A39"/>
    <w:rsid w:val="00C22A94"/>
    <w:rsid w:val="00C22B88"/>
    <w:rsid w:val="00C22C69"/>
    <w:rsid w:val="00C22CAA"/>
    <w:rsid w:val="00C22CF9"/>
    <w:rsid w:val="00C22D1F"/>
    <w:rsid w:val="00C22F72"/>
    <w:rsid w:val="00C22FC3"/>
    <w:rsid w:val="00C22FEC"/>
    <w:rsid w:val="00C23006"/>
    <w:rsid w:val="00C23023"/>
    <w:rsid w:val="00C2318E"/>
    <w:rsid w:val="00C23237"/>
    <w:rsid w:val="00C233C8"/>
    <w:rsid w:val="00C2353C"/>
    <w:rsid w:val="00C2358D"/>
    <w:rsid w:val="00C235BD"/>
    <w:rsid w:val="00C2361B"/>
    <w:rsid w:val="00C23661"/>
    <w:rsid w:val="00C2366B"/>
    <w:rsid w:val="00C236F4"/>
    <w:rsid w:val="00C23712"/>
    <w:rsid w:val="00C237D2"/>
    <w:rsid w:val="00C2380F"/>
    <w:rsid w:val="00C23902"/>
    <w:rsid w:val="00C23918"/>
    <w:rsid w:val="00C23950"/>
    <w:rsid w:val="00C239E1"/>
    <w:rsid w:val="00C23A12"/>
    <w:rsid w:val="00C23BC7"/>
    <w:rsid w:val="00C23CC4"/>
    <w:rsid w:val="00C23D12"/>
    <w:rsid w:val="00C23DF6"/>
    <w:rsid w:val="00C23E19"/>
    <w:rsid w:val="00C23E75"/>
    <w:rsid w:val="00C23EAF"/>
    <w:rsid w:val="00C23ECA"/>
    <w:rsid w:val="00C24001"/>
    <w:rsid w:val="00C240C7"/>
    <w:rsid w:val="00C240DF"/>
    <w:rsid w:val="00C240FE"/>
    <w:rsid w:val="00C24191"/>
    <w:rsid w:val="00C241C4"/>
    <w:rsid w:val="00C24200"/>
    <w:rsid w:val="00C24202"/>
    <w:rsid w:val="00C24240"/>
    <w:rsid w:val="00C242C9"/>
    <w:rsid w:val="00C242E1"/>
    <w:rsid w:val="00C24339"/>
    <w:rsid w:val="00C24345"/>
    <w:rsid w:val="00C24366"/>
    <w:rsid w:val="00C2437F"/>
    <w:rsid w:val="00C2438D"/>
    <w:rsid w:val="00C244D7"/>
    <w:rsid w:val="00C245E4"/>
    <w:rsid w:val="00C2460C"/>
    <w:rsid w:val="00C246E3"/>
    <w:rsid w:val="00C24729"/>
    <w:rsid w:val="00C2476C"/>
    <w:rsid w:val="00C247EE"/>
    <w:rsid w:val="00C248D4"/>
    <w:rsid w:val="00C248EA"/>
    <w:rsid w:val="00C2493F"/>
    <w:rsid w:val="00C24A80"/>
    <w:rsid w:val="00C24B1A"/>
    <w:rsid w:val="00C24B5F"/>
    <w:rsid w:val="00C24D20"/>
    <w:rsid w:val="00C24E57"/>
    <w:rsid w:val="00C24E83"/>
    <w:rsid w:val="00C24EDE"/>
    <w:rsid w:val="00C24FB6"/>
    <w:rsid w:val="00C24FE7"/>
    <w:rsid w:val="00C24FF2"/>
    <w:rsid w:val="00C25045"/>
    <w:rsid w:val="00C2505A"/>
    <w:rsid w:val="00C25073"/>
    <w:rsid w:val="00C25074"/>
    <w:rsid w:val="00C250B4"/>
    <w:rsid w:val="00C250C1"/>
    <w:rsid w:val="00C250E6"/>
    <w:rsid w:val="00C2510D"/>
    <w:rsid w:val="00C25175"/>
    <w:rsid w:val="00C2522A"/>
    <w:rsid w:val="00C25319"/>
    <w:rsid w:val="00C25326"/>
    <w:rsid w:val="00C2532D"/>
    <w:rsid w:val="00C2537B"/>
    <w:rsid w:val="00C25407"/>
    <w:rsid w:val="00C25441"/>
    <w:rsid w:val="00C254A7"/>
    <w:rsid w:val="00C254DA"/>
    <w:rsid w:val="00C25576"/>
    <w:rsid w:val="00C2558A"/>
    <w:rsid w:val="00C255CD"/>
    <w:rsid w:val="00C25628"/>
    <w:rsid w:val="00C25733"/>
    <w:rsid w:val="00C257BD"/>
    <w:rsid w:val="00C257C5"/>
    <w:rsid w:val="00C258A3"/>
    <w:rsid w:val="00C259EA"/>
    <w:rsid w:val="00C25ADB"/>
    <w:rsid w:val="00C25B04"/>
    <w:rsid w:val="00C25B5B"/>
    <w:rsid w:val="00C25B97"/>
    <w:rsid w:val="00C25C98"/>
    <w:rsid w:val="00C25CBB"/>
    <w:rsid w:val="00C25D02"/>
    <w:rsid w:val="00C25D07"/>
    <w:rsid w:val="00C25E3F"/>
    <w:rsid w:val="00C25E4D"/>
    <w:rsid w:val="00C25F18"/>
    <w:rsid w:val="00C25F49"/>
    <w:rsid w:val="00C25F96"/>
    <w:rsid w:val="00C260C8"/>
    <w:rsid w:val="00C26121"/>
    <w:rsid w:val="00C2613F"/>
    <w:rsid w:val="00C261E4"/>
    <w:rsid w:val="00C26286"/>
    <w:rsid w:val="00C2629C"/>
    <w:rsid w:val="00C26311"/>
    <w:rsid w:val="00C26415"/>
    <w:rsid w:val="00C26453"/>
    <w:rsid w:val="00C265A8"/>
    <w:rsid w:val="00C26694"/>
    <w:rsid w:val="00C26729"/>
    <w:rsid w:val="00C2677F"/>
    <w:rsid w:val="00C26821"/>
    <w:rsid w:val="00C26869"/>
    <w:rsid w:val="00C268D0"/>
    <w:rsid w:val="00C269A9"/>
    <w:rsid w:val="00C26A1A"/>
    <w:rsid w:val="00C26D11"/>
    <w:rsid w:val="00C26DC8"/>
    <w:rsid w:val="00C26DD2"/>
    <w:rsid w:val="00C26DDD"/>
    <w:rsid w:val="00C26EE8"/>
    <w:rsid w:val="00C26F03"/>
    <w:rsid w:val="00C26FAD"/>
    <w:rsid w:val="00C27050"/>
    <w:rsid w:val="00C2711C"/>
    <w:rsid w:val="00C2714A"/>
    <w:rsid w:val="00C271B4"/>
    <w:rsid w:val="00C271F9"/>
    <w:rsid w:val="00C271FD"/>
    <w:rsid w:val="00C27208"/>
    <w:rsid w:val="00C27259"/>
    <w:rsid w:val="00C27278"/>
    <w:rsid w:val="00C27282"/>
    <w:rsid w:val="00C272C4"/>
    <w:rsid w:val="00C272D5"/>
    <w:rsid w:val="00C2739F"/>
    <w:rsid w:val="00C273A1"/>
    <w:rsid w:val="00C274B5"/>
    <w:rsid w:val="00C27558"/>
    <w:rsid w:val="00C27771"/>
    <w:rsid w:val="00C277C0"/>
    <w:rsid w:val="00C2787B"/>
    <w:rsid w:val="00C278C2"/>
    <w:rsid w:val="00C27911"/>
    <w:rsid w:val="00C2792F"/>
    <w:rsid w:val="00C27989"/>
    <w:rsid w:val="00C279C8"/>
    <w:rsid w:val="00C27A46"/>
    <w:rsid w:val="00C27AA2"/>
    <w:rsid w:val="00C27B03"/>
    <w:rsid w:val="00C27CE2"/>
    <w:rsid w:val="00C27D04"/>
    <w:rsid w:val="00C27E48"/>
    <w:rsid w:val="00C27E4F"/>
    <w:rsid w:val="00C27EBB"/>
    <w:rsid w:val="00C27EE1"/>
    <w:rsid w:val="00C27EE4"/>
    <w:rsid w:val="00C27FAB"/>
    <w:rsid w:val="00C27FC9"/>
    <w:rsid w:val="00C27FE1"/>
    <w:rsid w:val="00C3001C"/>
    <w:rsid w:val="00C30028"/>
    <w:rsid w:val="00C30038"/>
    <w:rsid w:val="00C301BB"/>
    <w:rsid w:val="00C301CB"/>
    <w:rsid w:val="00C301DC"/>
    <w:rsid w:val="00C30297"/>
    <w:rsid w:val="00C302D5"/>
    <w:rsid w:val="00C3030B"/>
    <w:rsid w:val="00C303D9"/>
    <w:rsid w:val="00C3042B"/>
    <w:rsid w:val="00C3055C"/>
    <w:rsid w:val="00C30595"/>
    <w:rsid w:val="00C30604"/>
    <w:rsid w:val="00C306AA"/>
    <w:rsid w:val="00C306F2"/>
    <w:rsid w:val="00C307BA"/>
    <w:rsid w:val="00C307C9"/>
    <w:rsid w:val="00C308CB"/>
    <w:rsid w:val="00C3090A"/>
    <w:rsid w:val="00C30969"/>
    <w:rsid w:val="00C309D6"/>
    <w:rsid w:val="00C30A57"/>
    <w:rsid w:val="00C30A8C"/>
    <w:rsid w:val="00C30A8D"/>
    <w:rsid w:val="00C30AFF"/>
    <w:rsid w:val="00C30B07"/>
    <w:rsid w:val="00C30B56"/>
    <w:rsid w:val="00C30CE4"/>
    <w:rsid w:val="00C30D1F"/>
    <w:rsid w:val="00C30DB3"/>
    <w:rsid w:val="00C30E73"/>
    <w:rsid w:val="00C30E7B"/>
    <w:rsid w:val="00C30E8A"/>
    <w:rsid w:val="00C30EB5"/>
    <w:rsid w:val="00C30FEA"/>
    <w:rsid w:val="00C31021"/>
    <w:rsid w:val="00C31069"/>
    <w:rsid w:val="00C311A7"/>
    <w:rsid w:val="00C3125A"/>
    <w:rsid w:val="00C31293"/>
    <w:rsid w:val="00C312BC"/>
    <w:rsid w:val="00C312EF"/>
    <w:rsid w:val="00C31328"/>
    <w:rsid w:val="00C3145A"/>
    <w:rsid w:val="00C3145D"/>
    <w:rsid w:val="00C3167E"/>
    <w:rsid w:val="00C317E2"/>
    <w:rsid w:val="00C31822"/>
    <w:rsid w:val="00C3184D"/>
    <w:rsid w:val="00C318C9"/>
    <w:rsid w:val="00C318CB"/>
    <w:rsid w:val="00C3191A"/>
    <w:rsid w:val="00C31940"/>
    <w:rsid w:val="00C31B1A"/>
    <w:rsid w:val="00C31B4C"/>
    <w:rsid w:val="00C31BA5"/>
    <w:rsid w:val="00C31BD7"/>
    <w:rsid w:val="00C31C85"/>
    <w:rsid w:val="00C31CA8"/>
    <w:rsid w:val="00C31CD2"/>
    <w:rsid w:val="00C31D84"/>
    <w:rsid w:val="00C31E44"/>
    <w:rsid w:val="00C31E72"/>
    <w:rsid w:val="00C31EFB"/>
    <w:rsid w:val="00C31F30"/>
    <w:rsid w:val="00C31F68"/>
    <w:rsid w:val="00C31FC6"/>
    <w:rsid w:val="00C31FF5"/>
    <w:rsid w:val="00C32054"/>
    <w:rsid w:val="00C320AC"/>
    <w:rsid w:val="00C320D8"/>
    <w:rsid w:val="00C32140"/>
    <w:rsid w:val="00C32232"/>
    <w:rsid w:val="00C322BD"/>
    <w:rsid w:val="00C32303"/>
    <w:rsid w:val="00C3237E"/>
    <w:rsid w:val="00C32434"/>
    <w:rsid w:val="00C324EC"/>
    <w:rsid w:val="00C32547"/>
    <w:rsid w:val="00C32587"/>
    <w:rsid w:val="00C325A9"/>
    <w:rsid w:val="00C325D0"/>
    <w:rsid w:val="00C325FB"/>
    <w:rsid w:val="00C32640"/>
    <w:rsid w:val="00C32645"/>
    <w:rsid w:val="00C32752"/>
    <w:rsid w:val="00C32771"/>
    <w:rsid w:val="00C3277F"/>
    <w:rsid w:val="00C3298F"/>
    <w:rsid w:val="00C329EA"/>
    <w:rsid w:val="00C32A7D"/>
    <w:rsid w:val="00C32B1A"/>
    <w:rsid w:val="00C32B4C"/>
    <w:rsid w:val="00C32D08"/>
    <w:rsid w:val="00C32DC9"/>
    <w:rsid w:val="00C32E41"/>
    <w:rsid w:val="00C32ECE"/>
    <w:rsid w:val="00C32F9D"/>
    <w:rsid w:val="00C32FBD"/>
    <w:rsid w:val="00C330BD"/>
    <w:rsid w:val="00C33116"/>
    <w:rsid w:val="00C3321C"/>
    <w:rsid w:val="00C33262"/>
    <w:rsid w:val="00C332EA"/>
    <w:rsid w:val="00C3335B"/>
    <w:rsid w:val="00C3339F"/>
    <w:rsid w:val="00C333D2"/>
    <w:rsid w:val="00C3342A"/>
    <w:rsid w:val="00C33455"/>
    <w:rsid w:val="00C3354C"/>
    <w:rsid w:val="00C335A4"/>
    <w:rsid w:val="00C336B2"/>
    <w:rsid w:val="00C336C5"/>
    <w:rsid w:val="00C336DB"/>
    <w:rsid w:val="00C33809"/>
    <w:rsid w:val="00C33861"/>
    <w:rsid w:val="00C3394E"/>
    <w:rsid w:val="00C339DC"/>
    <w:rsid w:val="00C33A98"/>
    <w:rsid w:val="00C33AB1"/>
    <w:rsid w:val="00C33B45"/>
    <w:rsid w:val="00C33C2E"/>
    <w:rsid w:val="00C33C36"/>
    <w:rsid w:val="00C33C79"/>
    <w:rsid w:val="00C33C81"/>
    <w:rsid w:val="00C33DCD"/>
    <w:rsid w:val="00C33E23"/>
    <w:rsid w:val="00C33E75"/>
    <w:rsid w:val="00C33F89"/>
    <w:rsid w:val="00C33FAC"/>
    <w:rsid w:val="00C34051"/>
    <w:rsid w:val="00C340A1"/>
    <w:rsid w:val="00C34102"/>
    <w:rsid w:val="00C3417F"/>
    <w:rsid w:val="00C341C2"/>
    <w:rsid w:val="00C341F6"/>
    <w:rsid w:val="00C34238"/>
    <w:rsid w:val="00C3454B"/>
    <w:rsid w:val="00C34665"/>
    <w:rsid w:val="00C346A9"/>
    <w:rsid w:val="00C346BC"/>
    <w:rsid w:val="00C3474D"/>
    <w:rsid w:val="00C34861"/>
    <w:rsid w:val="00C348DD"/>
    <w:rsid w:val="00C34923"/>
    <w:rsid w:val="00C349FD"/>
    <w:rsid w:val="00C34A14"/>
    <w:rsid w:val="00C34AF1"/>
    <w:rsid w:val="00C34B14"/>
    <w:rsid w:val="00C34B1F"/>
    <w:rsid w:val="00C34B34"/>
    <w:rsid w:val="00C34C35"/>
    <w:rsid w:val="00C34C45"/>
    <w:rsid w:val="00C34C86"/>
    <w:rsid w:val="00C34DB2"/>
    <w:rsid w:val="00C34E23"/>
    <w:rsid w:val="00C34E42"/>
    <w:rsid w:val="00C34F1C"/>
    <w:rsid w:val="00C35182"/>
    <w:rsid w:val="00C35183"/>
    <w:rsid w:val="00C3526F"/>
    <w:rsid w:val="00C352B8"/>
    <w:rsid w:val="00C35344"/>
    <w:rsid w:val="00C353D1"/>
    <w:rsid w:val="00C353E0"/>
    <w:rsid w:val="00C353ED"/>
    <w:rsid w:val="00C35492"/>
    <w:rsid w:val="00C35498"/>
    <w:rsid w:val="00C354D8"/>
    <w:rsid w:val="00C35517"/>
    <w:rsid w:val="00C355FC"/>
    <w:rsid w:val="00C35618"/>
    <w:rsid w:val="00C357D9"/>
    <w:rsid w:val="00C357E4"/>
    <w:rsid w:val="00C35822"/>
    <w:rsid w:val="00C3583D"/>
    <w:rsid w:val="00C35855"/>
    <w:rsid w:val="00C358BF"/>
    <w:rsid w:val="00C358EE"/>
    <w:rsid w:val="00C359FD"/>
    <w:rsid w:val="00C35A65"/>
    <w:rsid w:val="00C35A91"/>
    <w:rsid w:val="00C35AA4"/>
    <w:rsid w:val="00C35B2C"/>
    <w:rsid w:val="00C35C2B"/>
    <w:rsid w:val="00C35CC6"/>
    <w:rsid w:val="00C35CF1"/>
    <w:rsid w:val="00C35D14"/>
    <w:rsid w:val="00C35E91"/>
    <w:rsid w:val="00C35E9D"/>
    <w:rsid w:val="00C35EEB"/>
    <w:rsid w:val="00C3602A"/>
    <w:rsid w:val="00C36051"/>
    <w:rsid w:val="00C36057"/>
    <w:rsid w:val="00C360AC"/>
    <w:rsid w:val="00C361DD"/>
    <w:rsid w:val="00C361DE"/>
    <w:rsid w:val="00C36281"/>
    <w:rsid w:val="00C363A8"/>
    <w:rsid w:val="00C364AC"/>
    <w:rsid w:val="00C3654D"/>
    <w:rsid w:val="00C365FD"/>
    <w:rsid w:val="00C36620"/>
    <w:rsid w:val="00C36697"/>
    <w:rsid w:val="00C366DA"/>
    <w:rsid w:val="00C36714"/>
    <w:rsid w:val="00C367A9"/>
    <w:rsid w:val="00C36973"/>
    <w:rsid w:val="00C36A32"/>
    <w:rsid w:val="00C36AB5"/>
    <w:rsid w:val="00C36B03"/>
    <w:rsid w:val="00C36B7F"/>
    <w:rsid w:val="00C36BAE"/>
    <w:rsid w:val="00C36BD9"/>
    <w:rsid w:val="00C36CD1"/>
    <w:rsid w:val="00C36CE3"/>
    <w:rsid w:val="00C36D08"/>
    <w:rsid w:val="00C36D74"/>
    <w:rsid w:val="00C36E0C"/>
    <w:rsid w:val="00C36E87"/>
    <w:rsid w:val="00C36EDA"/>
    <w:rsid w:val="00C36F05"/>
    <w:rsid w:val="00C36F7B"/>
    <w:rsid w:val="00C36FA2"/>
    <w:rsid w:val="00C36FD5"/>
    <w:rsid w:val="00C3703C"/>
    <w:rsid w:val="00C3703E"/>
    <w:rsid w:val="00C3709B"/>
    <w:rsid w:val="00C3728B"/>
    <w:rsid w:val="00C37297"/>
    <w:rsid w:val="00C3729D"/>
    <w:rsid w:val="00C372AA"/>
    <w:rsid w:val="00C374D2"/>
    <w:rsid w:val="00C375B0"/>
    <w:rsid w:val="00C37669"/>
    <w:rsid w:val="00C3768F"/>
    <w:rsid w:val="00C3776D"/>
    <w:rsid w:val="00C377A4"/>
    <w:rsid w:val="00C377C3"/>
    <w:rsid w:val="00C378F8"/>
    <w:rsid w:val="00C378FE"/>
    <w:rsid w:val="00C37957"/>
    <w:rsid w:val="00C37A61"/>
    <w:rsid w:val="00C37AC2"/>
    <w:rsid w:val="00C37AD8"/>
    <w:rsid w:val="00C37AF4"/>
    <w:rsid w:val="00C37C20"/>
    <w:rsid w:val="00C37D51"/>
    <w:rsid w:val="00C37DBC"/>
    <w:rsid w:val="00C37ECF"/>
    <w:rsid w:val="00C37F52"/>
    <w:rsid w:val="00C37F7F"/>
    <w:rsid w:val="00C400A3"/>
    <w:rsid w:val="00C400D9"/>
    <w:rsid w:val="00C40137"/>
    <w:rsid w:val="00C401A1"/>
    <w:rsid w:val="00C401F9"/>
    <w:rsid w:val="00C4027D"/>
    <w:rsid w:val="00C4030D"/>
    <w:rsid w:val="00C4039A"/>
    <w:rsid w:val="00C403EF"/>
    <w:rsid w:val="00C403FA"/>
    <w:rsid w:val="00C40443"/>
    <w:rsid w:val="00C404D5"/>
    <w:rsid w:val="00C4066E"/>
    <w:rsid w:val="00C40682"/>
    <w:rsid w:val="00C4068F"/>
    <w:rsid w:val="00C406BD"/>
    <w:rsid w:val="00C40737"/>
    <w:rsid w:val="00C407A4"/>
    <w:rsid w:val="00C40957"/>
    <w:rsid w:val="00C4098B"/>
    <w:rsid w:val="00C40A8A"/>
    <w:rsid w:val="00C40B68"/>
    <w:rsid w:val="00C40B8F"/>
    <w:rsid w:val="00C40C1E"/>
    <w:rsid w:val="00C40D2A"/>
    <w:rsid w:val="00C40D6E"/>
    <w:rsid w:val="00C40DF3"/>
    <w:rsid w:val="00C40E53"/>
    <w:rsid w:val="00C41015"/>
    <w:rsid w:val="00C4106F"/>
    <w:rsid w:val="00C4118C"/>
    <w:rsid w:val="00C413DF"/>
    <w:rsid w:val="00C413F2"/>
    <w:rsid w:val="00C41408"/>
    <w:rsid w:val="00C414DF"/>
    <w:rsid w:val="00C414FA"/>
    <w:rsid w:val="00C41543"/>
    <w:rsid w:val="00C41562"/>
    <w:rsid w:val="00C41564"/>
    <w:rsid w:val="00C41571"/>
    <w:rsid w:val="00C416A2"/>
    <w:rsid w:val="00C416DF"/>
    <w:rsid w:val="00C41709"/>
    <w:rsid w:val="00C41739"/>
    <w:rsid w:val="00C417AB"/>
    <w:rsid w:val="00C418F0"/>
    <w:rsid w:val="00C419CE"/>
    <w:rsid w:val="00C41AC6"/>
    <w:rsid w:val="00C41AFD"/>
    <w:rsid w:val="00C41C08"/>
    <w:rsid w:val="00C41C3C"/>
    <w:rsid w:val="00C41C6E"/>
    <w:rsid w:val="00C41DE4"/>
    <w:rsid w:val="00C41E0D"/>
    <w:rsid w:val="00C41EC6"/>
    <w:rsid w:val="00C41F2F"/>
    <w:rsid w:val="00C42018"/>
    <w:rsid w:val="00C4203F"/>
    <w:rsid w:val="00C420C9"/>
    <w:rsid w:val="00C421C2"/>
    <w:rsid w:val="00C42219"/>
    <w:rsid w:val="00C42255"/>
    <w:rsid w:val="00C42270"/>
    <w:rsid w:val="00C42272"/>
    <w:rsid w:val="00C4227A"/>
    <w:rsid w:val="00C4239C"/>
    <w:rsid w:val="00C423D3"/>
    <w:rsid w:val="00C423E4"/>
    <w:rsid w:val="00C42405"/>
    <w:rsid w:val="00C42608"/>
    <w:rsid w:val="00C42756"/>
    <w:rsid w:val="00C427D7"/>
    <w:rsid w:val="00C42890"/>
    <w:rsid w:val="00C428B4"/>
    <w:rsid w:val="00C42915"/>
    <w:rsid w:val="00C42928"/>
    <w:rsid w:val="00C4298D"/>
    <w:rsid w:val="00C4298F"/>
    <w:rsid w:val="00C42A60"/>
    <w:rsid w:val="00C42A9B"/>
    <w:rsid w:val="00C42AEB"/>
    <w:rsid w:val="00C42B37"/>
    <w:rsid w:val="00C42BCA"/>
    <w:rsid w:val="00C42C6B"/>
    <w:rsid w:val="00C42CCF"/>
    <w:rsid w:val="00C42CF7"/>
    <w:rsid w:val="00C42D41"/>
    <w:rsid w:val="00C42D58"/>
    <w:rsid w:val="00C42DC3"/>
    <w:rsid w:val="00C43092"/>
    <w:rsid w:val="00C432CB"/>
    <w:rsid w:val="00C43370"/>
    <w:rsid w:val="00C43418"/>
    <w:rsid w:val="00C434E0"/>
    <w:rsid w:val="00C43531"/>
    <w:rsid w:val="00C435C9"/>
    <w:rsid w:val="00C435CE"/>
    <w:rsid w:val="00C43679"/>
    <w:rsid w:val="00C4372A"/>
    <w:rsid w:val="00C43762"/>
    <w:rsid w:val="00C4381F"/>
    <w:rsid w:val="00C43870"/>
    <w:rsid w:val="00C438CC"/>
    <w:rsid w:val="00C4397B"/>
    <w:rsid w:val="00C439F8"/>
    <w:rsid w:val="00C43A95"/>
    <w:rsid w:val="00C43B32"/>
    <w:rsid w:val="00C43B39"/>
    <w:rsid w:val="00C43BA8"/>
    <w:rsid w:val="00C43CF8"/>
    <w:rsid w:val="00C43DD6"/>
    <w:rsid w:val="00C43F77"/>
    <w:rsid w:val="00C43FAD"/>
    <w:rsid w:val="00C43FE2"/>
    <w:rsid w:val="00C44029"/>
    <w:rsid w:val="00C44058"/>
    <w:rsid w:val="00C4414C"/>
    <w:rsid w:val="00C4416E"/>
    <w:rsid w:val="00C4417C"/>
    <w:rsid w:val="00C441FA"/>
    <w:rsid w:val="00C44207"/>
    <w:rsid w:val="00C44214"/>
    <w:rsid w:val="00C44439"/>
    <w:rsid w:val="00C4446A"/>
    <w:rsid w:val="00C444CC"/>
    <w:rsid w:val="00C44657"/>
    <w:rsid w:val="00C446C3"/>
    <w:rsid w:val="00C446CC"/>
    <w:rsid w:val="00C44705"/>
    <w:rsid w:val="00C4474E"/>
    <w:rsid w:val="00C44790"/>
    <w:rsid w:val="00C449E1"/>
    <w:rsid w:val="00C449E4"/>
    <w:rsid w:val="00C44AAB"/>
    <w:rsid w:val="00C44B13"/>
    <w:rsid w:val="00C44B5B"/>
    <w:rsid w:val="00C44B8B"/>
    <w:rsid w:val="00C44B8E"/>
    <w:rsid w:val="00C44BA7"/>
    <w:rsid w:val="00C44C1C"/>
    <w:rsid w:val="00C44D26"/>
    <w:rsid w:val="00C44DDC"/>
    <w:rsid w:val="00C44E1B"/>
    <w:rsid w:val="00C44F9C"/>
    <w:rsid w:val="00C44FD3"/>
    <w:rsid w:val="00C45138"/>
    <w:rsid w:val="00C45192"/>
    <w:rsid w:val="00C45356"/>
    <w:rsid w:val="00C45416"/>
    <w:rsid w:val="00C4546B"/>
    <w:rsid w:val="00C45527"/>
    <w:rsid w:val="00C455F6"/>
    <w:rsid w:val="00C456CA"/>
    <w:rsid w:val="00C45736"/>
    <w:rsid w:val="00C4573E"/>
    <w:rsid w:val="00C4579B"/>
    <w:rsid w:val="00C45804"/>
    <w:rsid w:val="00C45807"/>
    <w:rsid w:val="00C458BD"/>
    <w:rsid w:val="00C458E3"/>
    <w:rsid w:val="00C45928"/>
    <w:rsid w:val="00C45B06"/>
    <w:rsid w:val="00C45D0D"/>
    <w:rsid w:val="00C45D5C"/>
    <w:rsid w:val="00C45E75"/>
    <w:rsid w:val="00C45FA6"/>
    <w:rsid w:val="00C46062"/>
    <w:rsid w:val="00C460AF"/>
    <w:rsid w:val="00C46131"/>
    <w:rsid w:val="00C46136"/>
    <w:rsid w:val="00C4623D"/>
    <w:rsid w:val="00C462C9"/>
    <w:rsid w:val="00C463A7"/>
    <w:rsid w:val="00C46428"/>
    <w:rsid w:val="00C46461"/>
    <w:rsid w:val="00C464F1"/>
    <w:rsid w:val="00C46541"/>
    <w:rsid w:val="00C4656D"/>
    <w:rsid w:val="00C46598"/>
    <w:rsid w:val="00C465B6"/>
    <w:rsid w:val="00C465BF"/>
    <w:rsid w:val="00C46718"/>
    <w:rsid w:val="00C46A18"/>
    <w:rsid w:val="00C46A29"/>
    <w:rsid w:val="00C46AAE"/>
    <w:rsid w:val="00C46B83"/>
    <w:rsid w:val="00C46BCE"/>
    <w:rsid w:val="00C46BD8"/>
    <w:rsid w:val="00C46C7D"/>
    <w:rsid w:val="00C46C91"/>
    <w:rsid w:val="00C46CF9"/>
    <w:rsid w:val="00C46D33"/>
    <w:rsid w:val="00C46D6C"/>
    <w:rsid w:val="00C46E33"/>
    <w:rsid w:val="00C46EDB"/>
    <w:rsid w:val="00C46EE7"/>
    <w:rsid w:val="00C46EE8"/>
    <w:rsid w:val="00C46F18"/>
    <w:rsid w:val="00C46F9E"/>
    <w:rsid w:val="00C46FD7"/>
    <w:rsid w:val="00C46FE9"/>
    <w:rsid w:val="00C470BA"/>
    <w:rsid w:val="00C470D6"/>
    <w:rsid w:val="00C470EE"/>
    <w:rsid w:val="00C471BD"/>
    <w:rsid w:val="00C471F1"/>
    <w:rsid w:val="00C47216"/>
    <w:rsid w:val="00C47289"/>
    <w:rsid w:val="00C47405"/>
    <w:rsid w:val="00C47495"/>
    <w:rsid w:val="00C474FD"/>
    <w:rsid w:val="00C4754C"/>
    <w:rsid w:val="00C475EF"/>
    <w:rsid w:val="00C47699"/>
    <w:rsid w:val="00C476C2"/>
    <w:rsid w:val="00C47726"/>
    <w:rsid w:val="00C4786A"/>
    <w:rsid w:val="00C478A9"/>
    <w:rsid w:val="00C478DD"/>
    <w:rsid w:val="00C47A07"/>
    <w:rsid w:val="00C47A4F"/>
    <w:rsid w:val="00C47A8F"/>
    <w:rsid w:val="00C47B94"/>
    <w:rsid w:val="00C47CA3"/>
    <w:rsid w:val="00C47CA8"/>
    <w:rsid w:val="00C47CB3"/>
    <w:rsid w:val="00C47D07"/>
    <w:rsid w:val="00C47D21"/>
    <w:rsid w:val="00C47ED7"/>
    <w:rsid w:val="00C47F77"/>
    <w:rsid w:val="00C5006C"/>
    <w:rsid w:val="00C5010F"/>
    <w:rsid w:val="00C5023A"/>
    <w:rsid w:val="00C502B5"/>
    <w:rsid w:val="00C502F6"/>
    <w:rsid w:val="00C50356"/>
    <w:rsid w:val="00C50364"/>
    <w:rsid w:val="00C50394"/>
    <w:rsid w:val="00C504A0"/>
    <w:rsid w:val="00C504D6"/>
    <w:rsid w:val="00C50518"/>
    <w:rsid w:val="00C50566"/>
    <w:rsid w:val="00C505E6"/>
    <w:rsid w:val="00C5062B"/>
    <w:rsid w:val="00C506EC"/>
    <w:rsid w:val="00C50713"/>
    <w:rsid w:val="00C507A3"/>
    <w:rsid w:val="00C50936"/>
    <w:rsid w:val="00C50964"/>
    <w:rsid w:val="00C509A7"/>
    <w:rsid w:val="00C50B48"/>
    <w:rsid w:val="00C50B6C"/>
    <w:rsid w:val="00C50C11"/>
    <w:rsid w:val="00C50CED"/>
    <w:rsid w:val="00C50D0D"/>
    <w:rsid w:val="00C50D2D"/>
    <w:rsid w:val="00C50D74"/>
    <w:rsid w:val="00C50DD7"/>
    <w:rsid w:val="00C50FAC"/>
    <w:rsid w:val="00C50FE6"/>
    <w:rsid w:val="00C5109D"/>
    <w:rsid w:val="00C511ED"/>
    <w:rsid w:val="00C51293"/>
    <w:rsid w:val="00C5129F"/>
    <w:rsid w:val="00C51326"/>
    <w:rsid w:val="00C51622"/>
    <w:rsid w:val="00C518AB"/>
    <w:rsid w:val="00C51942"/>
    <w:rsid w:val="00C519DE"/>
    <w:rsid w:val="00C51A05"/>
    <w:rsid w:val="00C51A2D"/>
    <w:rsid w:val="00C51A91"/>
    <w:rsid w:val="00C51B97"/>
    <w:rsid w:val="00C51BF8"/>
    <w:rsid w:val="00C51BFB"/>
    <w:rsid w:val="00C51C15"/>
    <w:rsid w:val="00C51C6A"/>
    <w:rsid w:val="00C51C6B"/>
    <w:rsid w:val="00C51D4D"/>
    <w:rsid w:val="00C51D86"/>
    <w:rsid w:val="00C51F0F"/>
    <w:rsid w:val="00C51FD7"/>
    <w:rsid w:val="00C52032"/>
    <w:rsid w:val="00C52038"/>
    <w:rsid w:val="00C520BD"/>
    <w:rsid w:val="00C520E0"/>
    <w:rsid w:val="00C521A2"/>
    <w:rsid w:val="00C521E2"/>
    <w:rsid w:val="00C521E4"/>
    <w:rsid w:val="00C5222E"/>
    <w:rsid w:val="00C522B9"/>
    <w:rsid w:val="00C522E9"/>
    <w:rsid w:val="00C52328"/>
    <w:rsid w:val="00C52335"/>
    <w:rsid w:val="00C52366"/>
    <w:rsid w:val="00C523E0"/>
    <w:rsid w:val="00C5240B"/>
    <w:rsid w:val="00C5252F"/>
    <w:rsid w:val="00C52540"/>
    <w:rsid w:val="00C5256B"/>
    <w:rsid w:val="00C52579"/>
    <w:rsid w:val="00C525AF"/>
    <w:rsid w:val="00C525D9"/>
    <w:rsid w:val="00C525DF"/>
    <w:rsid w:val="00C526EE"/>
    <w:rsid w:val="00C52723"/>
    <w:rsid w:val="00C5274F"/>
    <w:rsid w:val="00C527A1"/>
    <w:rsid w:val="00C528F4"/>
    <w:rsid w:val="00C52968"/>
    <w:rsid w:val="00C529D2"/>
    <w:rsid w:val="00C529F5"/>
    <w:rsid w:val="00C52ADC"/>
    <w:rsid w:val="00C52B47"/>
    <w:rsid w:val="00C52B60"/>
    <w:rsid w:val="00C52BDC"/>
    <w:rsid w:val="00C52CEA"/>
    <w:rsid w:val="00C52D82"/>
    <w:rsid w:val="00C52E7E"/>
    <w:rsid w:val="00C52EBE"/>
    <w:rsid w:val="00C52EDF"/>
    <w:rsid w:val="00C52FB7"/>
    <w:rsid w:val="00C52FD5"/>
    <w:rsid w:val="00C52FEE"/>
    <w:rsid w:val="00C5300B"/>
    <w:rsid w:val="00C53037"/>
    <w:rsid w:val="00C5303E"/>
    <w:rsid w:val="00C531D3"/>
    <w:rsid w:val="00C532D3"/>
    <w:rsid w:val="00C5335F"/>
    <w:rsid w:val="00C533F6"/>
    <w:rsid w:val="00C5344C"/>
    <w:rsid w:val="00C534E6"/>
    <w:rsid w:val="00C534E7"/>
    <w:rsid w:val="00C534FB"/>
    <w:rsid w:val="00C5358F"/>
    <w:rsid w:val="00C535D7"/>
    <w:rsid w:val="00C53719"/>
    <w:rsid w:val="00C53726"/>
    <w:rsid w:val="00C5376C"/>
    <w:rsid w:val="00C537E2"/>
    <w:rsid w:val="00C53802"/>
    <w:rsid w:val="00C5381D"/>
    <w:rsid w:val="00C538E5"/>
    <w:rsid w:val="00C5395F"/>
    <w:rsid w:val="00C539B1"/>
    <w:rsid w:val="00C53A0D"/>
    <w:rsid w:val="00C53A70"/>
    <w:rsid w:val="00C53A9A"/>
    <w:rsid w:val="00C53AB7"/>
    <w:rsid w:val="00C53B14"/>
    <w:rsid w:val="00C53B23"/>
    <w:rsid w:val="00C53B34"/>
    <w:rsid w:val="00C53C2D"/>
    <w:rsid w:val="00C53CC8"/>
    <w:rsid w:val="00C53D84"/>
    <w:rsid w:val="00C53E2C"/>
    <w:rsid w:val="00C53E71"/>
    <w:rsid w:val="00C53E80"/>
    <w:rsid w:val="00C53FC2"/>
    <w:rsid w:val="00C540CD"/>
    <w:rsid w:val="00C54171"/>
    <w:rsid w:val="00C54184"/>
    <w:rsid w:val="00C541AB"/>
    <w:rsid w:val="00C541D7"/>
    <w:rsid w:val="00C54238"/>
    <w:rsid w:val="00C54250"/>
    <w:rsid w:val="00C5430D"/>
    <w:rsid w:val="00C54344"/>
    <w:rsid w:val="00C5436F"/>
    <w:rsid w:val="00C54433"/>
    <w:rsid w:val="00C54498"/>
    <w:rsid w:val="00C545DA"/>
    <w:rsid w:val="00C545EE"/>
    <w:rsid w:val="00C546BC"/>
    <w:rsid w:val="00C546D4"/>
    <w:rsid w:val="00C54889"/>
    <w:rsid w:val="00C548ED"/>
    <w:rsid w:val="00C54941"/>
    <w:rsid w:val="00C549AB"/>
    <w:rsid w:val="00C549B4"/>
    <w:rsid w:val="00C549D6"/>
    <w:rsid w:val="00C54A0F"/>
    <w:rsid w:val="00C54AF8"/>
    <w:rsid w:val="00C54B6B"/>
    <w:rsid w:val="00C54BF8"/>
    <w:rsid w:val="00C54C8A"/>
    <w:rsid w:val="00C54CC6"/>
    <w:rsid w:val="00C54D06"/>
    <w:rsid w:val="00C54D08"/>
    <w:rsid w:val="00C54D1E"/>
    <w:rsid w:val="00C54D50"/>
    <w:rsid w:val="00C54D7C"/>
    <w:rsid w:val="00C54DA6"/>
    <w:rsid w:val="00C54DB0"/>
    <w:rsid w:val="00C54DB3"/>
    <w:rsid w:val="00C54E56"/>
    <w:rsid w:val="00C54EA9"/>
    <w:rsid w:val="00C55019"/>
    <w:rsid w:val="00C55091"/>
    <w:rsid w:val="00C550A2"/>
    <w:rsid w:val="00C550B9"/>
    <w:rsid w:val="00C5519A"/>
    <w:rsid w:val="00C551B6"/>
    <w:rsid w:val="00C551C6"/>
    <w:rsid w:val="00C55205"/>
    <w:rsid w:val="00C55237"/>
    <w:rsid w:val="00C553F2"/>
    <w:rsid w:val="00C55407"/>
    <w:rsid w:val="00C554AA"/>
    <w:rsid w:val="00C554B3"/>
    <w:rsid w:val="00C5552D"/>
    <w:rsid w:val="00C55530"/>
    <w:rsid w:val="00C555AC"/>
    <w:rsid w:val="00C55650"/>
    <w:rsid w:val="00C556D9"/>
    <w:rsid w:val="00C5572B"/>
    <w:rsid w:val="00C557C5"/>
    <w:rsid w:val="00C557C7"/>
    <w:rsid w:val="00C55834"/>
    <w:rsid w:val="00C558B3"/>
    <w:rsid w:val="00C55939"/>
    <w:rsid w:val="00C55980"/>
    <w:rsid w:val="00C55A4B"/>
    <w:rsid w:val="00C55AEE"/>
    <w:rsid w:val="00C55B01"/>
    <w:rsid w:val="00C55B0A"/>
    <w:rsid w:val="00C55B1C"/>
    <w:rsid w:val="00C55B9B"/>
    <w:rsid w:val="00C55BEA"/>
    <w:rsid w:val="00C55CB9"/>
    <w:rsid w:val="00C55D35"/>
    <w:rsid w:val="00C55DDB"/>
    <w:rsid w:val="00C55EFF"/>
    <w:rsid w:val="00C55F4F"/>
    <w:rsid w:val="00C55F98"/>
    <w:rsid w:val="00C55FCF"/>
    <w:rsid w:val="00C56009"/>
    <w:rsid w:val="00C56069"/>
    <w:rsid w:val="00C56102"/>
    <w:rsid w:val="00C56112"/>
    <w:rsid w:val="00C5612D"/>
    <w:rsid w:val="00C5638A"/>
    <w:rsid w:val="00C56405"/>
    <w:rsid w:val="00C56409"/>
    <w:rsid w:val="00C5646B"/>
    <w:rsid w:val="00C56530"/>
    <w:rsid w:val="00C565FB"/>
    <w:rsid w:val="00C565FD"/>
    <w:rsid w:val="00C56637"/>
    <w:rsid w:val="00C5668B"/>
    <w:rsid w:val="00C566BD"/>
    <w:rsid w:val="00C56741"/>
    <w:rsid w:val="00C56770"/>
    <w:rsid w:val="00C568AF"/>
    <w:rsid w:val="00C569D0"/>
    <w:rsid w:val="00C569ED"/>
    <w:rsid w:val="00C56A61"/>
    <w:rsid w:val="00C56AA5"/>
    <w:rsid w:val="00C56AB1"/>
    <w:rsid w:val="00C56BC1"/>
    <w:rsid w:val="00C56CFD"/>
    <w:rsid w:val="00C56D99"/>
    <w:rsid w:val="00C56DC6"/>
    <w:rsid w:val="00C56E22"/>
    <w:rsid w:val="00C56E2E"/>
    <w:rsid w:val="00C56E48"/>
    <w:rsid w:val="00C56E68"/>
    <w:rsid w:val="00C56F52"/>
    <w:rsid w:val="00C57018"/>
    <w:rsid w:val="00C5701C"/>
    <w:rsid w:val="00C570D0"/>
    <w:rsid w:val="00C570E5"/>
    <w:rsid w:val="00C5719D"/>
    <w:rsid w:val="00C571CA"/>
    <w:rsid w:val="00C57209"/>
    <w:rsid w:val="00C572EB"/>
    <w:rsid w:val="00C57301"/>
    <w:rsid w:val="00C57324"/>
    <w:rsid w:val="00C573D7"/>
    <w:rsid w:val="00C573EE"/>
    <w:rsid w:val="00C57414"/>
    <w:rsid w:val="00C5743B"/>
    <w:rsid w:val="00C57537"/>
    <w:rsid w:val="00C57579"/>
    <w:rsid w:val="00C575B1"/>
    <w:rsid w:val="00C575FF"/>
    <w:rsid w:val="00C5760E"/>
    <w:rsid w:val="00C57650"/>
    <w:rsid w:val="00C576A5"/>
    <w:rsid w:val="00C576AD"/>
    <w:rsid w:val="00C57701"/>
    <w:rsid w:val="00C5782C"/>
    <w:rsid w:val="00C578C8"/>
    <w:rsid w:val="00C578D6"/>
    <w:rsid w:val="00C578F9"/>
    <w:rsid w:val="00C5796E"/>
    <w:rsid w:val="00C57B68"/>
    <w:rsid w:val="00C57B6C"/>
    <w:rsid w:val="00C57BDB"/>
    <w:rsid w:val="00C57BFF"/>
    <w:rsid w:val="00C57C80"/>
    <w:rsid w:val="00C57D08"/>
    <w:rsid w:val="00C57D18"/>
    <w:rsid w:val="00C57D6E"/>
    <w:rsid w:val="00C57DEF"/>
    <w:rsid w:val="00C57EAE"/>
    <w:rsid w:val="00C57EBF"/>
    <w:rsid w:val="00C57F36"/>
    <w:rsid w:val="00C57F53"/>
    <w:rsid w:val="00C57FEB"/>
    <w:rsid w:val="00C60002"/>
    <w:rsid w:val="00C6000A"/>
    <w:rsid w:val="00C6007F"/>
    <w:rsid w:val="00C60136"/>
    <w:rsid w:val="00C60252"/>
    <w:rsid w:val="00C602A2"/>
    <w:rsid w:val="00C602C9"/>
    <w:rsid w:val="00C602E1"/>
    <w:rsid w:val="00C603CA"/>
    <w:rsid w:val="00C60523"/>
    <w:rsid w:val="00C605EB"/>
    <w:rsid w:val="00C605F5"/>
    <w:rsid w:val="00C60690"/>
    <w:rsid w:val="00C606A7"/>
    <w:rsid w:val="00C6077E"/>
    <w:rsid w:val="00C60781"/>
    <w:rsid w:val="00C60813"/>
    <w:rsid w:val="00C6085F"/>
    <w:rsid w:val="00C6095C"/>
    <w:rsid w:val="00C60AAB"/>
    <w:rsid w:val="00C60ACA"/>
    <w:rsid w:val="00C60B0F"/>
    <w:rsid w:val="00C60B80"/>
    <w:rsid w:val="00C60BD8"/>
    <w:rsid w:val="00C60C00"/>
    <w:rsid w:val="00C60DC0"/>
    <w:rsid w:val="00C60E15"/>
    <w:rsid w:val="00C60E55"/>
    <w:rsid w:val="00C60EE7"/>
    <w:rsid w:val="00C60F03"/>
    <w:rsid w:val="00C60F14"/>
    <w:rsid w:val="00C60F34"/>
    <w:rsid w:val="00C60F4C"/>
    <w:rsid w:val="00C61144"/>
    <w:rsid w:val="00C61167"/>
    <w:rsid w:val="00C6147D"/>
    <w:rsid w:val="00C61580"/>
    <w:rsid w:val="00C615CB"/>
    <w:rsid w:val="00C6169E"/>
    <w:rsid w:val="00C616C8"/>
    <w:rsid w:val="00C616F8"/>
    <w:rsid w:val="00C61705"/>
    <w:rsid w:val="00C61775"/>
    <w:rsid w:val="00C617A7"/>
    <w:rsid w:val="00C617B5"/>
    <w:rsid w:val="00C617D4"/>
    <w:rsid w:val="00C61846"/>
    <w:rsid w:val="00C6186D"/>
    <w:rsid w:val="00C619C1"/>
    <w:rsid w:val="00C61AD0"/>
    <w:rsid w:val="00C61B9C"/>
    <w:rsid w:val="00C61BA1"/>
    <w:rsid w:val="00C61BA9"/>
    <w:rsid w:val="00C61BB7"/>
    <w:rsid w:val="00C61BBC"/>
    <w:rsid w:val="00C61BC1"/>
    <w:rsid w:val="00C61C74"/>
    <w:rsid w:val="00C61C82"/>
    <w:rsid w:val="00C61D1F"/>
    <w:rsid w:val="00C61D77"/>
    <w:rsid w:val="00C61E01"/>
    <w:rsid w:val="00C61E71"/>
    <w:rsid w:val="00C61EB7"/>
    <w:rsid w:val="00C61ED9"/>
    <w:rsid w:val="00C61F38"/>
    <w:rsid w:val="00C61F9D"/>
    <w:rsid w:val="00C61FDD"/>
    <w:rsid w:val="00C6209D"/>
    <w:rsid w:val="00C6214C"/>
    <w:rsid w:val="00C621DC"/>
    <w:rsid w:val="00C62227"/>
    <w:rsid w:val="00C622F0"/>
    <w:rsid w:val="00C62376"/>
    <w:rsid w:val="00C624C2"/>
    <w:rsid w:val="00C624D9"/>
    <w:rsid w:val="00C624FC"/>
    <w:rsid w:val="00C62530"/>
    <w:rsid w:val="00C625B5"/>
    <w:rsid w:val="00C62602"/>
    <w:rsid w:val="00C62650"/>
    <w:rsid w:val="00C62690"/>
    <w:rsid w:val="00C62728"/>
    <w:rsid w:val="00C627EB"/>
    <w:rsid w:val="00C62821"/>
    <w:rsid w:val="00C62839"/>
    <w:rsid w:val="00C62941"/>
    <w:rsid w:val="00C6297E"/>
    <w:rsid w:val="00C629A6"/>
    <w:rsid w:val="00C62B33"/>
    <w:rsid w:val="00C62BAD"/>
    <w:rsid w:val="00C62DDC"/>
    <w:rsid w:val="00C62E57"/>
    <w:rsid w:val="00C62EBD"/>
    <w:rsid w:val="00C62F12"/>
    <w:rsid w:val="00C62F19"/>
    <w:rsid w:val="00C62F25"/>
    <w:rsid w:val="00C62F5A"/>
    <w:rsid w:val="00C62FEA"/>
    <w:rsid w:val="00C63011"/>
    <w:rsid w:val="00C63027"/>
    <w:rsid w:val="00C630C4"/>
    <w:rsid w:val="00C630E8"/>
    <w:rsid w:val="00C631F3"/>
    <w:rsid w:val="00C6325E"/>
    <w:rsid w:val="00C63300"/>
    <w:rsid w:val="00C6335A"/>
    <w:rsid w:val="00C6339B"/>
    <w:rsid w:val="00C634E7"/>
    <w:rsid w:val="00C634E9"/>
    <w:rsid w:val="00C63634"/>
    <w:rsid w:val="00C636B0"/>
    <w:rsid w:val="00C636CA"/>
    <w:rsid w:val="00C63814"/>
    <w:rsid w:val="00C63836"/>
    <w:rsid w:val="00C638FC"/>
    <w:rsid w:val="00C638FE"/>
    <w:rsid w:val="00C6398A"/>
    <w:rsid w:val="00C639CB"/>
    <w:rsid w:val="00C63A76"/>
    <w:rsid w:val="00C63C02"/>
    <w:rsid w:val="00C63C85"/>
    <w:rsid w:val="00C63D00"/>
    <w:rsid w:val="00C63E49"/>
    <w:rsid w:val="00C63F60"/>
    <w:rsid w:val="00C640B9"/>
    <w:rsid w:val="00C64107"/>
    <w:rsid w:val="00C642F8"/>
    <w:rsid w:val="00C6432A"/>
    <w:rsid w:val="00C64336"/>
    <w:rsid w:val="00C64404"/>
    <w:rsid w:val="00C6445C"/>
    <w:rsid w:val="00C64483"/>
    <w:rsid w:val="00C64543"/>
    <w:rsid w:val="00C645A7"/>
    <w:rsid w:val="00C6463F"/>
    <w:rsid w:val="00C64671"/>
    <w:rsid w:val="00C64839"/>
    <w:rsid w:val="00C64920"/>
    <w:rsid w:val="00C64986"/>
    <w:rsid w:val="00C649C9"/>
    <w:rsid w:val="00C64A40"/>
    <w:rsid w:val="00C64AB2"/>
    <w:rsid w:val="00C64BD6"/>
    <w:rsid w:val="00C64BDD"/>
    <w:rsid w:val="00C64C10"/>
    <w:rsid w:val="00C64C25"/>
    <w:rsid w:val="00C64C39"/>
    <w:rsid w:val="00C64C4A"/>
    <w:rsid w:val="00C64C88"/>
    <w:rsid w:val="00C64DA5"/>
    <w:rsid w:val="00C64F01"/>
    <w:rsid w:val="00C64F32"/>
    <w:rsid w:val="00C64F6F"/>
    <w:rsid w:val="00C6507E"/>
    <w:rsid w:val="00C650DC"/>
    <w:rsid w:val="00C651D0"/>
    <w:rsid w:val="00C65286"/>
    <w:rsid w:val="00C652BB"/>
    <w:rsid w:val="00C6533D"/>
    <w:rsid w:val="00C65370"/>
    <w:rsid w:val="00C653EE"/>
    <w:rsid w:val="00C65502"/>
    <w:rsid w:val="00C65543"/>
    <w:rsid w:val="00C6557C"/>
    <w:rsid w:val="00C65592"/>
    <w:rsid w:val="00C655A9"/>
    <w:rsid w:val="00C655D0"/>
    <w:rsid w:val="00C65676"/>
    <w:rsid w:val="00C65680"/>
    <w:rsid w:val="00C656C8"/>
    <w:rsid w:val="00C656EC"/>
    <w:rsid w:val="00C65896"/>
    <w:rsid w:val="00C65943"/>
    <w:rsid w:val="00C65992"/>
    <w:rsid w:val="00C65A90"/>
    <w:rsid w:val="00C65AB0"/>
    <w:rsid w:val="00C65AB8"/>
    <w:rsid w:val="00C65B33"/>
    <w:rsid w:val="00C65C95"/>
    <w:rsid w:val="00C65CA6"/>
    <w:rsid w:val="00C65EAB"/>
    <w:rsid w:val="00C65F7D"/>
    <w:rsid w:val="00C65F92"/>
    <w:rsid w:val="00C65FF4"/>
    <w:rsid w:val="00C6600E"/>
    <w:rsid w:val="00C66014"/>
    <w:rsid w:val="00C66038"/>
    <w:rsid w:val="00C66095"/>
    <w:rsid w:val="00C660D8"/>
    <w:rsid w:val="00C660F4"/>
    <w:rsid w:val="00C66132"/>
    <w:rsid w:val="00C66154"/>
    <w:rsid w:val="00C66195"/>
    <w:rsid w:val="00C661BE"/>
    <w:rsid w:val="00C661DA"/>
    <w:rsid w:val="00C663F0"/>
    <w:rsid w:val="00C6643A"/>
    <w:rsid w:val="00C6652F"/>
    <w:rsid w:val="00C6657E"/>
    <w:rsid w:val="00C665B2"/>
    <w:rsid w:val="00C6660F"/>
    <w:rsid w:val="00C66741"/>
    <w:rsid w:val="00C667AB"/>
    <w:rsid w:val="00C66845"/>
    <w:rsid w:val="00C6689E"/>
    <w:rsid w:val="00C668D6"/>
    <w:rsid w:val="00C66909"/>
    <w:rsid w:val="00C669B4"/>
    <w:rsid w:val="00C66B21"/>
    <w:rsid w:val="00C66B4E"/>
    <w:rsid w:val="00C66B66"/>
    <w:rsid w:val="00C66BDD"/>
    <w:rsid w:val="00C66CFE"/>
    <w:rsid w:val="00C66D21"/>
    <w:rsid w:val="00C66D76"/>
    <w:rsid w:val="00C66DA1"/>
    <w:rsid w:val="00C66DAA"/>
    <w:rsid w:val="00C66DBB"/>
    <w:rsid w:val="00C66E5E"/>
    <w:rsid w:val="00C66ED8"/>
    <w:rsid w:val="00C66EF9"/>
    <w:rsid w:val="00C66F09"/>
    <w:rsid w:val="00C66F56"/>
    <w:rsid w:val="00C66FFA"/>
    <w:rsid w:val="00C67155"/>
    <w:rsid w:val="00C67156"/>
    <w:rsid w:val="00C671A1"/>
    <w:rsid w:val="00C671FC"/>
    <w:rsid w:val="00C67218"/>
    <w:rsid w:val="00C6726C"/>
    <w:rsid w:val="00C67309"/>
    <w:rsid w:val="00C67313"/>
    <w:rsid w:val="00C67345"/>
    <w:rsid w:val="00C6735F"/>
    <w:rsid w:val="00C67432"/>
    <w:rsid w:val="00C67526"/>
    <w:rsid w:val="00C67685"/>
    <w:rsid w:val="00C676C5"/>
    <w:rsid w:val="00C676F7"/>
    <w:rsid w:val="00C67714"/>
    <w:rsid w:val="00C6773B"/>
    <w:rsid w:val="00C6776F"/>
    <w:rsid w:val="00C6785E"/>
    <w:rsid w:val="00C6793A"/>
    <w:rsid w:val="00C67992"/>
    <w:rsid w:val="00C679CD"/>
    <w:rsid w:val="00C679F5"/>
    <w:rsid w:val="00C67A71"/>
    <w:rsid w:val="00C67A95"/>
    <w:rsid w:val="00C67AA2"/>
    <w:rsid w:val="00C67B6E"/>
    <w:rsid w:val="00C67B9C"/>
    <w:rsid w:val="00C67BA6"/>
    <w:rsid w:val="00C67BF0"/>
    <w:rsid w:val="00C67C24"/>
    <w:rsid w:val="00C67C2B"/>
    <w:rsid w:val="00C67CF5"/>
    <w:rsid w:val="00C67D19"/>
    <w:rsid w:val="00C67D30"/>
    <w:rsid w:val="00C67D3A"/>
    <w:rsid w:val="00C67D9D"/>
    <w:rsid w:val="00C67DD0"/>
    <w:rsid w:val="00C67DF8"/>
    <w:rsid w:val="00C67EDF"/>
    <w:rsid w:val="00C67FF9"/>
    <w:rsid w:val="00C7008B"/>
    <w:rsid w:val="00C7010A"/>
    <w:rsid w:val="00C70142"/>
    <w:rsid w:val="00C70161"/>
    <w:rsid w:val="00C70193"/>
    <w:rsid w:val="00C701CE"/>
    <w:rsid w:val="00C70230"/>
    <w:rsid w:val="00C70247"/>
    <w:rsid w:val="00C702B8"/>
    <w:rsid w:val="00C702CC"/>
    <w:rsid w:val="00C7037B"/>
    <w:rsid w:val="00C7040D"/>
    <w:rsid w:val="00C704B1"/>
    <w:rsid w:val="00C70553"/>
    <w:rsid w:val="00C705A3"/>
    <w:rsid w:val="00C705BB"/>
    <w:rsid w:val="00C7068A"/>
    <w:rsid w:val="00C706E9"/>
    <w:rsid w:val="00C706EB"/>
    <w:rsid w:val="00C706F4"/>
    <w:rsid w:val="00C707AD"/>
    <w:rsid w:val="00C707DE"/>
    <w:rsid w:val="00C708A6"/>
    <w:rsid w:val="00C708C4"/>
    <w:rsid w:val="00C70962"/>
    <w:rsid w:val="00C70989"/>
    <w:rsid w:val="00C70A63"/>
    <w:rsid w:val="00C70B43"/>
    <w:rsid w:val="00C70B6A"/>
    <w:rsid w:val="00C70B7D"/>
    <w:rsid w:val="00C70B7F"/>
    <w:rsid w:val="00C70CAD"/>
    <w:rsid w:val="00C70D12"/>
    <w:rsid w:val="00C70D84"/>
    <w:rsid w:val="00C70DBA"/>
    <w:rsid w:val="00C70DBB"/>
    <w:rsid w:val="00C70E21"/>
    <w:rsid w:val="00C70E88"/>
    <w:rsid w:val="00C70ECE"/>
    <w:rsid w:val="00C70EDF"/>
    <w:rsid w:val="00C70EE0"/>
    <w:rsid w:val="00C70F2C"/>
    <w:rsid w:val="00C70FB5"/>
    <w:rsid w:val="00C71017"/>
    <w:rsid w:val="00C71233"/>
    <w:rsid w:val="00C7127A"/>
    <w:rsid w:val="00C712B8"/>
    <w:rsid w:val="00C712CA"/>
    <w:rsid w:val="00C713ED"/>
    <w:rsid w:val="00C71451"/>
    <w:rsid w:val="00C7160D"/>
    <w:rsid w:val="00C71652"/>
    <w:rsid w:val="00C71677"/>
    <w:rsid w:val="00C71775"/>
    <w:rsid w:val="00C717CC"/>
    <w:rsid w:val="00C718F6"/>
    <w:rsid w:val="00C71932"/>
    <w:rsid w:val="00C719C0"/>
    <w:rsid w:val="00C71A67"/>
    <w:rsid w:val="00C71A71"/>
    <w:rsid w:val="00C71A96"/>
    <w:rsid w:val="00C71A97"/>
    <w:rsid w:val="00C71AB6"/>
    <w:rsid w:val="00C71AE5"/>
    <w:rsid w:val="00C71AEE"/>
    <w:rsid w:val="00C71B01"/>
    <w:rsid w:val="00C71B1C"/>
    <w:rsid w:val="00C71B2A"/>
    <w:rsid w:val="00C71B7B"/>
    <w:rsid w:val="00C71B92"/>
    <w:rsid w:val="00C71C9D"/>
    <w:rsid w:val="00C71D57"/>
    <w:rsid w:val="00C71D76"/>
    <w:rsid w:val="00C71E7E"/>
    <w:rsid w:val="00C71EF2"/>
    <w:rsid w:val="00C71F58"/>
    <w:rsid w:val="00C71F7A"/>
    <w:rsid w:val="00C72030"/>
    <w:rsid w:val="00C72039"/>
    <w:rsid w:val="00C720F8"/>
    <w:rsid w:val="00C72112"/>
    <w:rsid w:val="00C7212F"/>
    <w:rsid w:val="00C72179"/>
    <w:rsid w:val="00C72193"/>
    <w:rsid w:val="00C721A5"/>
    <w:rsid w:val="00C72266"/>
    <w:rsid w:val="00C72274"/>
    <w:rsid w:val="00C722FB"/>
    <w:rsid w:val="00C72318"/>
    <w:rsid w:val="00C72347"/>
    <w:rsid w:val="00C723D6"/>
    <w:rsid w:val="00C72401"/>
    <w:rsid w:val="00C72470"/>
    <w:rsid w:val="00C724E6"/>
    <w:rsid w:val="00C7256D"/>
    <w:rsid w:val="00C725C5"/>
    <w:rsid w:val="00C725C8"/>
    <w:rsid w:val="00C725F9"/>
    <w:rsid w:val="00C72636"/>
    <w:rsid w:val="00C72737"/>
    <w:rsid w:val="00C7279D"/>
    <w:rsid w:val="00C727A6"/>
    <w:rsid w:val="00C72883"/>
    <w:rsid w:val="00C729A0"/>
    <w:rsid w:val="00C729E5"/>
    <w:rsid w:val="00C729F2"/>
    <w:rsid w:val="00C72B58"/>
    <w:rsid w:val="00C72B7F"/>
    <w:rsid w:val="00C72D07"/>
    <w:rsid w:val="00C72D22"/>
    <w:rsid w:val="00C72D2F"/>
    <w:rsid w:val="00C72DEE"/>
    <w:rsid w:val="00C72E08"/>
    <w:rsid w:val="00C72E29"/>
    <w:rsid w:val="00C72E4E"/>
    <w:rsid w:val="00C72E68"/>
    <w:rsid w:val="00C72E6B"/>
    <w:rsid w:val="00C72EBB"/>
    <w:rsid w:val="00C72F13"/>
    <w:rsid w:val="00C72F61"/>
    <w:rsid w:val="00C72FF0"/>
    <w:rsid w:val="00C730FA"/>
    <w:rsid w:val="00C7310B"/>
    <w:rsid w:val="00C73139"/>
    <w:rsid w:val="00C731A5"/>
    <w:rsid w:val="00C73234"/>
    <w:rsid w:val="00C73305"/>
    <w:rsid w:val="00C73388"/>
    <w:rsid w:val="00C7348A"/>
    <w:rsid w:val="00C734E5"/>
    <w:rsid w:val="00C734FF"/>
    <w:rsid w:val="00C7353C"/>
    <w:rsid w:val="00C736EA"/>
    <w:rsid w:val="00C736F2"/>
    <w:rsid w:val="00C73730"/>
    <w:rsid w:val="00C7374D"/>
    <w:rsid w:val="00C73753"/>
    <w:rsid w:val="00C73795"/>
    <w:rsid w:val="00C73811"/>
    <w:rsid w:val="00C738B4"/>
    <w:rsid w:val="00C73B84"/>
    <w:rsid w:val="00C73C4F"/>
    <w:rsid w:val="00C73D08"/>
    <w:rsid w:val="00C73DD7"/>
    <w:rsid w:val="00C73F10"/>
    <w:rsid w:val="00C73F91"/>
    <w:rsid w:val="00C73FC5"/>
    <w:rsid w:val="00C73FE8"/>
    <w:rsid w:val="00C74093"/>
    <w:rsid w:val="00C74157"/>
    <w:rsid w:val="00C74262"/>
    <w:rsid w:val="00C74319"/>
    <w:rsid w:val="00C743E5"/>
    <w:rsid w:val="00C744C1"/>
    <w:rsid w:val="00C744F0"/>
    <w:rsid w:val="00C74555"/>
    <w:rsid w:val="00C74568"/>
    <w:rsid w:val="00C745CF"/>
    <w:rsid w:val="00C74659"/>
    <w:rsid w:val="00C746EE"/>
    <w:rsid w:val="00C746F5"/>
    <w:rsid w:val="00C74733"/>
    <w:rsid w:val="00C747A5"/>
    <w:rsid w:val="00C74815"/>
    <w:rsid w:val="00C7482C"/>
    <w:rsid w:val="00C74854"/>
    <w:rsid w:val="00C74884"/>
    <w:rsid w:val="00C74973"/>
    <w:rsid w:val="00C749EF"/>
    <w:rsid w:val="00C74AB2"/>
    <w:rsid w:val="00C74ADA"/>
    <w:rsid w:val="00C74B03"/>
    <w:rsid w:val="00C74C2D"/>
    <w:rsid w:val="00C74C4C"/>
    <w:rsid w:val="00C74C54"/>
    <w:rsid w:val="00C74CE4"/>
    <w:rsid w:val="00C74D6F"/>
    <w:rsid w:val="00C74D85"/>
    <w:rsid w:val="00C74E5A"/>
    <w:rsid w:val="00C74F93"/>
    <w:rsid w:val="00C74FE8"/>
    <w:rsid w:val="00C75099"/>
    <w:rsid w:val="00C750B0"/>
    <w:rsid w:val="00C75146"/>
    <w:rsid w:val="00C7519E"/>
    <w:rsid w:val="00C75263"/>
    <w:rsid w:val="00C7526D"/>
    <w:rsid w:val="00C75292"/>
    <w:rsid w:val="00C754A7"/>
    <w:rsid w:val="00C755CB"/>
    <w:rsid w:val="00C756BA"/>
    <w:rsid w:val="00C75701"/>
    <w:rsid w:val="00C7579B"/>
    <w:rsid w:val="00C757AE"/>
    <w:rsid w:val="00C757DB"/>
    <w:rsid w:val="00C75A3F"/>
    <w:rsid w:val="00C75A59"/>
    <w:rsid w:val="00C75A82"/>
    <w:rsid w:val="00C75BA2"/>
    <w:rsid w:val="00C75C3A"/>
    <w:rsid w:val="00C75C5F"/>
    <w:rsid w:val="00C75E84"/>
    <w:rsid w:val="00C75F13"/>
    <w:rsid w:val="00C7603B"/>
    <w:rsid w:val="00C760B4"/>
    <w:rsid w:val="00C760C6"/>
    <w:rsid w:val="00C7611C"/>
    <w:rsid w:val="00C76130"/>
    <w:rsid w:val="00C761BC"/>
    <w:rsid w:val="00C7623E"/>
    <w:rsid w:val="00C7632F"/>
    <w:rsid w:val="00C7637D"/>
    <w:rsid w:val="00C763DC"/>
    <w:rsid w:val="00C76537"/>
    <w:rsid w:val="00C76558"/>
    <w:rsid w:val="00C76579"/>
    <w:rsid w:val="00C76587"/>
    <w:rsid w:val="00C766B9"/>
    <w:rsid w:val="00C766E6"/>
    <w:rsid w:val="00C766F6"/>
    <w:rsid w:val="00C7679E"/>
    <w:rsid w:val="00C767D6"/>
    <w:rsid w:val="00C767F1"/>
    <w:rsid w:val="00C767FA"/>
    <w:rsid w:val="00C7682F"/>
    <w:rsid w:val="00C7687D"/>
    <w:rsid w:val="00C768AB"/>
    <w:rsid w:val="00C768F4"/>
    <w:rsid w:val="00C76953"/>
    <w:rsid w:val="00C76969"/>
    <w:rsid w:val="00C76974"/>
    <w:rsid w:val="00C76B08"/>
    <w:rsid w:val="00C76B35"/>
    <w:rsid w:val="00C76BCE"/>
    <w:rsid w:val="00C76BF3"/>
    <w:rsid w:val="00C76C9C"/>
    <w:rsid w:val="00C76C9D"/>
    <w:rsid w:val="00C76CC7"/>
    <w:rsid w:val="00C76CD2"/>
    <w:rsid w:val="00C76E3B"/>
    <w:rsid w:val="00C76E87"/>
    <w:rsid w:val="00C76EFC"/>
    <w:rsid w:val="00C76F50"/>
    <w:rsid w:val="00C7705B"/>
    <w:rsid w:val="00C770B6"/>
    <w:rsid w:val="00C772ED"/>
    <w:rsid w:val="00C77370"/>
    <w:rsid w:val="00C773C2"/>
    <w:rsid w:val="00C773EF"/>
    <w:rsid w:val="00C77445"/>
    <w:rsid w:val="00C7750D"/>
    <w:rsid w:val="00C7752A"/>
    <w:rsid w:val="00C775A6"/>
    <w:rsid w:val="00C776FD"/>
    <w:rsid w:val="00C777DA"/>
    <w:rsid w:val="00C777F7"/>
    <w:rsid w:val="00C77858"/>
    <w:rsid w:val="00C778B8"/>
    <w:rsid w:val="00C77908"/>
    <w:rsid w:val="00C7795D"/>
    <w:rsid w:val="00C77A28"/>
    <w:rsid w:val="00C77A70"/>
    <w:rsid w:val="00C77A91"/>
    <w:rsid w:val="00C77B42"/>
    <w:rsid w:val="00C77B66"/>
    <w:rsid w:val="00C77BDB"/>
    <w:rsid w:val="00C77C04"/>
    <w:rsid w:val="00C77CDD"/>
    <w:rsid w:val="00C77CE2"/>
    <w:rsid w:val="00C77DF6"/>
    <w:rsid w:val="00C77EEC"/>
    <w:rsid w:val="00C77F1F"/>
    <w:rsid w:val="00C77F91"/>
    <w:rsid w:val="00C8002A"/>
    <w:rsid w:val="00C80079"/>
    <w:rsid w:val="00C80138"/>
    <w:rsid w:val="00C801AC"/>
    <w:rsid w:val="00C801BC"/>
    <w:rsid w:val="00C801D0"/>
    <w:rsid w:val="00C8026A"/>
    <w:rsid w:val="00C803DE"/>
    <w:rsid w:val="00C8046B"/>
    <w:rsid w:val="00C80554"/>
    <w:rsid w:val="00C805A9"/>
    <w:rsid w:val="00C805FF"/>
    <w:rsid w:val="00C80749"/>
    <w:rsid w:val="00C8074A"/>
    <w:rsid w:val="00C80776"/>
    <w:rsid w:val="00C8078A"/>
    <w:rsid w:val="00C807A1"/>
    <w:rsid w:val="00C80822"/>
    <w:rsid w:val="00C80BB3"/>
    <w:rsid w:val="00C80BE2"/>
    <w:rsid w:val="00C80BED"/>
    <w:rsid w:val="00C80C1F"/>
    <w:rsid w:val="00C80C5E"/>
    <w:rsid w:val="00C80C92"/>
    <w:rsid w:val="00C80D44"/>
    <w:rsid w:val="00C80E58"/>
    <w:rsid w:val="00C80F22"/>
    <w:rsid w:val="00C80F3D"/>
    <w:rsid w:val="00C80FF5"/>
    <w:rsid w:val="00C81070"/>
    <w:rsid w:val="00C8111A"/>
    <w:rsid w:val="00C811C7"/>
    <w:rsid w:val="00C811F1"/>
    <w:rsid w:val="00C8135C"/>
    <w:rsid w:val="00C81409"/>
    <w:rsid w:val="00C814EB"/>
    <w:rsid w:val="00C8158F"/>
    <w:rsid w:val="00C81594"/>
    <w:rsid w:val="00C815F3"/>
    <w:rsid w:val="00C81627"/>
    <w:rsid w:val="00C81688"/>
    <w:rsid w:val="00C81742"/>
    <w:rsid w:val="00C8178A"/>
    <w:rsid w:val="00C817A9"/>
    <w:rsid w:val="00C818B1"/>
    <w:rsid w:val="00C8191A"/>
    <w:rsid w:val="00C81966"/>
    <w:rsid w:val="00C81A50"/>
    <w:rsid w:val="00C81A85"/>
    <w:rsid w:val="00C81A95"/>
    <w:rsid w:val="00C81B2F"/>
    <w:rsid w:val="00C81D30"/>
    <w:rsid w:val="00C81DAC"/>
    <w:rsid w:val="00C81E36"/>
    <w:rsid w:val="00C81E5F"/>
    <w:rsid w:val="00C81F61"/>
    <w:rsid w:val="00C8208B"/>
    <w:rsid w:val="00C821B3"/>
    <w:rsid w:val="00C821BE"/>
    <w:rsid w:val="00C82233"/>
    <w:rsid w:val="00C8227F"/>
    <w:rsid w:val="00C8235D"/>
    <w:rsid w:val="00C8237E"/>
    <w:rsid w:val="00C82386"/>
    <w:rsid w:val="00C823EB"/>
    <w:rsid w:val="00C824EA"/>
    <w:rsid w:val="00C825F0"/>
    <w:rsid w:val="00C826B0"/>
    <w:rsid w:val="00C82708"/>
    <w:rsid w:val="00C82716"/>
    <w:rsid w:val="00C82717"/>
    <w:rsid w:val="00C82779"/>
    <w:rsid w:val="00C8277C"/>
    <w:rsid w:val="00C8296C"/>
    <w:rsid w:val="00C829BF"/>
    <w:rsid w:val="00C829F1"/>
    <w:rsid w:val="00C82A4C"/>
    <w:rsid w:val="00C82A79"/>
    <w:rsid w:val="00C82A7F"/>
    <w:rsid w:val="00C82AA3"/>
    <w:rsid w:val="00C82AA9"/>
    <w:rsid w:val="00C82ABE"/>
    <w:rsid w:val="00C82ADD"/>
    <w:rsid w:val="00C82B2A"/>
    <w:rsid w:val="00C82C42"/>
    <w:rsid w:val="00C82D1C"/>
    <w:rsid w:val="00C82D4D"/>
    <w:rsid w:val="00C82D56"/>
    <w:rsid w:val="00C82DD1"/>
    <w:rsid w:val="00C82DEC"/>
    <w:rsid w:val="00C82E8B"/>
    <w:rsid w:val="00C82ECE"/>
    <w:rsid w:val="00C82ED3"/>
    <w:rsid w:val="00C82EDE"/>
    <w:rsid w:val="00C82F16"/>
    <w:rsid w:val="00C82FAE"/>
    <w:rsid w:val="00C8302B"/>
    <w:rsid w:val="00C830C8"/>
    <w:rsid w:val="00C830CF"/>
    <w:rsid w:val="00C8315F"/>
    <w:rsid w:val="00C83163"/>
    <w:rsid w:val="00C8316D"/>
    <w:rsid w:val="00C8319D"/>
    <w:rsid w:val="00C831A0"/>
    <w:rsid w:val="00C832D0"/>
    <w:rsid w:val="00C83333"/>
    <w:rsid w:val="00C8333C"/>
    <w:rsid w:val="00C83379"/>
    <w:rsid w:val="00C83452"/>
    <w:rsid w:val="00C83564"/>
    <w:rsid w:val="00C83570"/>
    <w:rsid w:val="00C835CF"/>
    <w:rsid w:val="00C83778"/>
    <w:rsid w:val="00C8377A"/>
    <w:rsid w:val="00C837D8"/>
    <w:rsid w:val="00C837F2"/>
    <w:rsid w:val="00C838C1"/>
    <w:rsid w:val="00C838C4"/>
    <w:rsid w:val="00C83905"/>
    <w:rsid w:val="00C83924"/>
    <w:rsid w:val="00C839BE"/>
    <w:rsid w:val="00C839E2"/>
    <w:rsid w:val="00C83A47"/>
    <w:rsid w:val="00C83A8F"/>
    <w:rsid w:val="00C83AFD"/>
    <w:rsid w:val="00C83C17"/>
    <w:rsid w:val="00C83CB5"/>
    <w:rsid w:val="00C83D2B"/>
    <w:rsid w:val="00C83D86"/>
    <w:rsid w:val="00C83E9B"/>
    <w:rsid w:val="00C83EAF"/>
    <w:rsid w:val="00C83ECD"/>
    <w:rsid w:val="00C83EDE"/>
    <w:rsid w:val="00C8400D"/>
    <w:rsid w:val="00C84116"/>
    <w:rsid w:val="00C84177"/>
    <w:rsid w:val="00C841E0"/>
    <w:rsid w:val="00C84250"/>
    <w:rsid w:val="00C84280"/>
    <w:rsid w:val="00C84296"/>
    <w:rsid w:val="00C842C2"/>
    <w:rsid w:val="00C8437A"/>
    <w:rsid w:val="00C84478"/>
    <w:rsid w:val="00C845A0"/>
    <w:rsid w:val="00C845D1"/>
    <w:rsid w:val="00C84628"/>
    <w:rsid w:val="00C846D4"/>
    <w:rsid w:val="00C84766"/>
    <w:rsid w:val="00C8476E"/>
    <w:rsid w:val="00C8478E"/>
    <w:rsid w:val="00C847F1"/>
    <w:rsid w:val="00C8486A"/>
    <w:rsid w:val="00C8487D"/>
    <w:rsid w:val="00C848DA"/>
    <w:rsid w:val="00C848DE"/>
    <w:rsid w:val="00C849A6"/>
    <w:rsid w:val="00C849BD"/>
    <w:rsid w:val="00C849FE"/>
    <w:rsid w:val="00C84A81"/>
    <w:rsid w:val="00C84A9C"/>
    <w:rsid w:val="00C84B4A"/>
    <w:rsid w:val="00C84BE9"/>
    <w:rsid w:val="00C84C0F"/>
    <w:rsid w:val="00C84C61"/>
    <w:rsid w:val="00C84CB7"/>
    <w:rsid w:val="00C84CC5"/>
    <w:rsid w:val="00C84CEF"/>
    <w:rsid w:val="00C84D7B"/>
    <w:rsid w:val="00C84DC9"/>
    <w:rsid w:val="00C84DDB"/>
    <w:rsid w:val="00C84E2E"/>
    <w:rsid w:val="00C84EA8"/>
    <w:rsid w:val="00C84EFE"/>
    <w:rsid w:val="00C84FE2"/>
    <w:rsid w:val="00C850A6"/>
    <w:rsid w:val="00C8519D"/>
    <w:rsid w:val="00C85209"/>
    <w:rsid w:val="00C85260"/>
    <w:rsid w:val="00C8527F"/>
    <w:rsid w:val="00C85283"/>
    <w:rsid w:val="00C852A1"/>
    <w:rsid w:val="00C852FF"/>
    <w:rsid w:val="00C85314"/>
    <w:rsid w:val="00C85432"/>
    <w:rsid w:val="00C854E1"/>
    <w:rsid w:val="00C854F8"/>
    <w:rsid w:val="00C85503"/>
    <w:rsid w:val="00C85585"/>
    <w:rsid w:val="00C856F7"/>
    <w:rsid w:val="00C8570A"/>
    <w:rsid w:val="00C85741"/>
    <w:rsid w:val="00C85865"/>
    <w:rsid w:val="00C858BC"/>
    <w:rsid w:val="00C858DF"/>
    <w:rsid w:val="00C858E7"/>
    <w:rsid w:val="00C858F8"/>
    <w:rsid w:val="00C85978"/>
    <w:rsid w:val="00C859C7"/>
    <w:rsid w:val="00C85A10"/>
    <w:rsid w:val="00C85BAA"/>
    <w:rsid w:val="00C85C31"/>
    <w:rsid w:val="00C85D45"/>
    <w:rsid w:val="00C85DC7"/>
    <w:rsid w:val="00C85E91"/>
    <w:rsid w:val="00C85F2D"/>
    <w:rsid w:val="00C85F4F"/>
    <w:rsid w:val="00C85F85"/>
    <w:rsid w:val="00C85F9F"/>
    <w:rsid w:val="00C86024"/>
    <w:rsid w:val="00C8604D"/>
    <w:rsid w:val="00C86165"/>
    <w:rsid w:val="00C86221"/>
    <w:rsid w:val="00C86291"/>
    <w:rsid w:val="00C862E3"/>
    <w:rsid w:val="00C86312"/>
    <w:rsid w:val="00C863CD"/>
    <w:rsid w:val="00C86408"/>
    <w:rsid w:val="00C8647A"/>
    <w:rsid w:val="00C86484"/>
    <w:rsid w:val="00C864DD"/>
    <w:rsid w:val="00C86566"/>
    <w:rsid w:val="00C86616"/>
    <w:rsid w:val="00C86632"/>
    <w:rsid w:val="00C866BE"/>
    <w:rsid w:val="00C86739"/>
    <w:rsid w:val="00C867B6"/>
    <w:rsid w:val="00C867C2"/>
    <w:rsid w:val="00C867CA"/>
    <w:rsid w:val="00C86804"/>
    <w:rsid w:val="00C86807"/>
    <w:rsid w:val="00C86900"/>
    <w:rsid w:val="00C86916"/>
    <w:rsid w:val="00C8698C"/>
    <w:rsid w:val="00C8699C"/>
    <w:rsid w:val="00C86A96"/>
    <w:rsid w:val="00C86AF0"/>
    <w:rsid w:val="00C86B30"/>
    <w:rsid w:val="00C86B9D"/>
    <w:rsid w:val="00C86BD8"/>
    <w:rsid w:val="00C86C00"/>
    <w:rsid w:val="00C86C36"/>
    <w:rsid w:val="00C86CDE"/>
    <w:rsid w:val="00C86CE7"/>
    <w:rsid w:val="00C86D29"/>
    <w:rsid w:val="00C86D84"/>
    <w:rsid w:val="00C86DE5"/>
    <w:rsid w:val="00C86EED"/>
    <w:rsid w:val="00C87112"/>
    <w:rsid w:val="00C87123"/>
    <w:rsid w:val="00C87245"/>
    <w:rsid w:val="00C87256"/>
    <w:rsid w:val="00C872BD"/>
    <w:rsid w:val="00C87311"/>
    <w:rsid w:val="00C873C6"/>
    <w:rsid w:val="00C874B4"/>
    <w:rsid w:val="00C874BC"/>
    <w:rsid w:val="00C874BD"/>
    <w:rsid w:val="00C874E6"/>
    <w:rsid w:val="00C8767C"/>
    <w:rsid w:val="00C87697"/>
    <w:rsid w:val="00C87719"/>
    <w:rsid w:val="00C877AC"/>
    <w:rsid w:val="00C87886"/>
    <w:rsid w:val="00C878C9"/>
    <w:rsid w:val="00C878D5"/>
    <w:rsid w:val="00C8798A"/>
    <w:rsid w:val="00C879CA"/>
    <w:rsid w:val="00C87A6E"/>
    <w:rsid w:val="00C87C44"/>
    <w:rsid w:val="00C87C4D"/>
    <w:rsid w:val="00C87CDE"/>
    <w:rsid w:val="00C87D39"/>
    <w:rsid w:val="00C87E17"/>
    <w:rsid w:val="00C87EAA"/>
    <w:rsid w:val="00C87EFF"/>
    <w:rsid w:val="00C87F2A"/>
    <w:rsid w:val="00C9005D"/>
    <w:rsid w:val="00C9007E"/>
    <w:rsid w:val="00C900F1"/>
    <w:rsid w:val="00C9012E"/>
    <w:rsid w:val="00C90204"/>
    <w:rsid w:val="00C90296"/>
    <w:rsid w:val="00C902E1"/>
    <w:rsid w:val="00C90356"/>
    <w:rsid w:val="00C90389"/>
    <w:rsid w:val="00C90395"/>
    <w:rsid w:val="00C9040D"/>
    <w:rsid w:val="00C90444"/>
    <w:rsid w:val="00C904FA"/>
    <w:rsid w:val="00C90508"/>
    <w:rsid w:val="00C9063E"/>
    <w:rsid w:val="00C9070A"/>
    <w:rsid w:val="00C9075C"/>
    <w:rsid w:val="00C9076D"/>
    <w:rsid w:val="00C907BC"/>
    <w:rsid w:val="00C907DA"/>
    <w:rsid w:val="00C90829"/>
    <w:rsid w:val="00C90853"/>
    <w:rsid w:val="00C908AB"/>
    <w:rsid w:val="00C908B6"/>
    <w:rsid w:val="00C9093F"/>
    <w:rsid w:val="00C9096F"/>
    <w:rsid w:val="00C90AB0"/>
    <w:rsid w:val="00C90AC5"/>
    <w:rsid w:val="00C90B6A"/>
    <w:rsid w:val="00C90BB0"/>
    <w:rsid w:val="00C90BEE"/>
    <w:rsid w:val="00C90CAB"/>
    <w:rsid w:val="00C90D7E"/>
    <w:rsid w:val="00C90DD3"/>
    <w:rsid w:val="00C90DDE"/>
    <w:rsid w:val="00C90DE1"/>
    <w:rsid w:val="00C90E39"/>
    <w:rsid w:val="00C90E43"/>
    <w:rsid w:val="00C90E5C"/>
    <w:rsid w:val="00C90F3D"/>
    <w:rsid w:val="00C90F6C"/>
    <w:rsid w:val="00C90FDD"/>
    <w:rsid w:val="00C910AA"/>
    <w:rsid w:val="00C910AB"/>
    <w:rsid w:val="00C9119B"/>
    <w:rsid w:val="00C912FF"/>
    <w:rsid w:val="00C91414"/>
    <w:rsid w:val="00C91571"/>
    <w:rsid w:val="00C915B7"/>
    <w:rsid w:val="00C916C4"/>
    <w:rsid w:val="00C9178B"/>
    <w:rsid w:val="00C917D4"/>
    <w:rsid w:val="00C91828"/>
    <w:rsid w:val="00C91871"/>
    <w:rsid w:val="00C91912"/>
    <w:rsid w:val="00C91930"/>
    <w:rsid w:val="00C919FA"/>
    <w:rsid w:val="00C91A1E"/>
    <w:rsid w:val="00C91A50"/>
    <w:rsid w:val="00C91ACB"/>
    <w:rsid w:val="00C91B81"/>
    <w:rsid w:val="00C91BC5"/>
    <w:rsid w:val="00C91BF4"/>
    <w:rsid w:val="00C91C88"/>
    <w:rsid w:val="00C91CF7"/>
    <w:rsid w:val="00C91D8B"/>
    <w:rsid w:val="00C91E79"/>
    <w:rsid w:val="00C91FA0"/>
    <w:rsid w:val="00C9203F"/>
    <w:rsid w:val="00C92091"/>
    <w:rsid w:val="00C920E6"/>
    <w:rsid w:val="00C9210A"/>
    <w:rsid w:val="00C92136"/>
    <w:rsid w:val="00C92150"/>
    <w:rsid w:val="00C922B6"/>
    <w:rsid w:val="00C92506"/>
    <w:rsid w:val="00C9261C"/>
    <w:rsid w:val="00C92690"/>
    <w:rsid w:val="00C92717"/>
    <w:rsid w:val="00C92725"/>
    <w:rsid w:val="00C92803"/>
    <w:rsid w:val="00C9280F"/>
    <w:rsid w:val="00C9286E"/>
    <w:rsid w:val="00C928A9"/>
    <w:rsid w:val="00C928CF"/>
    <w:rsid w:val="00C9290C"/>
    <w:rsid w:val="00C92B3E"/>
    <w:rsid w:val="00C92BEC"/>
    <w:rsid w:val="00C92C3D"/>
    <w:rsid w:val="00C92C9D"/>
    <w:rsid w:val="00C92CA5"/>
    <w:rsid w:val="00C92F5B"/>
    <w:rsid w:val="00C930BA"/>
    <w:rsid w:val="00C930CB"/>
    <w:rsid w:val="00C932F7"/>
    <w:rsid w:val="00C93386"/>
    <w:rsid w:val="00C9339A"/>
    <w:rsid w:val="00C933A2"/>
    <w:rsid w:val="00C93411"/>
    <w:rsid w:val="00C9344C"/>
    <w:rsid w:val="00C93461"/>
    <w:rsid w:val="00C934D8"/>
    <w:rsid w:val="00C9351C"/>
    <w:rsid w:val="00C93579"/>
    <w:rsid w:val="00C935B6"/>
    <w:rsid w:val="00C935F6"/>
    <w:rsid w:val="00C93607"/>
    <w:rsid w:val="00C9365E"/>
    <w:rsid w:val="00C936D3"/>
    <w:rsid w:val="00C93714"/>
    <w:rsid w:val="00C9377F"/>
    <w:rsid w:val="00C937F0"/>
    <w:rsid w:val="00C9381D"/>
    <w:rsid w:val="00C9386D"/>
    <w:rsid w:val="00C938DB"/>
    <w:rsid w:val="00C9396F"/>
    <w:rsid w:val="00C93A47"/>
    <w:rsid w:val="00C93ABE"/>
    <w:rsid w:val="00C93ACA"/>
    <w:rsid w:val="00C93ACC"/>
    <w:rsid w:val="00C93B62"/>
    <w:rsid w:val="00C93B68"/>
    <w:rsid w:val="00C93B7E"/>
    <w:rsid w:val="00C93D37"/>
    <w:rsid w:val="00C93E43"/>
    <w:rsid w:val="00C93F73"/>
    <w:rsid w:val="00C94084"/>
    <w:rsid w:val="00C940C1"/>
    <w:rsid w:val="00C940E4"/>
    <w:rsid w:val="00C9411A"/>
    <w:rsid w:val="00C94188"/>
    <w:rsid w:val="00C9423E"/>
    <w:rsid w:val="00C9425A"/>
    <w:rsid w:val="00C9427A"/>
    <w:rsid w:val="00C94288"/>
    <w:rsid w:val="00C94397"/>
    <w:rsid w:val="00C943CE"/>
    <w:rsid w:val="00C943FF"/>
    <w:rsid w:val="00C9442B"/>
    <w:rsid w:val="00C94490"/>
    <w:rsid w:val="00C944B8"/>
    <w:rsid w:val="00C9459B"/>
    <w:rsid w:val="00C945A1"/>
    <w:rsid w:val="00C945FB"/>
    <w:rsid w:val="00C9460C"/>
    <w:rsid w:val="00C94723"/>
    <w:rsid w:val="00C94724"/>
    <w:rsid w:val="00C947E3"/>
    <w:rsid w:val="00C94805"/>
    <w:rsid w:val="00C9482A"/>
    <w:rsid w:val="00C94861"/>
    <w:rsid w:val="00C948A1"/>
    <w:rsid w:val="00C948AD"/>
    <w:rsid w:val="00C94940"/>
    <w:rsid w:val="00C94954"/>
    <w:rsid w:val="00C94AE3"/>
    <w:rsid w:val="00C94AF0"/>
    <w:rsid w:val="00C94C1D"/>
    <w:rsid w:val="00C94CA4"/>
    <w:rsid w:val="00C94D23"/>
    <w:rsid w:val="00C94DA8"/>
    <w:rsid w:val="00C94DED"/>
    <w:rsid w:val="00C94DF4"/>
    <w:rsid w:val="00C94DFA"/>
    <w:rsid w:val="00C94E2B"/>
    <w:rsid w:val="00C94E69"/>
    <w:rsid w:val="00C94F2F"/>
    <w:rsid w:val="00C94F86"/>
    <w:rsid w:val="00C9507C"/>
    <w:rsid w:val="00C95111"/>
    <w:rsid w:val="00C9517E"/>
    <w:rsid w:val="00C9529C"/>
    <w:rsid w:val="00C952AF"/>
    <w:rsid w:val="00C9534D"/>
    <w:rsid w:val="00C9534E"/>
    <w:rsid w:val="00C95398"/>
    <w:rsid w:val="00C95610"/>
    <w:rsid w:val="00C95617"/>
    <w:rsid w:val="00C9579A"/>
    <w:rsid w:val="00C95B3C"/>
    <w:rsid w:val="00C95B76"/>
    <w:rsid w:val="00C95BBB"/>
    <w:rsid w:val="00C95C08"/>
    <w:rsid w:val="00C95CD1"/>
    <w:rsid w:val="00C95CFB"/>
    <w:rsid w:val="00C95D33"/>
    <w:rsid w:val="00C95DE0"/>
    <w:rsid w:val="00C95E34"/>
    <w:rsid w:val="00C95ED3"/>
    <w:rsid w:val="00C960A7"/>
    <w:rsid w:val="00C960D8"/>
    <w:rsid w:val="00C9614D"/>
    <w:rsid w:val="00C9629B"/>
    <w:rsid w:val="00C9629E"/>
    <w:rsid w:val="00C963E3"/>
    <w:rsid w:val="00C96423"/>
    <w:rsid w:val="00C96463"/>
    <w:rsid w:val="00C964C0"/>
    <w:rsid w:val="00C964E0"/>
    <w:rsid w:val="00C964ED"/>
    <w:rsid w:val="00C9659A"/>
    <w:rsid w:val="00C965AB"/>
    <w:rsid w:val="00C96634"/>
    <w:rsid w:val="00C966BE"/>
    <w:rsid w:val="00C96719"/>
    <w:rsid w:val="00C9673F"/>
    <w:rsid w:val="00C967A9"/>
    <w:rsid w:val="00C968ED"/>
    <w:rsid w:val="00C968EF"/>
    <w:rsid w:val="00C969E8"/>
    <w:rsid w:val="00C96A23"/>
    <w:rsid w:val="00C96A7B"/>
    <w:rsid w:val="00C96B1E"/>
    <w:rsid w:val="00C96B4B"/>
    <w:rsid w:val="00C96BBE"/>
    <w:rsid w:val="00C96C64"/>
    <w:rsid w:val="00C96C90"/>
    <w:rsid w:val="00C96D28"/>
    <w:rsid w:val="00C96D88"/>
    <w:rsid w:val="00C96EC7"/>
    <w:rsid w:val="00C96EEC"/>
    <w:rsid w:val="00C96FDF"/>
    <w:rsid w:val="00C9702D"/>
    <w:rsid w:val="00C970B8"/>
    <w:rsid w:val="00C970CC"/>
    <w:rsid w:val="00C9710E"/>
    <w:rsid w:val="00C97128"/>
    <w:rsid w:val="00C971E2"/>
    <w:rsid w:val="00C97294"/>
    <w:rsid w:val="00C972C3"/>
    <w:rsid w:val="00C97320"/>
    <w:rsid w:val="00C97335"/>
    <w:rsid w:val="00C9743C"/>
    <w:rsid w:val="00C976C2"/>
    <w:rsid w:val="00C97754"/>
    <w:rsid w:val="00C977CC"/>
    <w:rsid w:val="00C977E5"/>
    <w:rsid w:val="00C9782C"/>
    <w:rsid w:val="00C979F4"/>
    <w:rsid w:val="00C97A41"/>
    <w:rsid w:val="00C97BD4"/>
    <w:rsid w:val="00C97BFA"/>
    <w:rsid w:val="00C97C13"/>
    <w:rsid w:val="00C97CF6"/>
    <w:rsid w:val="00C97D1A"/>
    <w:rsid w:val="00C97DAD"/>
    <w:rsid w:val="00C97EB6"/>
    <w:rsid w:val="00C97F48"/>
    <w:rsid w:val="00C97F6E"/>
    <w:rsid w:val="00C97F84"/>
    <w:rsid w:val="00CA00E2"/>
    <w:rsid w:val="00CA00F7"/>
    <w:rsid w:val="00CA0116"/>
    <w:rsid w:val="00CA011A"/>
    <w:rsid w:val="00CA01D4"/>
    <w:rsid w:val="00CA0246"/>
    <w:rsid w:val="00CA02E5"/>
    <w:rsid w:val="00CA0397"/>
    <w:rsid w:val="00CA03EF"/>
    <w:rsid w:val="00CA044F"/>
    <w:rsid w:val="00CA0513"/>
    <w:rsid w:val="00CA05C7"/>
    <w:rsid w:val="00CA0636"/>
    <w:rsid w:val="00CA064D"/>
    <w:rsid w:val="00CA0696"/>
    <w:rsid w:val="00CA06F3"/>
    <w:rsid w:val="00CA074F"/>
    <w:rsid w:val="00CA0764"/>
    <w:rsid w:val="00CA07B5"/>
    <w:rsid w:val="00CA07D6"/>
    <w:rsid w:val="00CA08C9"/>
    <w:rsid w:val="00CA08D5"/>
    <w:rsid w:val="00CA0970"/>
    <w:rsid w:val="00CA09EA"/>
    <w:rsid w:val="00CA09F5"/>
    <w:rsid w:val="00CA0A62"/>
    <w:rsid w:val="00CA0AC5"/>
    <w:rsid w:val="00CA0B58"/>
    <w:rsid w:val="00CA0E95"/>
    <w:rsid w:val="00CA0F75"/>
    <w:rsid w:val="00CA102C"/>
    <w:rsid w:val="00CA10AE"/>
    <w:rsid w:val="00CA122E"/>
    <w:rsid w:val="00CA1236"/>
    <w:rsid w:val="00CA127A"/>
    <w:rsid w:val="00CA12DA"/>
    <w:rsid w:val="00CA13BB"/>
    <w:rsid w:val="00CA143C"/>
    <w:rsid w:val="00CA14A9"/>
    <w:rsid w:val="00CA14EB"/>
    <w:rsid w:val="00CA14F4"/>
    <w:rsid w:val="00CA1585"/>
    <w:rsid w:val="00CA15D4"/>
    <w:rsid w:val="00CA1657"/>
    <w:rsid w:val="00CA16B6"/>
    <w:rsid w:val="00CA1747"/>
    <w:rsid w:val="00CA1792"/>
    <w:rsid w:val="00CA180E"/>
    <w:rsid w:val="00CA1855"/>
    <w:rsid w:val="00CA1929"/>
    <w:rsid w:val="00CA1941"/>
    <w:rsid w:val="00CA1961"/>
    <w:rsid w:val="00CA19A3"/>
    <w:rsid w:val="00CA19EA"/>
    <w:rsid w:val="00CA1A03"/>
    <w:rsid w:val="00CA1AC8"/>
    <w:rsid w:val="00CA1C75"/>
    <w:rsid w:val="00CA1E2A"/>
    <w:rsid w:val="00CA1EFA"/>
    <w:rsid w:val="00CA1F7A"/>
    <w:rsid w:val="00CA20C2"/>
    <w:rsid w:val="00CA20E2"/>
    <w:rsid w:val="00CA218B"/>
    <w:rsid w:val="00CA224B"/>
    <w:rsid w:val="00CA2261"/>
    <w:rsid w:val="00CA227C"/>
    <w:rsid w:val="00CA22B8"/>
    <w:rsid w:val="00CA22EF"/>
    <w:rsid w:val="00CA2314"/>
    <w:rsid w:val="00CA2366"/>
    <w:rsid w:val="00CA265A"/>
    <w:rsid w:val="00CA2677"/>
    <w:rsid w:val="00CA269A"/>
    <w:rsid w:val="00CA26C3"/>
    <w:rsid w:val="00CA2755"/>
    <w:rsid w:val="00CA278C"/>
    <w:rsid w:val="00CA27E9"/>
    <w:rsid w:val="00CA2870"/>
    <w:rsid w:val="00CA28B6"/>
    <w:rsid w:val="00CA29D5"/>
    <w:rsid w:val="00CA29ED"/>
    <w:rsid w:val="00CA2B74"/>
    <w:rsid w:val="00CA2B81"/>
    <w:rsid w:val="00CA2C25"/>
    <w:rsid w:val="00CA2D07"/>
    <w:rsid w:val="00CA2DA0"/>
    <w:rsid w:val="00CA2E56"/>
    <w:rsid w:val="00CA2EC5"/>
    <w:rsid w:val="00CA305E"/>
    <w:rsid w:val="00CA30F0"/>
    <w:rsid w:val="00CA30F9"/>
    <w:rsid w:val="00CA30FA"/>
    <w:rsid w:val="00CA31F3"/>
    <w:rsid w:val="00CA3212"/>
    <w:rsid w:val="00CA332E"/>
    <w:rsid w:val="00CA33EE"/>
    <w:rsid w:val="00CA353F"/>
    <w:rsid w:val="00CA362F"/>
    <w:rsid w:val="00CA3676"/>
    <w:rsid w:val="00CA3691"/>
    <w:rsid w:val="00CA36B7"/>
    <w:rsid w:val="00CA36D0"/>
    <w:rsid w:val="00CA3701"/>
    <w:rsid w:val="00CA37DB"/>
    <w:rsid w:val="00CA37E9"/>
    <w:rsid w:val="00CA397A"/>
    <w:rsid w:val="00CA3A11"/>
    <w:rsid w:val="00CA3A40"/>
    <w:rsid w:val="00CA3AD3"/>
    <w:rsid w:val="00CA3B9A"/>
    <w:rsid w:val="00CA3ECD"/>
    <w:rsid w:val="00CA3F32"/>
    <w:rsid w:val="00CA3F87"/>
    <w:rsid w:val="00CA3FB4"/>
    <w:rsid w:val="00CA4146"/>
    <w:rsid w:val="00CA41D9"/>
    <w:rsid w:val="00CA4283"/>
    <w:rsid w:val="00CA43A6"/>
    <w:rsid w:val="00CA4443"/>
    <w:rsid w:val="00CA444C"/>
    <w:rsid w:val="00CA4567"/>
    <w:rsid w:val="00CA457A"/>
    <w:rsid w:val="00CA45B1"/>
    <w:rsid w:val="00CA45D8"/>
    <w:rsid w:val="00CA4605"/>
    <w:rsid w:val="00CA4663"/>
    <w:rsid w:val="00CA4688"/>
    <w:rsid w:val="00CA46C5"/>
    <w:rsid w:val="00CA46D6"/>
    <w:rsid w:val="00CA4714"/>
    <w:rsid w:val="00CA4743"/>
    <w:rsid w:val="00CA474B"/>
    <w:rsid w:val="00CA478A"/>
    <w:rsid w:val="00CA47A8"/>
    <w:rsid w:val="00CA498F"/>
    <w:rsid w:val="00CA49AC"/>
    <w:rsid w:val="00CA4A20"/>
    <w:rsid w:val="00CA4A9F"/>
    <w:rsid w:val="00CA4BC0"/>
    <w:rsid w:val="00CA4BCA"/>
    <w:rsid w:val="00CA4BDA"/>
    <w:rsid w:val="00CA4D17"/>
    <w:rsid w:val="00CA4D50"/>
    <w:rsid w:val="00CA4D6D"/>
    <w:rsid w:val="00CA4E16"/>
    <w:rsid w:val="00CA4E2F"/>
    <w:rsid w:val="00CA4E39"/>
    <w:rsid w:val="00CA4EFD"/>
    <w:rsid w:val="00CA4F32"/>
    <w:rsid w:val="00CA4FFC"/>
    <w:rsid w:val="00CA5044"/>
    <w:rsid w:val="00CA50B7"/>
    <w:rsid w:val="00CA5204"/>
    <w:rsid w:val="00CA5232"/>
    <w:rsid w:val="00CA5239"/>
    <w:rsid w:val="00CA527E"/>
    <w:rsid w:val="00CA53D0"/>
    <w:rsid w:val="00CA53D8"/>
    <w:rsid w:val="00CA5427"/>
    <w:rsid w:val="00CA54F2"/>
    <w:rsid w:val="00CA55E8"/>
    <w:rsid w:val="00CA5661"/>
    <w:rsid w:val="00CA5690"/>
    <w:rsid w:val="00CA5723"/>
    <w:rsid w:val="00CA5756"/>
    <w:rsid w:val="00CA577F"/>
    <w:rsid w:val="00CA578C"/>
    <w:rsid w:val="00CA57A0"/>
    <w:rsid w:val="00CA57EB"/>
    <w:rsid w:val="00CA5892"/>
    <w:rsid w:val="00CA5968"/>
    <w:rsid w:val="00CA5976"/>
    <w:rsid w:val="00CA5996"/>
    <w:rsid w:val="00CA5B66"/>
    <w:rsid w:val="00CA5B96"/>
    <w:rsid w:val="00CA5BB9"/>
    <w:rsid w:val="00CA5C38"/>
    <w:rsid w:val="00CA5C72"/>
    <w:rsid w:val="00CA5CA8"/>
    <w:rsid w:val="00CA5CC9"/>
    <w:rsid w:val="00CA5CF4"/>
    <w:rsid w:val="00CA5E0E"/>
    <w:rsid w:val="00CA5E88"/>
    <w:rsid w:val="00CA5EF2"/>
    <w:rsid w:val="00CA5F37"/>
    <w:rsid w:val="00CA5F95"/>
    <w:rsid w:val="00CA5FB4"/>
    <w:rsid w:val="00CA60F6"/>
    <w:rsid w:val="00CA615B"/>
    <w:rsid w:val="00CA622D"/>
    <w:rsid w:val="00CA62AD"/>
    <w:rsid w:val="00CA62DB"/>
    <w:rsid w:val="00CA631F"/>
    <w:rsid w:val="00CA634E"/>
    <w:rsid w:val="00CA6351"/>
    <w:rsid w:val="00CA641D"/>
    <w:rsid w:val="00CA6423"/>
    <w:rsid w:val="00CA6465"/>
    <w:rsid w:val="00CA6575"/>
    <w:rsid w:val="00CA66F5"/>
    <w:rsid w:val="00CA6770"/>
    <w:rsid w:val="00CA6780"/>
    <w:rsid w:val="00CA679B"/>
    <w:rsid w:val="00CA679C"/>
    <w:rsid w:val="00CA67C5"/>
    <w:rsid w:val="00CA6823"/>
    <w:rsid w:val="00CA6890"/>
    <w:rsid w:val="00CA68B6"/>
    <w:rsid w:val="00CA6AB0"/>
    <w:rsid w:val="00CA6CEA"/>
    <w:rsid w:val="00CA6D41"/>
    <w:rsid w:val="00CA6DC3"/>
    <w:rsid w:val="00CA6DD0"/>
    <w:rsid w:val="00CA6EE6"/>
    <w:rsid w:val="00CA6F45"/>
    <w:rsid w:val="00CA70CE"/>
    <w:rsid w:val="00CA710D"/>
    <w:rsid w:val="00CA72AB"/>
    <w:rsid w:val="00CA7300"/>
    <w:rsid w:val="00CA7326"/>
    <w:rsid w:val="00CA73AF"/>
    <w:rsid w:val="00CA7466"/>
    <w:rsid w:val="00CA755D"/>
    <w:rsid w:val="00CA761D"/>
    <w:rsid w:val="00CA7662"/>
    <w:rsid w:val="00CA7720"/>
    <w:rsid w:val="00CA7742"/>
    <w:rsid w:val="00CA77E8"/>
    <w:rsid w:val="00CA7865"/>
    <w:rsid w:val="00CA78B8"/>
    <w:rsid w:val="00CA78CA"/>
    <w:rsid w:val="00CA796A"/>
    <w:rsid w:val="00CA79E7"/>
    <w:rsid w:val="00CA7A15"/>
    <w:rsid w:val="00CA7B0A"/>
    <w:rsid w:val="00CA7B19"/>
    <w:rsid w:val="00CA7B35"/>
    <w:rsid w:val="00CA7C21"/>
    <w:rsid w:val="00CA7C35"/>
    <w:rsid w:val="00CA7CE3"/>
    <w:rsid w:val="00CA7D10"/>
    <w:rsid w:val="00CA7F32"/>
    <w:rsid w:val="00CA7FD6"/>
    <w:rsid w:val="00CB001A"/>
    <w:rsid w:val="00CB0021"/>
    <w:rsid w:val="00CB00B3"/>
    <w:rsid w:val="00CB00ED"/>
    <w:rsid w:val="00CB0137"/>
    <w:rsid w:val="00CB0157"/>
    <w:rsid w:val="00CB0182"/>
    <w:rsid w:val="00CB01DD"/>
    <w:rsid w:val="00CB0229"/>
    <w:rsid w:val="00CB0231"/>
    <w:rsid w:val="00CB0255"/>
    <w:rsid w:val="00CB0283"/>
    <w:rsid w:val="00CB03DF"/>
    <w:rsid w:val="00CB04CC"/>
    <w:rsid w:val="00CB04D1"/>
    <w:rsid w:val="00CB0539"/>
    <w:rsid w:val="00CB053B"/>
    <w:rsid w:val="00CB069A"/>
    <w:rsid w:val="00CB06A0"/>
    <w:rsid w:val="00CB0768"/>
    <w:rsid w:val="00CB0770"/>
    <w:rsid w:val="00CB07D9"/>
    <w:rsid w:val="00CB07EE"/>
    <w:rsid w:val="00CB0A7D"/>
    <w:rsid w:val="00CB0B8E"/>
    <w:rsid w:val="00CB0CAE"/>
    <w:rsid w:val="00CB0DC8"/>
    <w:rsid w:val="00CB0DE3"/>
    <w:rsid w:val="00CB0EC1"/>
    <w:rsid w:val="00CB0F56"/>
    <w:rsid w:val="00CB0FEA"/>
    <w:rsid w:val="00CB10A1"/>
    <w:rsid w:val="00CB1102"/>
    <w:rsid w:val="00CB118F"/>
    <w:rsid w:val="00CB123B"/>
    <w:rsid w:val="00CB126F"/>
    <w:rsid w:val="00CB12E1"/>
    <w:rsid w:val="00CB145D"/>
    <w:rsid w:val="00CB148C"/>
    <w:rsid w:val="00CB14CD"/>
    <w:rsid w:val="00CB14E7"/>
    <w:rsid w:val="00CB1572"/>
    <w:rsid w:val="00CB15EE"/>
    <w:rsid w:val="00CB162C"/>
    <w:rsid w:val="00CB16B0"/>
    <w:rsid w:val="00CB174F"/>
    <w:rsid w:val="00CB182C"/>
    <w:rsid w:val="00CB18B5"/>
    <w:rsid w:val="00CB1AC1"/>
    <w:rsid w:val="00CB1AE5"/>
    <w:rsid w:val="00CB1AE7"/>
    <w:rsid w:val="00CB1AF9"/>
    <w:rsid w:val="00CB1B79"/>
    <w:rsid w:val="00CB1BC8"/>
    <w:rsid w:val="00CB1C45"/>
    <w:rsid w:val="00CB1CCE"/>
    <w:rsid w:val="00CB1D2E"/>
    <w:rsid w:val="00CB1E0E"/>
    <w:rsid w:val="00CB1E21"/>
    <w:rsid w:val="00CB1E6C"/>
    <w:rsid w:val="00CB1EB7"/>
    <w:rsid w:val="00CB1F1F"/>
    <w:rsid w:val="00CB1F54"/>
    <w:rsid w:val="00CB1F77"/>
    <w:rsid w:val="00CB1F9C"/>
    <w:rsid w:val="00CB1FF8"/>
    <w:rsid w:val="00CB20DE"/>
    <w:rsid w:val="00CB2164"/>
    <w:rsid w:val="00CB217B"/>
    <w:rsid w:val="00CB21A0"/>
    <w:rsid w:val="00CB21C6"/>
    <w:rsid w:val="00CB21E9"/>
    <w:rsid w:val="00CB224A"/>
    <w:rsid w:val="00CB2279"/>
    <w:rsid w:val="00CB2285"/>
    <w:rsid w:val="00CB22B7"/>
    <w:rsid w:val="00CB22E6"/>
    <w:rsid w:val="00CB2373"/>
    <w:rsid w:val="00CB23F0"/>
    <w:rsid w:val="00CB248A"/>
    <w:rsid w:val="00CB249C"/>
    <w:rsid w:val="00CB24AF"/>
    <w:rsid w:val="00CB24E7"/>
    <w:rsid w:val="00CB2577"/>
    <w:rsid w:val="00CB2653"/>
    <w:rsid w:val="00CB26F1"/>
    <w:rsid w:val="00CB2703"/>
    <w:rsid w:val="00CB28BD"/>
    <w:rsid w:val="00CB28C9"/>
    <w:rsid w:val="00CB28E9"/>
    <w:rsid w:val="00CB2A6B"/>
    <w:rsid w:val="00CB2B7B"/>
    <w:rsid w:val="00CB2B93"/>
    <w:rsid w:val="00CB2CDE"/>
    <w:rsid w:val="00CB2E6D"/>
    <w:rsid w:val="00CB2EB2"/>
    <w:rsid w:val="00CB3080"/>
    <w:rsid w:val="00CB30A3"/>
    <w:rsid w:val="00CB3144"/>
    <w:rsid w:val="00CB3199"/>
    <w:rsid w:val="00CB3232"/>
    <w:rsid w:val="00CB32BF"/>
    <w:rsid w:val="00CB3351"/>
    <w:rsid w:val="00CB3657"/>
    <w:rsid w:val="00CB3680"/>
    <w:rsid w:val="00CB369D"/>
    <w:rsid w:val="00CB36DA"/>
    <w:rsid w:val="00CB36EC"/>
    <w:rsid w:val="00CB3765"/>
    <w:rsid w:val="00CB3797"/>
    <w:rsid w:val="00CB3822"/>
    <w:rsid w:val="00CB38C3"/>
    <w:rsid w:val="00CB3987"/>
    <w:rsid w:val="00CB39B5"/>
    <w:rsid w:val="00CB3A1D"/>
    <w:rsid w:val="00CB3A83"/>
    <w:rsid w:val="00CB3AD9"/>
    <w:rsid w:val="00CB3AE2"/>
    <w:rsid w:val="00CB3B73"/>
    <w:rsid w:val="00CB3BD2"/>
    <w:rsid w:val="00CB3C5E"/>
    <w:rsid w:val="00CB3C7C"/>
    <w:rsid w:val="00CB3C9A"/>
    <w:rsid w:val="00CB3CE7"/>
    <w:rsid w:val="00CB3D39"/>
    <w:rsid w:val="00CB3D82"/>
    <w:rsid w:val="00CB3EAC"/>
    <w:rsid w:val="00CB3F33"/>
    <w:rsid w:val="00CB3FFB"/>
    <w:rsid w:val="00CB413C"/>
    <w:rsid w:val="00CB4167"/>
    <w:rsid w:val="00CB423A"/>
    <w:rsid w:val="00CB42AF"/>
    <w:rsid w:val="00CB434D"/>
    <w:rsid w:val="00CB443B"/>
    <w:rsid w:val="00CB4455"/>
    <w:rsid w:val="00CB4492"/>
    <w:rsid w:val="00CB458E"/>
    <w:rsid w:val="00CB458F"/>
    <w:rsid w:val="00CB464D"/>
    <w:rsid w:val="00CB46CE"/>
    <w:rsid w:val="00CB4742"/>
    <w:rsid w:val="00CB487E"/>
    <w:rsid w:val="00CB48A5"/>
    <w:rsid w:val="00CB4B09"/>
    <w:rsid w:val="00CB4BB6"/>
    <w:rsid w:val="00CB4BE3"/>
    <w:rsid w:val="00CB4BF0"/>
    <w:rsid w:val="00CB4C33"/>
    <w:rsid w:val="00CB4C75"/>
    <w:rsid w:val="00CB4C8A"/>
    <w:rsid w:val="00CB4D4E"/>
    <w:rsid w:val="00CB4D84"/>
    <w:rsid w:val="00CB4E97"/>
    <w:rsid w:val="00CB4E9D"/>
    <w:rsid w:val="00CB4F28"/>
    <w:rsid w:val="00CB4F86"/>
    <w:rsid w:val="00CB5056"/>
    <w:rsid w:val="00CB508E"/>
    <w:rsid w:val="00CB50AA"/>
    <w:rsid w:val="00CB50FC"/>
    <w:rsid w:val="00CB5172"/>
    <w:rsid w:val="00CB51B7"/>
    <w:rsid w:val="00CB51ED"/>
    <w:rsid w:val="00CB5205"/>
    <w:rsid w:val="00CB521F"/>
    <w:rsid w:val="00CB5283"/>
    <w:rsid w:val="00CB55BD"/>
    <w:rsid w:val="00CB5699"/>
    <w:rsid w:val="00CB57A4"/>
    <w:rsid w:val="00CB57F4"/>
    <w:rsid w:val="00CB58A5"/>
    <w:rsid w:val="00CB58AE"/>
    <w:rsid w:val="00CB58DB"/>
    <w:rsid w:val="00CB58DE"/>
    <w:rsid w:val="00CB5A27"/>
    <w:rsid w:val="00CB5A3C"/>
    <w:rsid w:val="00CB5ABE"/>
    <w:rsid w:val="00CB5B9E"/>
    <w:rsid w:val="00CB5BD9"/>
    <w:rsid w:val="00CB5C03"/>
    <w:rsid w:val="00CB5C34"/>
    <w:rsid w:val="00CB5CE5"/>
    <w:rsid w:val="00CB5D1A"/>
    <w:rsid w:val="00CB5D27"/>
    <w:rsid w:val="00CB5D2E"/>
    <w:rsid w:val="00CB5D62"/>
    <w:rsid w:val="00CB5DF9"/>
    <w:rsid w:val="00CB5E87"/>
    <w:rsid w:val="00CB5EC4"/>
    <w:rsid w:val="00CB5EEE"/>
    <w:rsid w:val="00CB5F52"/>
    <w:rsid w:val="00CB5F63"/>
    <w:rsid w:val="00CB5FF5"/>
    <w:rsid w:val="00CB6162"/>
    <w:rsid w:val="00CB6176"/>
    <w:rsid w:val="00CB6195"/>
    <w:rsid w:val="00CB6251"/>
    <w:rsid w:val="00CB6299"/>
    <w:rsid w:val="00CB62CA"/>
    <w:rsid w:val="00CB6330"/>
    <w:rsid w:val="00CB63F4"/>
    <w:rsid w:val="00CB6425"/>
    <w:rsid w:val="00CB645B"/>
    <w:rsid w:val="00CB6492"/>
    <w:rsid w:val="00CB64D6"/>
    <w:rsid w:val="00CB65A0"/>
    <w:rsid w:val="00CB65F3"/>
    <w:rsid w:val="00CB6778"/>
    <w:rsid w:val="00CB679C"/>
    <w:rsid w:val="00CB67C5"/>
    <w:rsid w:val="00CB682E"/>
    <w:rsid w:val="00CB68C7"/>
    <w:rsid w:val="00CB68D2"/>
    <w:rsid w:val="00CB696D"/>
    <w:rsid w:val="00CB6A7E"/>
    <w:rsid w:val="00CB6AEB"/>
    <w:rsid w:val="00CB6B57"/>
    <w:rsid w:val="00CB6BB1"/>
    <w:rsid w:val="00CB6BBF"/>
    <w:rsid w:val="00CB6BE7"/>
    <w:rsid w:val="00CB6CC4"/>
    <w:rsid w:val="00CB6CE4"/>
    <w:rsid w:val="00CB6E1C"/>
    <w:rsid w:val="00CB6E76"/>
    <w:rsid w:val="00CB6EF5"/>
    <w:rsid w:val="00CB6F50"/>
    <w:rsid w:val="00CB6FCB"/>
    <w:rsid w:val="00CB70A0"/>
    <w:rsid w:val="00CB7128"/>
    <w:rsid w:val="00CB7166"/>
    <w:rsid w:val="00CB719C"/>
    <w:rsid w:val="00CB71AB"/>
    <w:rsid w:val="00CB71E3"/>
    <w:rsid w:val="00CB728C"/>
    <w:rsid w:val="00CB72BE"/>
    <w:rsid w:val="00CB72D6"/>
    <w:rsid w:val="00CB74E4"/>
    <w:rsid w:val="00CB74FE"/>
    <w:rsid w:val="00CB7524"/>
    <w:rsid w:val="00CB75FA"/>
    <w:rsid w:val="00CB7637"/>
    <w:rsid w:val="00CB769F"/>
    <w:rsid w:val="00CB7737"/>
    <w:rsid w:val="00CB778C"/>
    <w:rsid w:val="00CB7805"/>
    <w:rsid w:val="00CB782E"/>
    <w:rsid w:val="00CB783A"/>
    <w:rsid w:val="00CB78DD"/>
    <w:rsid w:val="00CB7B0F"/>
    <w:rsid w:val="00CB7B6F"/>
    <w:rsid w:val="00CB7C8D"/>
    <w:rsid w:val="00CB7CDA"/>
    <w:rsid w:val="00CB7D87"/>
    <w:rsid w:val="00CB7DCA"/>
    <w:rsid w:val="00CB7DEF"/>
    <w:rsid w:val="00CB7E3F"/>
    <w:rsid w:val="00CB7E78"/>
    <w:rsid w:val="00CB7E7B"/>
    <w:rsid w:val="00CB7EE1"/>
    <w:rsid w:val="00CB7F1E"/>
    <w:rsid w:val="00CC0009"/>
    <w:rsid w:val="00CC00C4"/>
    <w:rsid w:val="00CC0124"/>
    <w:rsid w:val="00CC0205"/>
    <w:rsid w:val="00CC0411"/>
    <w:rsid w:val="00CC04BD"/>
    <w:rsid w:val="00CC04CA"/>
    <w:rsid w:val="00CC04E9"/>
    <w:rsid w:val="00CC060B"/>
    <w:rsid w:val="00CC061F"/>
    <w:rsid w:val="00CC0716"/>
    <w:rsid w:val="00CC078B"/>
    <w:rsid w:val="00CC07D7"/>
    <w:rsid w:val="00CC08D4"/>
    <w:rsid w:val="00CC08D6"/>
    <w:rsid w:val="00CC0A07"/>
    <w:rsid w:val="00CC0A3A"/>
    <w:rsid w:val="00CC0AEB"/>
    <w:rsid w:val="00CC0CEC"/>
    <w:rsid w:val="00CC0D5C"/>
    <w:rsid w:val="00CC0D71"/>
    <w:rsid w:val="00CC0D76"/>
    <w:rsid w:val="00CC0DF4"/>
    <w:rsid w:val="00CC0E40"/>
    <w:rsid w:val="00CC0EFA"/>
    <w:rsid w:val="00CC0F84"/>
    <w:rsid w:val="00CC10E7"/>
    <w:rsid w:val="00CC1118"/>
    <w:rsid w:val="00CC1152"/>
    <w:rsid w:val="00CC11D4"/>
    <w:rsid w:val="00CC1310"/>
    <w:rsid w:val="00CC131A"/>
    <w:rsid w:val="00CC139A"/>
    <w:rsid w:val="00CC1434"/>
    <w:rsid w:val="00CC15A3"/>
    <w:rsid w:val="00CC15DF"/>
    <w:rsid w:val="00CC1722"/>
    <w:rsid w:val="00CC1816"/>
    <w:rsid w:val="00CC1863"/>
    <w:rsid w:val="00CC18E5"/>
    <w:rsid w:val="00CC18F5"/>
    <w:rsid w:val="00CC1983"/>
    <w:rsid w:val="00CC1A4B"/>
    <w:rsid w:val="00CC1A83"/>
    <w:rsid w:val="00CC1B31"/>
    <w:rsid w:val="00CC1B39"/>
    <w:rsid w:val="00CC1B90"/>
    <w:rsid w:val="00CC1BBD"/>
    <w:rsid w:val="00CC1BF6"/>
    <w:rsid w:val="00CC1C44"/>
    <w:rsid w:val="00CC1CEA"/>
    <w:rsid w:val="00CC1D97"/>
    <w:rsid w:val="00CC1DCD"/>
    <w:rsid w:val="00CC1E96"/>
    <w:rsid w:val="00CC1EA4"/>
    <w:rsid w:val="00CC1EF0"/>
    <w:rsid w:val="00CC1EF2"/>
    <w:rsid w:val="00CC1F1A"/>
    <w:rsid w:val="00CC1F2E"/>
    <w:rsid w:val="00CC200B"/>
    <w:rsid w:val="00CC2011"/>
    <w:rsid w:val="00CC203F"/>
    <w:rsid w:val="00CC2106"/>
    <w:rsid w:val="00CC21C9"/>
    <w:rsid w:val="00CC2215"/>
    <w:rsid w:val="00CC2301"/>
    <w:rsid w:val="00CC23B4"/>
    <w:rsid w:val="00CC2402"/>
    <w:rsid w:val="00CC24F7"/>
    <w:rsid w:val="00CC24FD"/>
    <w:rsid w:val="00CC2538"/>
    <w:rsid w:val="00CC25E1"/>
    <w:rsid w:val="00CC25EC"/>
    <w:rsid w:val="00CC2604"/>
    <w:rsid w:val="00CC263F"/>
    <w:rsid w:val="00CC26F2"/>
    <w:rsid w:val="00CC2746"/>
    <w:rsid w:val="00CC27B9"/>
    <w:rsid w:val="00CC27CC"/>
    <w:rsid w:val="00CC28BB"/>
    <w:rsid w:val="00CC29A9"/>
    <w:rsid w:val="00CC29FF"/>
    <w:rsid w:val="00CC2A25"/>
    <w:rsid w:val="00CC2A98"/>
    <w:rsid w:val="00CC2ADF"/>
    <w:rsid w:val="00CC2B1A"/>
    <w:rsid w:val="00CC2B88"/>
    <w:rsid w:val="00CC2B96"/>
    <w:rsid w:val="00CC2C38"/>
    <w:rsid w:val="00CC2C71"/>
    <w:rsid w:val="00CC2CDE"/>
    <w:rsid w:val="00CC2D03"/>
    <w:rsid w:val="00CC2E68"/>
    <w:rsid w:val="00CC2EF9"/>
    <w:rsid w:val="00CC2F27"/>
    <w:rsid w:val="00CC2F41"/>
    <w:rsid w:val="00CC2F72"/>
    <w:rsid w:val="00CC2F9C"/>
    <w:rsid w:val="00CC3090"/>
    <w:rsid w:val="00CC3166"/>
    <w:rsid w:val="00CC322E"/>
    <w:rsid w:val="00CC324D"/>
    <w:rsid w:val="00CC3264"/>
    <w:rsid w:val="00CC32C4"/>
    <w:rsid w:val="00CC32D2"/>
    <w:rsid w:val="00CC3316"/>
    <w:rsid w:val="00CC3421"/>
    <w:rsid w:val="00CC3532"/>
    <w:rsid w:val="00CC3648"/>
    <w:rsid w:val="00CC368A"/>
    <w:rsid w:val="00CC36A6"/>
    <w:rsid w:val="00CC36D9"/>
    <w:rsid w:val="00CC36DD"/>
    <w:rsid w:val="00CC38AC"/>
    <w:rsid w:val="00CC38C4"/>
    <w:rsid w:val="00CC3994"/>
    <w:rsid w:val="00CC3A1B"/>
    <w:rsid w:val="00CC3A9A"/>
    <w:rsid w:val="00CC3B0A"/>
    <w:rsid w:val="00CC3B50"/>
    <w:rsid w:val="00CC3C0E"/>
    <w:rsid w:val="00CC3C66"/>
    <w:rsid w:val="00CC3C70"/>
    <w:rsid w:val="00CC3CA2"/>
    <w:rsid w:val="00CC3CB9"/>
    <w:rsid w:val="00CC3D2C"/>
    <w:rsid w:val="00CC3D91"/>
    <w:rsid w:val="00CC3DF6"/>
    <w:rsid w:val="00CC3E1A"/>
    <w:rsid w:val="00CC3E6C"/>
    <w:rsid w:val="00CC4136"/>
    <w:rsid w:val="00CC42E1"/>
    <w:rsid w:val="00CC438E"/>
    <w:rsid w:val="00CC43EF"/>
    <w:rsid w:val="00CC442D"/>
    <w:rsid w:val="00CC44C9"/>
    <w:rsid w:val="00CC4500"/>
    <w:rsid w:val="00CC4545"/>
    <w:rsid w:val="00CC4662"/>
    <w:rsid w:val="00CC476C"/>
    <w:rsid w:val="00CC477A"/>
    <w:rsid w:val="00CC479E"/>
    <w:rsid w:val="00CC47C4"/>
    <w:rsid w:val="00CC4808"/>
    <w:rsid w:val="00CC4832"/>
    <w:rsid w:val="00CC488B"/>
    <w:rsid w:val="00CC4AF6"/>
    <w:rsid w:val="00CC4B45"/>
    <w:rsid w:val="00CC4CA6"/>
    <w:rsid w:val="00CC4D1F"/>
    <w:rsid w:val="00CC4D3A"/>
    <w:rsid w:val="00CC4D87"/>
    <w:rsid w:val="00CC4E50"/>
    <w:rsid w:val="00CC4EBA"/>
    <w:rsid w:val="00CC4F30"/>
    <w:rsid w:val="00CC4FA6"/>
    <w:rsid w:val="00CC4FC8"/>
    <w:rsid w:val="00CC4FEA"/>
    <w:rsid w:val="00CC500D"/>
    <w:rsid w:val="00CC5082"/>
    <w:rsid w:val="00CC50B0"/>
    <w:rsid w:val="00CC5105"/>
    <w:rsid w:val="00CC5137"/>
    <w:rsid w:val="00CC5221"/>
    <w:rsid w:val="00CC526F"/>
    <w:rsid w:val="00CC53A2"/>
    <w:rsid w:val="00CC53AC"/>
    <w:rsid w:val="00CC53AF"/>
    <w:rsid w:val="00CC53BA"/>
    <w:rsid w:val="00CC5442"/>
    <w:rsid w:val="00CC5533"/>
    <w:rsid w:val="00CC5550"/>
    <w:rsid w:val="00CC559D"/>
    <w:rsid w:val="00CC55E0"/>
    <w:rsid w:val="00CC5601"/>
    <w:rsid w:val="00CC5672"/>
    <w:rsid w:val="00CC56EE"/>
    <w:rsid w:val="00CC570E"/>
    <w:rsid w:val="00CC578C"/>
    <w:rsid w:val="00CC5794"/>
    <w:rsid w:val="00CC57BC"/>
    <w:rsid w:val="00CC57C0"/>
    <w:rsid w:val="00CC57CA"/>
    <w:rsid w:val="00CC5840"/>
    <w:rsid w:val="00CC588A"/>
    <w:rsid w:val="00CC58D6"/>
    <w:rsid w:val="00CC5947"/>
    <w:rsid w:val="00CC59B2"/>
    <w:rsid w:val="00CC59F4"/>
    <w:rsid w:val="00CC5ADB"/>
    <w:rsid w:val="00CC5AE0"/>
    <w:rsid w:val="00CC5B07"/>
    <w:rsid w:val="00CC5B1F"/>
    <w:rsid w:val="00CC5CB4"/>
    <w:rsid w:val="00CC5CD4"/>
    <w:rsid w:val="00CC5D80"/>
    <w:rsid w:val="00CC5F54"/>
    <w:rsid w:val="00CC5F79"/>
    <w:rsid w:val="00CC5FF9"/>
    <w:rsid w:val="00CC6118"/>
    <w:rsid w:val="00CC615E"/>
    <w:rsid w:val="00CC6275"/>
    <w:rsid w:val="00CC6444"/>
    <w:rsid w:val="00CC64B3"/>
    <w:rsid w:val="00CC6607"/>
    <w:rsid w:val="00CC66CF"/>
    <w:rsid w:val="00CC6757"/>
    <w:rsid w:val="00CC6762"/>
    <w:rsid w:val="00CC67EF"/>
    <w:rsid w:val="00CC693D"/>
    <w:rsid w:val="00CC69CD"/>
    <w:rsid w:val="00CC69F8"/>
    <w:rsid w:val="00CC6A12"/>
    <w:rsid w:val="00CC6A24"/>
    <w:rsid w:val="00CC6AFD"/>
    <w:rsid w:val="00CC6B47"/>
    <w:rsid w:val="00CC6B79"/>
    <w:rsid w:val="00CC6BB8"/>
    <w:rsid w:val="00CC6BDC"/>
    <w:rsid w:val="00CC6C4A"/>
    <w:rsid w:val="00CC6CA1"/>
    <w:rsid w:val="00CC6CDF"/>
    <w:rsid w:val="00CC6CE1"/>
    <w:rsid w:val="00CC6D0C"/>
    <w:rsid w:val="00CC6D1B"/>
    <w:rsid w:val="00CC6D50"/>
    <w:rsid w:val="00CC6DB4"/>
    <w:rsid w:val="00CC6F5E"/>
    <w:rsid w:val="00CC6F5F"/>
    <w:rsid w:val="00CC6F82"/>
    <w:rsid w:val="00CC709E"/>
    <w:rsid w:val="00CC718D"/>
    <w:rsid w:val="00CC71BF"/>
    <w:rsid w:val="00CC72E7"/>
    <w:rsid w:val="00CC72F4"/>
    <w:rsid w:val="00CC73A9"/>
    <w:rsid w:val="00CC74B9"/>
    <w:rsid w:val="00CC75D5"/>
    <w:rsid w:val="00CC768E"/>
    <w:rsid w:val="00CC76EE"/>
    <w:rsid w:val="00CC7724"/>
    <w:rsid w:val="00CC774A"/>
    <w:rsid w:val="00CC77A2"/>
    <w:rsid w:val="00CC77AD"/>
    <w:rsid w:val="00CC785F"/>
    <w:rsid w:val="00CC7864"/>
    <w:rsid w:val="00CC7866"/>
    <w:rsid w:val="00CC78CC"/>
    <w:rsid w:val="00CC7979"/>
    <w:rsid w:val="00CC79C6"/>
    <w:rsid w:val="00CC7A32"/>
    <w:rsid w:val="00CC7BEC"/>
    <w:rsid w:val="00CC7C19"/>
    <w:rsid w:val="00CC7CB8"/>
    <w:rsid w:val="00CC7D97"/>
    <w:rsid w:val="00CC7DB8"/>
    <w:rsid w:val="00CC7E46"/>
    <w:rsid w:val="00CC7E8D"/>
    <w:rsid w:val="00CC7ED7"/>
    <w:rsid w:val="00CC7FF8"/>
    <w:rsid w:val="00CD0187"/>
    <w:rsid w:val="00CD0274"/>
    <w:rsid w:val="00CD02C9"/>
    <w:rsid w:val="00CD03E9"/>
    <w:rsid w:val="00CD046E"/>
    <w:rsid w:val="00CD04C0"/>
    <w:rsid w:val="00CD04C8"/>
    <w:rsid w:val="00CD055C"/>
    <w:rsid w:val="00CD056C"/>
    <w:rsid w:val="00CD070C"/>
    <w:rsid w:val="00CD0816"/>
    <w:rsid w:val="00CD08E4"/>
    <w:rsid w:val="00CD08F0"/>
    <w:rsid w:val="00CD0A93"/>
    <w:rsid w:val="00CD0B03"/>
    <w:rsid w:val="00CD0B0B"/>
    <w:rsid w:val="00CD0B90"/>
    <w:rsid w:val="00CD0BD5"/>
    <w:rsid w:val="00CD0C03"/>
    <w:rsid w:val="00CD0C13"/>
    <w:rsid w:val="00CD0C9A"/>
    <w:rsid w:val="00CD0D23"/>
    <w:rsid w:val="00CD0D3F"/>
    <w:rsid w:val="00CD0D6D"/>
    <w:rsid w:val="00CD0DE2"/>
    <w:rsid w:val="00CD0FB2"/>
    <w:rsid w:val="00CD1064"/>
    <w:rsid w:val="00CD1085"/>
    <w:rsid w:val="00CD1098"/>
    <w:rsid w:val="00CD1104"/>
    <w:rsid w:val="00CD11E5"/>
    <w:rsid w:val="00CD12B0"/>
    <w:rsid w:val="00CD1484"/>
    <w:rsid w:val="00CD14E6"/>
    <w:rsid w:val="00CD151D"/>
    <w:rsid w:val="00CD159C"/>
    <w:rsid w:val="00CD163B"/>
    <w:rsid w:val="00CD1715"/>
    <w:rsid w:val="00CD17EC"/>
    <w:rsid w:val="00CD17F0"/>
    <w:rsid w:val="00CD182C"/>
    <w:rsid w:val="00CD1874"/>
    <w:rsid w:val="00CD1915"/>
    <w:rsid w:val="00CD1AA0"/>
    <w:rsid w:val="00CD1AC8"/>
    <w:rsid w:val="00CD1B92"/>
    <w:rsid w:val="00CD1C62"/>
    <w:rsid w:val="00CD1CAD"/>
    <w:rsid w:val="00CD1D5A"/>
    <w:rsid w:val="00CD1D72"/>
    <w:rsid w:val="00CD1D8D"/>
    <w:rsid w:val="00CD1DD6"/>
    <w:rsid w:val="00CD1DE6"/>
    <w:rsid w:val="00CD1DEE"/>
    <w:rsid w:val="00CD1E63"/>
    <w:rsid w:val="00CD1EEF"/>
    <w:rsid w:val="00CD1F0E"/>
    <w:rsid w:val="00CD201D"/>
    <w:rsid w:val="00CD204C"/>
    <w:rsid w:val="00CD20E8"/>
    <w:rsid w:val="00CD20FA"/>
    <w:rsid w:val="00CD213E"/>
    <w:rsid w:val="00CD21BF"/>
    <w:rsid w:val="00CD22B7"/>
    <w:rsid w:val="00CD22BD"/>
    <w:rsid w:val="00CD2395"/>
    <w:rsid w:val="00CD2500"/>
    <w:rsid w:val="00CD2528"/>
    <w:rsid w:val="00CD25B2"/>
    <w:rsid w:val="00CD25C1"/>
    <w:rsid w:val="00CD25DE"/>
    <w:rsid w:val="00CD25E2"/>
    <w:rsid w:val="00CD26AD"/>
    <w:rsid w:val="00CD26BC"/>
    <w:rsid w:val="00CD2869"/>
    <w:rsid w:val="00CD289D"/>
    <w:rsid w:val="00CD29BC"/>
    <w:rsid w:val="00CD2A0F"/>
    <w:rsid w:val="00CD2A36"/>
    <w:rsid w:val="00CD2ABC"/>
    <w:rsid w:val="00CD2B71"/>
    <w:rsid w:val="00CD2BBF"/>
    <w:rsid w:val="00CD2C06"/>
    <w:rsid w:val="00CD2C51"/>
    <w:rsid w:val="00CD2CBB"/>
    <w:rsid w:val="00CD2D33"/>
    <w:rsid w:val="00CD2D8B"/>
    <w:rsid w:val="00CD2DA2"/>
    <w:rsid w:val="00CD2E0F"/>
    <w:rsid w:val="00CD2E16"/>
    <w:rsid w:val="00CD2E53"/>
    <w:rsid w:val="00CD2FEF"/>
    <w:rsid w:val="00CD3124"/>
    <w:rsid w:val="00CD3232"/>
    <w:rsid w:val="00CD33DC"/>
    <w:rsid w:val="00CD34FF"/>
    <w:rsid w:val="00CD351C"/>
    <w:rsid w:val="00CD3575"/>
    <w:rsid w:val="00CD358B"/>
    <w:rsid w:val="00CD3606"/>
    <w:rsid w:val="00CD373A"/>
    <w:rsid w:val="00CD37ED"/>
    <w:rsid w:val="00CD380F"/>
    <w:rsid w:val="00CD3838"/>
    <w:rsid w:val="00CD3839"/>
    <w:rsid w:val="00CD38C3"/>
    <w:rsid w:val="00CD3B8F"/>
    <w:rsid w:val="00CD3D58"/>
    <w:rsid w:val="00CD3DCD"/>
    <w:rsid w:val="00CD3E9B"/>
    <w:rsid w:val="00CD3F26"/>
    <w:rsid w:val="00CD3F63"/>
    <w:rsid w:val="00CD4126"/>
    <w:rsid w:val="00CD41AB"/>
    <w:rsid w:val="00CD4202"/>
    <w:rsid w:val="00CD4206"/>
    <w:rsid w:val="00CD4339"/>
    <w:rsid w:val="00CD437E"/>
    <w:rsid w:val="00CD4398"/>
    <w:rsid w:val="00CD43D4"/>
    <w:rsid w:val="00CD4408"/>
    <w:rsid w:val="00CD44D4"/>
    <w:rsid w:val="00CD44E7"/>
    <w:rsid w:val="00CD4639"/>
    <w:rsid w:val="00CD46BE"/>
    <w:rsid w:val="00CD46CF"/>
    <w:rsid w:val="00CD46E2"/>
    <w:rsid w:val="00CD471A"/>
    <w:rsid w:val="00CD47B4"/>
    <w:rsid w:val="00CD4819"/>
    <w:rsid w:val="00CD4823"/>
    <w:rsid w:val="00CD4843"/>
    <w:rsid w:val="00CD4879"/>
    <w:rsid w:val="00CD48A6"/>
    <w:rsid w:val="00CD494E"/>
    <w:rsid w:val="00CD4A07"/>
    <w:rsid w:val="00CD4A49"/>
    <w:rsid w:val="00CD4AA3"/>
    <w:rsid w:val="00CD4AAE"/>
    <w:rsid w:val="00CD4AB5"/>
    <w:rsid w:val="00CD4C7C"/>
    <w:rsid w:val="00CD4D31"/>
    <w:rsid w:val="00CD4D5F"/>
    <w:rsid w:val="00CD4DAB"/>
    <w:rsid w:val="00CD4DD6"/>
    <w:rsid w:val="00CD4E07"/>
    <w:rsid w:val="00CD4E4B"/>
    <w:rsid w:val="00CD4E51"/>
    <w:rsid w:val="00CD4E90"/>
    <w:rsid w:val="00CD4F02"/>
    <w:rsid w:val="00CD4F85"/>
    <w:rsid w:val="00CD4FE1"/>
    <w:rsid w:val="00CD519A"/>
    <w:rsid w:val="00CD5246"/>
    <w:rsid w:val="00CD52AE"/>
    <w:rsid w:val="00CD52D7"/>
    <w:rsid w:val="00CD52D8"/>
    <w:rsid w:val="00CD5347"/>
    <w:rsid w:val="00CD538B"/>
    <w:rsid w:val="00CD53F6"/>
    <w:rsid w:val="00CD5481"/>
    <w:rsid w:val="00CD54C5"/>
    <w:rsid w:val="00CD5521"/>
    <w:rsid w:val="00CD5545"/>
    <w:rsid w:val="00CD5546"/>
    <w:rsid w:val="00CD559C"/>
    <w:rsid w:val="00CD5698"/>
    <w:rsid w:val="00CD580F"/>
    <w:rsid w:val="00CD583A"/>
    <w:rsid w:val="00CD5852"/>
    <w:rsid w:val="00CD5878"/>
    <w:rsid w:val="00CD589E"/>
    <w:rsid w:val="00CD5907"/>
    <w:rsid w:val="00CD5980"/>
    <w:rsid w:val="00CD599A"/>
    <w:rsid w:val="00CD5A06"/>
    <w:rsid w:val="00CD5A36"/>
    <w:rsid w:val="00CD5AD9"/>
    <w:rsid w:val="00CD5B84"/>
    <w:rsid w:val="00CD5BF6"/>
    <w:rsid w:val="00CD5EC3"/>
    <w:rsid w:val="00CD5F34"/>
    <w:rsid w:val="00CD5FBA"/>
    <w:rsid w:val="00CD5FBD"/>
    <w:rsid w:val="00CD5FCB"/>
    <w:rsid w:val="00CD5FD0"/>
    <w:rsid w:val="00CD6192"/>
    <w:rsid w:val="00CD62AE"/>
    <w:rsid w:val="00CD62C8"/>
    <w:rsid w:val="00CD636E"/>
    <w:rsid w:val="00CD63CD"/>
    <w:rsid w:val="00CD640B"/>
    <w:rsid w:val="00CD64C1"/>
    <w:rsid w:val="00CD64D0"/>
    <w:rsid w:val="00CD654B"/>
    <w:rsid w:val="00CD6635"/>
    <w:rsid w:val="00CD66D0"/>
    <w:rsid w:val="00CD6710"/>
    <w:rsid w:val="00CD677B"/>
    <w:rsid w:val="00CD68FA"/>
    <w:rsid w:val="00CD694A"/>
    <w:rsid w:val="00CD6B68"/>
    <w:rsid w:val="00CD6B97"/>
    <w:rsid w:val="00CD6BF3"/>
    <w:rsid w:val="00CD6C07"/>
    <w:rsid w:val="00CD6C46"/>
    <w:rsid w:val="00CD6C8C"/>
    <w:rsid w:val="00CD6C9B"/>
    <w:rsid w:val="00CD6F73"/>
    <w:rsid w:val="00CD7119"/>
    <w:rsid w:val="00CD7186"/>
    <w:rsid w:val="00CD7242"/>
    <w:rsid w:val="00CD728D"/>
    <w:rsid w:val="00CD72FB"/>
    <w:rsid w:val="00CD7305"/>
    <w:rsid w:val="00CD73F4"/>
    <w:rsid w:val="00CD748B"/>
    <w:rsid w:val="00CD759C"/>
    <w:rsid w:val="00CD75B0"/>
    <w:rsid w:val="00CD75D7"/>
    <w:rsid w:val="00CD75DF"/>
    <w:rsid w:val="00CD75F0"/>
    <w:rsid w:val="00CD763C"/>
    <w:rsid w:val="00CD7768"/>
    <w:rsid w:val="00CD7863"/>
    <w:rsid w:val="00CD787F"/>
    <w:rsid w:val="00CD7887"/>
    <w:rsid w:val="00CD79E3"/>
    <w:rsid w:val="00CD7AB1"/>
    <w:rsid w:val="00CD7B2E"/>
    <w:rsid w:val="00CD7B47"/>
    <w:rsid w:val="00CD7BC1"/>
    <w:rsid w:val="00CD7C99"/>
    <w:rsid w:val="00CD7D70"/>
    <w:rsid w:val="00CD7E13"/>
    <w:rsid w:val="00CD7E48"/>
    <w:rsid w:val="00CD7E5A"/>
    <w:rsid w:val="00CD7EBF"/>
    <w:rsid w:val="00CD7F33"/>
    <w:rsid w:val="00CD7F56"/>
    <w:rsid w:val="00CD7F7C"/>
    <w:rsid w:val="00CD7F94"/>
    <w:rsid w:val="00CD7FEC"/>
    <w:rsid w:val="00CE0035"/>
    <w:rsid w:val="00CE004F"/>
    <w:rsid w:val="00CE005D"/>
    <w:rsid w:val="00CE0071"/>
    <w:rsid w:val="00CE0116"/>
    <w:rsid w:val="00CE0150"/>
    <w:rsid w:val="00CE0164"/>
    <w:rsid w:val="00CE0175"/>
    <w:rsid w:val="00CE01AB"/>
    <w:rsid w:val="00CE01FC"/>
    <w:rsid w:val="00CE01FE"/>
    <w:rsid w:val="00CE02E6"/>
    <w:rsid w:val="00CE02F6"/>
    <w:rsid w:val="00CE037A"/>
    <w:rsid w:val="00CE048E"/>
    <w:rsid w:val="00CE059F"/>
    <w:rsid w:val="00CE069C"/>
    <w:rsid w:val="00CE06CF"/>
    <w:rsid w:val="00CE079D"/>
    <w:rsid w:val="00CE07E4"/>
    <w:rsid w:val="00CE07F5"/>
    <w:rsid w:val="00CE0853"/>
    <w:rsid w:val="00CE0898"/>
    <w:rsid w:val="00CE08AA"/>
    <w:rsid w:val="00CE08DF"/>
    <w:rsid w:val="00CE08F7"/>
    <w:rsid w:val="00CE0925"/>
    <w:rsid w:val="00CE093F"/>
    <w:rsid w:val="00CE09C4"/>
    <w:rsid w:val="00CE0B03"/>
    <w:rsid w:val="00CE0B1A"/>
    <w:rsid w:val="00CE0B31"/>
    <w:rsid w:val="00CE0B64"/>
    <w:rsid w:val="00CE0C03"/>
    <w:rsid w:val="00CE0C0B"/>
    <w:rsid w:val="00CE0C2C"/>
    <w:rsid w:val="00CE0C6C"/>
    <w:rsid w:val="00CE0CC6"/>
    <w:rsid w:val="00CE0D45"/>
    <w:rsid w:val="00CE0DD3"/>
    <w:rsid w:val="00CE0DE1"/>
    <w:rsid w:val="00CE0E1D"/>
    <w:rsid w:val="00CE0E22"/>
    <w:rsid w:val="00CE0EDE"/>
    <w:rsid w:val="00CE0F33"/>
    <w:rsid w:val="00CE0F49"/>
    <w:rsid w:val="00CE0F5A"/>
    <w:rsid w:val="00CE0F77"/>
    <w:rsid w:val="00CE1114"/>
    <w:rsid w:val="00CE1199"/>
    <w:rsid w:val="00CE11D7"/>
    <w:rsid w:val="00CE11DE"/>
    <w:rsid w:val="00CE122C"/>
    <w:rsid w:val="00CE12C1"/>
    <w:rsid w:val="00CE1407"/>
    <w:rsid w:val="00CE1457"/>
    <w:rsid w:val="00CE1654"/>
    <w:rsid w:val="00CE1662"/>
    <w:rsid w:val="00CE1788"/>
    <w:rsid w:val="00CE17A9"/>
    <w:rsid w:val="00CE183B"/>
    <w:rsid w:val="00CE1879"/>
    <w:rsid w:val="00CE18B4"/>
    <w:rsid w:val="00CE18C7"/>
    <w:rsid w:val="00CE18D9"/>
    <w:rsid w:val="00CE18EF"/>
    <w:rsid w:val="00CE1928"/>
    <w:rsid w:val="00CE1A19"/>
    <w:rsid w:val="00CE1A57"/>
    <w:rsid w:val="00CE1AD1"/>
    <w:rsid w:val="00CE1B33"/>
    <w:rsid w:val="00CE1C46"/>
    <w:rsid w:val="00CE1E10"/>
    <w:rsid w:val="00CE1E73"/>
    <w:rsid w:val="00CE1F03"/>
    <w:rsid w:val="00CE1F99"/>
    <w:rsid w:val="00CE1F9F"/>
    <w:rsid w:val="00CE1FB3"/>
    <w:rsid w:val="00CE1FE9"/>
    <w:rsid w:val="00CE2062"/>
    <w:rsid w:val="00CE20AD"/>
    <w:rsid w:val="00CE20AE"/>
    <w:rsid w:val="00CE20E0"/>
    <w:rsid w:val="00CE212C"/>
    <w:rsid w:val="00CE2177"/>
    <w:rsid w:val="00CE221B"/>
    <w:rsid w:val="00CE223E"/>
    <w:rsid w:val="00CE2248"/>
    <w:rsid w:val="00CE2252"/>
    <w:rsid w:val="00CE2365"/>
    <w:rsid w:val="00CE23BD"/>
    <w:rsid w:val="00CE24F8"/>
    <w:rsid w:val="00CE24F9"/>
    <w:rsid w:val="00CE251A"/>
    <w:rsid w:val="00CE2630"/>
    <w:rsid w:val="00CE2681"/>
    <w:rsid w:val="00CE26BC"/>
    <w:rsid w:val="00CE26BE"/>
    <w:rsid w:val="00CE2851"/>
    <w:rsid w:val="00CE2867"/>
    <w:rsid w:val="00CE2957"/>
    <w:rsid w:val="00CE2B90"/>
    <w:rsid w:val="00CE2C0B"/>
    <w:rsid w:val="00CE2C37"/>
    <w:rsid w:val="00CE2C6C"/>
    <w:rsid w:val="00CE2D07"/>
    <w:rsid w:val="00CE2D98"/>
    <w:rsid w:val="00CE2DA5"/>
    <w:rsid w:val="00CE2DCA"/>
    <w:rsid w:val="00CE2E2A"/>
    <w:rsid w:val="00CE2E3B"/>
    <w:rsid w:val="00CE2E56"/>
    <w:rsid w:val="00CE2F9A"/>
    <w:rsid w:val="00CE2FD6"/>
    <w:rsid w:val="00CE3094"/>
    <w:rsid w:val="00CE3188"/>
    <w:rsid w:val="00CE31BB"/>
    <w:rsid w:val="00CE31DC"/>
    <w:rsid w:val="00CE31EA"/>
    <w:rsid w:val="00CE31F5"/>
    <w:rsid w:val="00CE3209"/>
    <w:rsid w:val="00CE3227"/>
    <w:rsid w:val="00CE324D"/>
    <w:rsid w:val="00CE3313"/>
    <w:rsid w:val="00CE3332"/>
    <w:rsid w:val="00CE344D"/>
    <w:rsid w:val="00CE345C"/>
    <w:rsid w:val="00CE35C6"/>
    <w:rsid w:val="00CE35D0"/>
    <w:rsid w:val="00CE35E0"/>
    <w:rsid w:val="00CE3692"/>
    <w:rsid w:val="00CE371F"/>
    <w:rsid w:val="00CE3858"/>
    <w:rsid w:val="00CE38CB"/>
    <w:rsid w:val="00CE39A7"/>
    <w:rsid w:val="00CE39E9"/>
    <w:rsid w:val="00CE3A21"/>
    <w:rsid w:val="00CE3A3F"/>
    <w:rsid w:val="00CE3A53"/>
    <w:rsid w:val="00CE3A5E"/>
    <w:rsid w:val="00CE3AD4"/>
    <w:rsid w:val="00CE3B63"/>
    <w:rsid w:val="00CE3C37"/>
    <w:rsid w:val="00CE3D3A"/>
    <w:rsid w:val="00CE3D3F"/>
    <w:rsid w:val="00CE3E06"/>
    <w:rsid w:val="00CE3EC2"/>
    <w:rsid w:val="00CE3F24"/>
    <w:rsid w:val="00CE4158"/>
    <w:rsid w:val="00CE4165"/>
    <w:rsid w:val="00CE41A0"/>
    <w:rsid w:val="00CE41A4"/>
    <w:rsid w:val="00CE41AF"/>
    <w:rsid w:val="00CE4261"/>
    <w:rsid w:val="00CE42C0"/>
    <w:rsid w:val="00CE431B"/>
    <w:rsid w:val="00CE4392"/>
    <w:rsid w:val="00CE43B1"/>
    <w:rsid w:val="00CE43FD"/>
    <w:rsid w:val="00CE4453"/>
    <w:rsid w:val="00CE44D1"/>
    <w:rsid w:val="00CE4504"/>
    <w:rsid w:val="00CE46AC"/>
    <w:rsid w:val="00CE473A"/>
    <w:rsid w:val="00CE4776"/>
    <w:rsid w:val="00CE47E8"/>
    <w:rsid w:val="00CE47FD"/>
    <w:rsid w:val="00CE4825"/>
    <w:rsid w:val="00CE4839"/>
    <w:rsid w:val="00CE48CA"/>
    <w:rsid w:val="00CE48D9"/>
    <w:rsid w:val="00CE48EB"/>
    <w:rsid w:val="00CE493E"/>
    <w:rsid w:val="00CE4970"/>
    <w:rsid w:val="00CE49B2"/>
    <w:rsid w:val="00CE49DD"/>
    <w:rsid w:val="00CE4A43"/>
    <w:rsid w:val="00CE4A50"/>
    <w:rsid w:val="00CE4A84"/>
    <w:rsid w:val="00CE4AC7"/>
    <w:rsid w:val="00CE4ACD"/>
    <w:rsid w:val="00CE4CC6"/>
    <w:rsid w:val="00CE4CD6"/>
    <w:rsid w:val="00CE4D41"/>
    <w:rsid w:val="00CE4E6E"/>
    <w:rsid w:val="00CE4F80"/>
    <w:rsid w:val="00CE4FB9"/>
    <w:rsid w:val="00CE5006"/>
    <w:rsid w:val="00CE5084"/>
    <w:rsid w:val="00CE5090"/>
    <w:rsid w:val="00CE50CD"/>
    <w:rsid w:val="00CE50E3"/>
    <w:rsid w:val="00CE5122"/>
    <w:rsid w:val="00CE5258"/>
    <w:rsid w:val="00CE5265"/>
    <w:rsid w:val="00CE52D0"/>
    <w:rsid w:val="00CE5352"/>
    <w:rsid w:val="00CE53ED"/>
    <w:rsid w:val="00CE53EF"/>
    <w:rsid w:val="00CE5463"/>
    <w:rsid w:val="00CE549B"/>
    <w:rsid w:val="00CE554D"/>
    <w:rsid w:val="00CE5553"/>
    <w:rsid w:val="00CE561B"/>
    <w:rsid w:val="00CE578E"/>
    <w:rsid w:val="00CE57C2"/>
    <w:rsid w:val="00CE57C3"/>
    <w:rsid w:val="00CE57C9"/>
    <w:rsid w:val="00CE5832"/>
    <w:rsid w:val="00CE58E9"/>
    <w:rsid w:val="00CE5944"/>
    <w:rsid w:val="00CE5971"/>
    <w:rsid w:val="00CE59E2"/>
    <w:rsid w:val="00CE5AFA"/>
    <w:rsid w:val="00CE5B1F"/>
    <w:rsid w:val="00CE5B50"/>
    <w:rsid w:val="00CE5C44"/>
    <w:rsid w:val="00CE5C54"/>
    <w:rsid w:val="00CE5D4A"/>
    <w:rsid w:val="00CE5E95"/>
    <w:rsid w:val="00CE5EDB"/>
    <w:rsid w:val="00CE5FFC"/>
    <w:rsid w:val="00CE6058"/>
    <w:rsid w:val="00CE61B7"/>
    <w:rsid w:val="00CE6211"/>
    <w:rsid w:val="00CE622C"/>
    <w:rsid w:val="00CE622F"/>
    <w:rsid w:val="00CE6295"/>
    <w:rsid w:val="00CE6373"/>
    <w:rsid w:val="00CE63B0"/>
    <w:rsid w:val="00CE648C"/>
    <w:rsid w:val="00CE6596"/>
    <w:rsid w:val="00CE66C3"/>
    <w:rsid w:val="00CE6748"/>
    <w:rsid w:val="00CE6782"/>
    <w:rsid w:val="00CE67E3"/>
    <w:rsid w:val="00CE6805"/>
    <w:rsid w:val="00CE6867"/>
    <w:rsid w:val="00CE6916"/>
    <w:rsid w:val="00CE6A59"/>
    <w:rsid w:val="00CE6AD8"/>
    <w:rsid w:val="00CE6B6F"/>
    <w:rsid w:val="00CE6C6C"/>
    <w:rsid w:val="00CE6CF0"/>
    <w:rsid w:val="00CE6D4B"/>
    <w:rsid w:val="00CE6E0E"/>
    <w:rsid w:val="00CE6E3C"/>
    <w:rsid w:val="00CE6EE8"/>
    <w:rsid w:val="00CE6EEB"/>
    <w:rsid w:val="00CE6FF0"/>
    <w:rsid w:val="00CE70E0"/>
    <w:rsid w:val="00CE70FC"/>
    <w:rsid w:val="00CE72AD"/>
    <w:rsid w:val="00CE72E6"/>
    <w:rsid w:val="00CE7315"/>
    <w:rsid w:val="00CE73A9"/>
    <w:rsid w:val="00CE73CC"/>
    <w:rsid w:val="00CE74FF"/>
    <w:rsid w:val="00CE7570"/>
    <w:rsid w:val="00CE75AB"/>
    <w:rsid w:val="00CE7653"/>
    <w:rsid w:val="00CE7722"/>
    <w:rsid w:val="00CE777D"/>
    <w:rsid w:val="00CE7815"/>
    <w:rsid w:val="00CE7847"/>
    <w:rsid w:val="00CE7856"/>
    <w:rsid w:val="00CE787B"/>
    <w:rsid w:val="00CE7923"/>
    <w:rsid w:val="00CE79E4"/>
    <w:rsid w:val="00CE79EC"/>
    <w:rsid w:val="00CE7A86"/>
    <w:rsid w:val="00CE7B45"/>
    <w:rsid w:val="00CE7C40"/>
    <w:rsid w:val="00CE7C8D"/>
    <w:rsid w:val="00CE7CE3"/>
    <w:rsid w:val="00CE7DD1"/>
    <w:rsid w:val="00CE7DFC"/>
    <w:rsid w:val="00CE7E4F"/>
    <w:rsid w:val="00CE7ED8"/>
    <w:rsid w:val="00CE7EDB"/>
    <w:rsid w:val="00CE7FA7"/>
    <w:rsid w:val="00CE7FB3"/>
    <w:rsid w:val="00CF0014"/>
    <w:rsid w:val="00CF01A2"/>
    <w:rsid w:val="00CF0211"/>
    <w:rsid w:val="00CF021E"/>
    <w:rsid w:val="00CF0373"/>
    <w:rsid w:val="00CF03B4"/>
    <w:rsid w:val="00CF047E"/>
    <w:rsid w:val="00CF048E"/>
    <w:rsid w:val="00CF0532"/>
    <w:rsid w:val="00CF0662"/>
    <w:rsid w:val="00CF0663"/>
    <w:rsid w:val="00CF0689"/>
    <w:rsid w:val="00CF0699"/>
    <w:rsid w:val="00CF06DA"/>
    <w:rsid w:val="00CF08AF"/>
    <w:rsid w:val="00CF09EB"/>
    <w:rsid w:val="00CF0A19"/>
    <w:rsid w:val="00CF0A9B"/>
    <w:rsid w:val="00CF0B81"/>
    <w:rsid w:val="00CF0B87"/>
    <w:rsid w:val="00CF0BF1"/>
    <w:rsid w:val="00CF0C77"/>
    <w:rsid w:val="00CF0DA0"/>
    <w:rsid w:val="00CF0EAF"/>
    <w:rsid w:val="00CF0EC7"/>
    <w:rsid w:val="00CF0EC8"/>
    <w:rsid w:val="00CF0F84"/>
    <w:rsid w:val="00CF1001"/>
    <w:rsid w:val="00CF1065"/>
    <w:rsid w:val="00CF107D"/>
    <w:rsid w:val="00CF1245"/>
    <w:rsid w:val="00CF1266"/>
    <w:rsid w:val="00CF127A"/>
    <w:rsid w:val="00CF128E"/>
    <w:rsid w:val="00CF131B"/>
    <w:rsid w:val="00CF13EE"/>
    <w:rsid w:val="00CF13F2"/>
    <w:rsid w:val="00CF144A"/>
    <w:rsid w:val="00CF14C7"/>
    <w:rsid w:val="00CF15B1"/>
    <w:rsid w:val="00CF15E1"/>
    <w:rsid w:val="00CF16AD"/>
    <w:rsid w:val="00CF1777"/>
    <w:rsid w:val="00CF17E6"/>
    <w:rsid w:val="00CF183E"/>
    <w:rsid w:val="00CF189D"/>
    <w:rsid w:val="00CF190D"/>
    <w:rsid w:val="00CF1A06"/>
    <w:rsid w:val="00CF1ABE"/>
    <w:rsid w:val="00CF1AFC"/>
    <w:rsid w:val="00CF1C22"/>
    <w:rsid w:val="00CF1C33"/>
    <w:rsid w:val="00CF1CF4"/>
    <w:rsid w:val="00CF1D1C"/>
    <w:rsid w:val="00CF1DB7"/>
    <w:rsid w:val="00CF1E54"/>
    <w:rsid w:val="00CF1E55"/>
    <w:rsid w:val="00CF1ED2"/>
    <w:rsid w:val="00CF1EDE"/>
    <w:rsid w:val="00CF1FB5"/>
    <w:rsid w:val="00CF2107"/>
    <w:rsid w:val="00CF216C"/>
    <w:rsid w:val="00CF2253"/>
    <w:rsid w:val="00CF2268"/>
    <w:rsid w:val="00CF227E"/>
    <w:rsid w:val="00CF22D2"/>
    <w:rsid w:val="00CF22E1"/>
    <w:rsid w:val="00CF231D"/>
    <w:rsid w:val="00CF23FA"/>
    <w:rsid w:val="00CF23FD"/>
    <w:rsid w:val="00CF2404"/>
    <w:rsid w:val="00CF2451"/>
    <w:rsid w:val="00CF2463"/>
    <w:rsid w:val="00CF24FC"/>
    <w:rsid w:val="00CF2500"/>
    <w:rsid w:val="00CF2557"/>
    <w:rsid w:val="00CF25FD"/>
    <w:rsid w:val="00CF2614"/>
    <w:rsid w:val="00CF2690"/>
    <w:rsid w:val="00CF26ED"/>
    <w:rsid w:val="00CF271D"/>
    <w:rsid w:val="00CF27B6"/>
    <w:rsid w:val="00CF2829"/>
    <w:rsid w:val="00CF2846"/>
    <w:rsid w:val="00CF285F"/>
    <w:rsid w:val="00CF2868"/>
    <w:rsid w:val="00CF28B9"/>
    <w:rsid w:val="00CF28FC"/>
    <w:rsid w:val="00CF291E"/>
    <w:rsid w:val="00CF2942"/>
    <w:rsid w:val="00CF2959"/>
    <w:rsid w:val="00CF2A3D"/>
    <w:rsid w:val="00CF2A51"/>
    <w:rsid w:val="00CF2A64"/>
    <w:rsid w:val="00CF2B7C"/>
    <w:rsid w:val="00CF2BBF"/>
    <w:rsid w:val="00CF2C21"/>
    <w:rsid w:val="00CF2C57"/>
    <w:rsid w:val="00CF2C69"/>
    <w:rsid w:val="00CF2D3B"/>
    <w:rsid w:val="00CF2D7A"/>
    <w:rsid w:val="00CF2DB8"/>
    <w:rsid w:val="00CF2DCE"/>
    <w:rsid w:val="00CF2DF8"/>
    <w:rsid w:val="00CF2DFF"/>
    <w:rsid w:val="00CF2EC7"/>
    <w:rsid w:val="00CF2F55"/>
    <w:rsid w:val="00CF2FA5"/>
    <w:rsid w:val="00CF2FCB"/>
    <w:rsid w:val="00CF313F"/>
    <w:rsid w:val="00CF3195"/>
    <w:rsid w:val="00CF32EB"/>
    <w:rsid w:val="00CF3333"/>
    <w:rsid w:val="00CF3436"/>
    <w:rsid w:val="00CF3473"/>
    <w:rsid w:val="00CF354D"/>
    <w:rsid w:val="00CF356F"/>
    <w:rsid w:val="00CF3619"/>
    <w:rsid w:val="00CF366B"/>
    <w:rsid w:val="00CF37BD"/>
    <w:rsid w:val="00CF37D5"/>
    <w:rsid w:val="00CF386F"/>
    <w:rsid w:val="00CF3874"/>
    <w:rsid w:val="00CF38E6"/>
    <w:rsid w:val="00CF390C"/>
    <w:rsid w:val="00CF393E"/>
    <w:rsid w:val="00CF398F"/>
    <w:rsid w:val="00CF3A37"/>
    <w:rsid w:val="00CF3A66"/>
    <w:rsid w:val="00CF3A8D"/>
    <w:rsid w:val="00CF3B55"/>
    <w:rsid w:val="00CF3BBE"/>
    <w:rsid w:val="00CF3C09"/>
    <w:rsid w:val="00CF3C9F"/>
    <w:rsid w:val="00CF3DD2"/>
    <w:rsid w:val="00CF3E1C"/>
    <w:rsid w:val="00CF3E96"/>
    <w:rsid w:val="00CF3F0D"/>
    <w:rsid w:val="00CF3F18"/>
    <w:rsid w:val="00CF3FC3"/>
    <w:rsid w:val="00CF400E"/>
    <w:rsid w:val="00CF417A"/>
    <w:rsid w:val="00CF4281"/>
    <w:rsid w:val="00CF42D7"/>
    <w:rsid w:val="00CF4344"/>
    <w:rsid w:val="00CF448F"/>
    <w:rsid w:val="00CF453B"/>
    <w:rsid w:val="00CF468B"/>
    <w:rsid w:val="00CF469C"/>
    <w:rsid w:val="00CF46C6"/>
    <w:rsid w:val="00CF47D1"/>
    <w:rsid w:val="00CF483E"/>
    <w:rsid w:val="00CF48D2"/>
    <w:rsid w:val="00CF4946"/>
    <w:rsid w:val="00CF4954"/>
    <w:rsid w:val="00CF4A72"/>
    <w:rsid w:val="00CF4B5D"/>
    <w:rsid w:val="00CF4B7D"/>
    <w:rsid w:val="00CF4C05"/>
    <w:rsid w:val="00CF4C0D"/>
    <w:rsid w:val="00CF4CF4"/>
    <w:rsid w:val="00CF4D3A"/>
    <w:rsid w:val="00CF4EA1"/>
    <w:rsid w:val="00CF4F09"/>
    <w:rsid w:val="00CF500F"/>
    <w:rsid w:val="00CF5015"/>
    <w:rsid w:val="00CF50F6"/>
    <w:rsid w:val="00CF51A4"/>
    <w:rsid w:val="00CF51AF"/>
    <w:rsid w:val="00CF51E6"/>
    <w:rsid w:val="00CF5347"/>
    <w:rsid w:val="00CF5349"/>
    <w:rsid w:val="00CF567F"/>
    <w:rsid w:val="00CF5694"/>
    <w:rsid w:val="00CF589B"/>
    <w:rsid w:val="00CF58ED"/>
    <w:rsid w:val="00CF591E"/>
    <w:rsid w:val="00CF5993"/>
    <w:rsid w:val="00CF5A1F"/>
    <w:rsid w:val="00CF5B74"/>
    <w:rsid w:val="00CF5BDE"/>
    <w:rsid w:val="00CF5C08"/>
    <w:rsid w:val="00CF5C53"/>
    <w:rsid w:val="00CF5CD4"/>
    <w:rsid w:val="00CF5CDE"/>
    <w:rsid w:val="00CF5D44"/>
    <w:rsid w:val="00CF5D7B"/>
    <w:rsid w:val="00CF5DA9"/>
    <w:rsid w:val="00CF5DC4"/>
    <w:rsid w:val="00CF5FD7"/>
    <w:rsid w:val="00CF6095"/>
    <w:rsid w:val="00CF6214"/>
    <w:rsid w:val="00CF6254"/>
    <w:rsid w:val="00CF62C9"/>
    <w:rsid w:val="00CF6360"/>
    <w:rsid w:val="00CF636C"/>
    <w:rsid w:val="00CF6375"/>
    <w:rsid w:val="00CF637B"/>
    <w:rsid w:val="00CF63FD"/>
    <w:rsid w:val="00CF641E"/>
    <w:rsid w:val="00CF6535"/>
    <w:rsid w:val="00CF664C"/>
    <w:rsid w:val="00CF67CB"/>
    <w:rsid w:val="00CF682B"/>
    <w:rsid w:val="00CF687B"/>
    <w:rsid w:val="00CF68E7"/>
    <w:rsid w:val="00CF6908"/>
    <w:rsid w:val="00CF6A53"/>
    <w:rsid w:val="00CF6B71"/>
    <w:rsid w:val="00CF6C51"/>
    <w:rsid w:val="00CF6DB4"/>
    <w:rsid w:val="00CF6E24"/>
    <w:rsid w:val="00CF6E3C"/>
    <w:rsid w:val="00CF6EA1"/>
    <w:rsid w:val="00CF6EAB"/>
    <w:rsid w:val="00CF6EB8"/>
    <w:rsid w:val="00CF6F02"/>
    <w:rsid w:val="00CF6FA6"/>
    <w:rsid w:val="00CF70D2"/>
    <w:rsid w:val="00CF71AC"/>
    <w:rsid w:val="00CF7224"/>
    <w:rsid w:val="00CF778F"/>
    <w:rsid w:val="00CF77A9"/>
    <w:rsid w:val="00CF7815"/>
    <w:rsid w:val="00CF7820"/>
    <w:rsid w:val="00CF78D7"/>
    <w:rsid w:val="00CF7941"/>
    <w:rsid w:val="00CF7992"/>
    <w:rsid w:val="00CF79F4"/>
    <w:rsid w:val="00CF7A00"/>
    <w:rsid w:val="00CF7AE2"/>
    <w:rsid w:val="00CF7B21"/>
    <w:rsid w:val="00CF7B29"/>
    <w:rsid w:val="00CF7B95"/>
    <w:rsid w:val="00CF7BF4"/>
    <w:rsid w:val="00CF7C0B"/>
    <w:rsid w:val="00CF7C6C"/>
    <w:rsid w:val="00CF7D9B"/>
    <w:rsid w:val="00CF7DDF"/>
    <w:rsid w:val="00CF7E3C"/>
    <w:rsid w:val="00CF7FDB"/>
    <w:rsid w:val="00D00001"/>
    <w:rsid w:val="00D0003D"/>
    <w:rsid w:val="00D00116"/>
    <w:rsid w:val="00D002EC"/>
    <w:rsid w:val="00D0033B"/>
    <w:rsid w:val="00D00345"/>
    <w:rsid w:val="00D0034F"/>
    <w:rsid w:val="00D00502"/>
    <w:rsid w:val="00D00591"/>
    <w:rsid w:val="00D00621"/>
    <w:rsid w:val="00D0062A"/>
    <w:rsid w:val="00D0062C"/>
    <w:rsid w:val="00D00660"/>
    <w:rsid w:val="00D00677"/>
    <w:rsid w:val="00D0076A"/>
    <w:rsid w:val="00D00796"/>
    <w:rsid w:val="00D007B0"/>
    <w:rsid w:val="00D0081C"/>
    <w:rsid w:val="00D0092A"/>
    <w:rsid w:val="00D00AAD"/>
    <w:rsid w:val="00D00C86"/>
    <w:rsid w:val="00D00DD9"/>
    <w:rsid w:val="00D00F39"/>
    <w:rsid w:val="00D01022"/>
    <w:rsid w:val="00D01038"/>
    <w:rsid w:val="00D01073"/>
    <w:rsid w:val="00D010C9"/>
    <w:rsid w:val="00D010F9"/>
    <w:rsid w:val="00D011B0"/>
    <w:rsid w:val="00D011BC"/>
    <w:rsid w:val="00D011C4"/>
    <w:rsid w:val="00D01263"/>
    <w:rsid w:val="00D01272"/>
    <w:rsid w:val="00D012B2"/>
    <w:rsid w:val="00D01551"/>
    <w:rsid w:val="00D01563"/>
    <w:rsid w:val="00D01588"/>
    <w:rsid w:val="00D0162D"/>
    <w:rsid w:val="00D01711"/>
    <w:rsid w:val="00D01761"/>
    <w:rsid w:val="00D01784"/>
    <w:rsid w:val="00D017A7"/>
    <w:rsid w:val="00D017D8"/>
    <w:rsid w:val="00D01862"/>
    <w:rsid w:val="00D018FD"/>
    <w:rsid w:val="00D0190C"/>
    <w:rsid w:val="00D019D0"/>
    <w:rsid w:val="00D01AC0"/>
    <w:rsid w:val="00D01AD3"/>
    <w:rsid w:val="00D01ADA"/>
    <w:rsid w:val="00D01B14"/>
    <w:rsid w:val="00D01B47"/>
    <w:rsid w:val="00D01B6A"/>
    <w:rsid w:val="00D01C0B"/>
    <w:rsid w:val="00D01C7F"/>
    <w:rsid w:val="00D01CB2"/>
    <w:rsid w:val="00D01D3B"/>
    <w:rsid w:val="00D01DA4"/>
    <w:rsid w:val="00D01E45"/>
    <w:rsid w:val="00D01E80"/>
    <w:rsid w:val="00D01EA0"/>
    <w:rsid w:val="00D01F7A"/>
    <w:rsid w:val="00D01FFF"/>
    <w:rsid w:val="00D02037"/>
    <w:rsid w:val="00D02070"/>
    <w:rsid w:val="00D02117"/>
    <w:rsid w:val="00D021BA"/>
    <w:rsid w:val="00D022BD"/>
    <w:rsid w:val="00D02349"/>
    <w:rsid w:val="00D02363"/>
    <w:rsid w:val="00D0237B"/>
    <w:rsid w:val="00D0239E"/>
    <w:rsid w:val="00D0241A"/>
    <w:rsid w:val="00D02452"/>
    <w:rsid w:val="00D024EC"/>
    <w:rsid w:val="00D024FA"/>
    <w:rsid w:val="00D025C5"/>
    <w:rsid w:val="00D025E2"/>
    <w:rsid w:val="00D026F9"/>
    <w:rsid w:val="00D027DC"/>
    <w:rsid w:val="00D02810"/>
    <w:rsid w:val="00D02A30"/>
    <w:rsid w:val="00D02AD4"/>
    <w:rsid w:val="00D02B89"/>
    <w:rsid w:val="00D02C1B"/>
    <w:rsid w:val="00D02CEC"/>
    <w:rsid w:val="00D02D0C"/>
    <w:rsid w:val="00D02D37"/>
    <w:rsid w:val="00D02D91"/>
    <w:rsid w:val="00D02E66"/>
    <w:rsid w:val="00D02E74"/>
    <w:rsid w:val="00D02EFD"/>
    <w:rsid w:val="00D02FB2"/>
    <w:rsid w:val="00D02FBE"/>
    <w:rsid w:val="00D02FCC"/>
    <w:rsid w:val="00D0301F"/>
    <w:rsid w:val="00D0304A"/>
    <w:rsid w:val="00D030A2"/>
    <w:rsid w:val="00D03153"/>
    <w:rsid w:val="00D03349"/>
    <w:rsid w:val="00D03350"/>
    <w:rsid w:val="00D03361"/>
    <w:rsid w:val="00D0336A"/>
    <w:rsid w:val="00D03375"/>
    <w:rsid w:val="00D0339E"/>
    <w:rsid w:val="00D0343A"/>
    <w:rsid w:val="00D034C1"/>
    <w:rsid w:val="00D0354D"/>
    <w:rsid w:val="00D03605"/>
    <w:rsid w:val="00D0363D"/>
    <w:rsid w:val="00D0381E"/>
    <w:rsid w:val="00D03884"/>
    <w:rsid w:val="00D038B3"/>
    <w:rsid w:val="00D038C4"/>
    <w:rsid w:val="00D038F2"/>
    <w:rsid w:val="00D03917"/>
    <w:rsid w:val="00D03A17"/>
    <w:rsid w:val="00D03BFA"/>
    <w:rsid w:val="00D03C66"/>
    <w:rsid w:val="00D03E23"/>
    <w:rsid w:val="00D03FAE"/>
    <w:rsid w:val="00D03FFC"/>
    <w:rsid w:val="00D0402F"/>
    <w:rsid w:val="00D040DD"/>
    <w:rsid w:val="00D040ED"/>
    <w:rsid w:val="00D0411F"/>
    <w:rsid w:val="00D0412C"/>
    <w:rsid w:val="00D041D7"/>
    <w:rsid w:val="00D04224"/>
    <w:rsid w:val="00D0433F"/>
    <w:rsid w:val="00D04429"/>
    <w:rsid w:val="00D044E2"/>
    <w:rsid w:val="00D04535"/>
    <w:rsid w:val="00D04546"/>
    <w:rsid w:val="00D0456A"/>
    <w:rsid w:val="00D04590"/>
    <w:rsid w:val="00D045AA"/>
    <w:rsid w:val="00D04674"/>
    <w:rsid w:val="00D046F2"/>
    <w:rsid w:val="00D0472A"/>
    <w:rsid w:val="00D04793"/>
    <w:rsid w:val="00D047B3"/>
    <w:rsid w:val="00D048E0"/>
    <w:rsid w:val="00D04937"/>
    <w:rsid w:val="00D0497B"/>
    <w:rsid w:val="00D049F3"/>
    <w:rsid w:val="00D04ABB"/>
    <w:rsid w:val="00D04BB4"/>
    <w:rsid w:val="00D04C28"/>
    <w:rsid w:val="00D04D03"/>
    <w:rsid w:val="00D04D3C"/>
    <w:rsid w:val="00D04E03"/>
    <w:rsid w:val="00D04EED"/>
    <w:rsid w:val="00D050F8"/>
    <w:rsid w:val="00D051A9"/>
    <w:rsid w:val="00D051DF"/>
    <w:rsid w:val="00D0524C"/>
    <w:rsid w:val="00D0530A"/>
    <w:rsid w:val="00D0543E"/>
    <w:rsid w:val="00D054BC"/>
    <w:rsid w:val="00D05550"/>
    <w:rsid w:val="00D05591"/>
    <w:rsid w:val="00D05592"/>
    <w:rsid w:val="00D055BA"/>
    <w:rsid w:val="00D055F7"/>
    <w:rsid w:val="00D05753"/>
    <w:rsid w:val="00D0575D"/>
    <w:rsid w:val="00D05920"/>
    <w:rsid w:val="00D05979"/>
    <w:rsid w:val="00D05AF1"/>
    <w:rsid w:val="00D05CB1"/>
    <w:rsid w:val="00D05D03"/>
    <w:rsid w:val="00D05DC7"/>
    <w:rsid w:val="00D05E2B"/>
    <w:rsid w:val="00D05E71"/>
    <w:rsid w:val="00D05EA8"/>
    <w:rsid w:val="00D05EEB"/>
    <w:rsid w:val="00D05F26"/>
    <w:rsid w:val="00D05F54"/>
    <w:rsid w:val="00D05FDF"/>
    <w:rsid w:val="00D06084"/>
    <w:rsid w:val="00D060C4"/>
    <w:rsid w:val="00D06108"/>
    <w:rsid w:val="00D0615A"/>
    <w:rsid w:val="00D062BB"/>
    <w:rsid w:val="00D062CC"/>
    <w:rsid w:val="00D06418"/>
    <w:rsid w:val="00D06504"/>
    <w:rsid w:val="00D06527"/>
    <w:rsid w:val="00D0656B"/>
    <w:rsid w:val="00D065E0"/>
    <w:rsid w:val="00D065E2"/>
    <w:rsid w:val="00D0668F"/>
    <w:rsid w:val="00D0672C"/>
    <w:rsid w:val="00D0678C"/>
    <w:rsid w:val="00D06834"/>
    <w:rsid w:val="00D0684D"/>
    <w:rsid w:val="00D0696C"/>
    <w:rsid w:val="00D06999"/>
    <w:rsid w:val="00D06A03"/>
    <w:rsid w:val="00D06A09"/>
    <w:rsid w:val="00D06B25"/>
    <w:rsid w:val="00D06BDB"/>
    <w:rsid w:val="00D06C6E"/>
    <w:rsid w:val="00D06CF8"/>
    <w:rsid w:val="00D06E0B"/>
    <w:rsid w:val="00D06E2E"/>
    <w:rsid w:val="00D06FD1"/>
    <w:rsid w:val="00D07031"/>
    <w:rsid w:val="00D07041"/>
    <w:rsid w:val="00D070BB"/>
    <w:rsid w:val="00D070C4"/>
    <w:rsid w:val="00D0711F"/>
    <w:rsid w:val="00D0716D"/>
    <w:rsid w:val="00D0732C"/>
    <w:rsid w:val="00D073BD"/>
    <w:rsid w:val="00D07417"/>
    <w:rsid w:val="00D07558"/>
    <w:rsid w:val="00D076CD"/>
    <w:rsid w:val="00D076D2"/>
    <w:rsid w:val="00D077C8"/>
    <w:rsid w:val="00D07804"/>
    <w:rsid w:val="00D0786D"/>
    <w:rsid w:val="00D07886"/>
    <w:rsid w:val="00D07896"/>
    <w:rsid w:val="00D07952"/>
    <w:rsid w:val="00D079A6"/>
    <w:rsid w:val="00D07A88"/>
    <w:rsid w:val="00D07AE9"/>
    <w:rsid w:val="00D07AFF"/>
    <w:rsid w:val="00D07B02"/>
    <w:rsid w:val="00D07B26"/>
    <w:rsid w:val="00D07CB5"/>
    <w:rsid w:val="00D07D42"/>
    <w:rsid w:val="00D07EDB"/>
    <w:rsid w:val="00D07EDF"/>
    <w:rsid w:val="00D07F5D"/>
    <w:rsid w:val="00D07FA5"/>
    <w:rsid w:val="00D10048"/>
    <w:rsid w:val="00D1004E"/>
    <w:rsid w:val="00D100B8"/>
    <w:rsid w:val="00D10107"/>
    <w:rsid w:val="00D1018C"/>
    <w:rsid w:val="00D101BB"/>
    <w:rsid w:val="00D101F7"/>
    <w:rsid w:val="00D101FD"/>
    <w:rsid w:val="00D1020A"/>
    <w:rsid w:val="00D103B0"/>
    <w:rsid w:val="00D103E8"/>
    <w:rsid w:val="00D1042E"/>
    <w:rsid w:val="00D1047D"/>
    <w:rsid w:val="00D104EF"/>
    <w:rsid w:val="00D105C3"/>
    <w:rsid w:val="00D105E8"/>
    <w:rsid w:val="00D106DA"/>
    <w:rsid w:val="00D10776"/>
    <w:rsid w:val="00D107AA"/>
    <w:rsid w:val="00D107CF"/>
    <w:rsid w:val="00D1081A"/>
    <w:rsid w:val="00D1086F"/>
    <w:rsid w:val="00D10889"/>
    <w:rsid w:val="00D108F9"/>
    <w:rsid w:val="00D1097B"/>
    <w:rsid w:val="00D10993"/>
    <w:rsid w:val="00D109D0"/>
    <w:rsid w:val="00D109FA"/>
    <w:rsid w:val="00D10A06"/>
    <w:rsid w:val="00D10AB4"/>
    <w:rsid w:val="00D10AFA"/>
    <w:rsid w:val="00D10B8F"/>
    <w:rsid w:val="00D10C30"/>
    <w:rsid w:val="00D10D2A"/>
    <w:rsid w:val="00D10DAC"/>
    <w:rsid w:val="00D10DCF"/>
    <w:rsid w:val="00D10F46"/>
    <w:rsid w:val="00D10FD8"/>
    <w:rsid w:val="00D10FDF"/>
    <w:rsid w:val="00D11026"/>
    <w:rsid w:val="00D111CB"/>
    <w:rsid w:val="00D111D4"/>
    <w:rsid w:val="00D111F3"/>
    <w:rsid w:val="00D11230"/>
    <w:rsid w:val="00D11315"/>
    <w:rsid w:val="00D11318"/>
    <w:rsid w:val="00D1138F"/>
    <w:rsid w:val="00D113EE"/>
    <w:rsid w:val="00D1142B"/>
    <w:rsid w:val="00D11481"/>
    <w:rsid w:val="00D11517"/>
    <w:rsid w:val="00D11546"/>
    <w:rsid w:val="00D115D7"/>
    <w:rsid w:val="00D11666"/>
    <w:rsid w:val="00D11688"/>
    <w:rsid w:val="00D116C8"/>
    <w:rsid w:val="00D1174A"/>
    <w:rsid w:val="00D117A4"/>
    <w:rsid w:val="00D117B4"/>
    <w:rsid w:val="00D1197A"/>
    <w:rsid w:val="00D1197C"/>
    <w:rsid w:val="00D1197E"/>
    <w:rsid w:val="00D11A0E"/>
    <w:rsid w:val="00D11AD5"/>
    <w:rsid w:val="00D11C90"/>
    <w:rsid w:val="00D11CAD"/>
    <w:rsid w:val="00D11DD5"/>
    <w:rsid w:val="00D11ED4"/>
    <w:rsid w:val="00D11F40"/>
    <w:rsid w:val="00D11F84"/>
    <w:rsid w:val="00D12008"/>
    <w:rsid w:val="00D12055"/>
    <w:rsid w:val="00D12090"/>
    <w:rsid w:val="00D12161"/>
    <w:rsid w:val="00D121EA"/>
    <w:rsid w:val="00D12219"/>
    <w:rsid w:val="00D122AC"/>
    <w:rsid w:val="00D12314"/>
    <w:rsid w:val="00D123A5"/>
    <w:rsid w:val="00D123E7"/>
    <w:rsid w:val="00D1260F"/>
    <w:rsid w:val="00D12674"/>
    <w:rsid w:val="00D12763"/>
    <w:rsid w:val="00D12777"/>
    <w:rsid w:val="00D127F0"/>
    <w:rsid w:val="00D1287E"/>
    <w:rsid w:val="00D128EF"/>
    <w:rsid w:val="00D12907"/>
    <w:rsid w:val="00D129B7"/>
    <w:rsid w:val="00D12A2D"/>
    <w:rsid w:val="00D12A37"/>
    <w:rsid w:val="00D12AA4"/>
    <w:rsid w:val="00D12AC2"/>
    <w:rsid w:val="00D12B32"/>
    <w:rsid w:val="00D12B61"/>
    <w:rsid w:val="00D12BB3"/>
    <w:rsid w:val="00D12CD2"/>
    <w:rsid w:val="00D12D22"/>
    <w:rsid w:val="00D12E0D"/>
    <w:rsid w:val="00D12EB7"/>
    <w:rsid w:val="00D12F68"/>
    <w:rsid w:val="00D12F93"/>
    <w:rsid w:val="00D12F9C"/>
    <w:rsid w:val="00D13069"/>
    <w:rsid w:val="00D13088"/>
    <w:rsid w:val="00D13095"/>
    <w:rsid w:val="00D130A4"/>
    <w:rsid w:val="00D13169"/>
    <w:rsid w:val="00D1330B"/>
    <w:rsid w:val="00D1344D"/>
    <w:rsid w:val="00D1348B"/>
    <w:rsid w:val="00D1351C"/>
    <w:rsid w:val="00D1353A"/>
    <w:rsid w:val="00D13698"/>
    <w:rsid w:val="00D136CC"/>
    <w:rsid w:val="00D136D8"/>
    <w:rsid w:val="00D1374E"/>
    <w:rsid w:val="00D1384A"/>
    <w:rsid w:val="00D13850"/>
    <w:rsid w:val="00D1395A"/>
    <w:rsid w:val="00D13A13"/>
    <w:rsid w:val="00D13A5D"/>
    <w:rsid w:val="00D13ACD"/>
    <w:rsid w:val="00D13B2C"/>
    <w:rsid w:val="00D13BD5"/>
    <w:rsid w:val="00D13C4B"/>
    <w:rsid w:val="00D13C51"/>
    <w:rsid w:val="00D13F7F"/>
    <w:rsid w:val="00D13F9E"/>
    <w:rsid w:val="00D13FE4"/>
    <w:rsid w:val="00D14035"/>
    <w:rsid w:val="00D14084"/>
    <w:rsid w:val="00D14090"/>
    <w:rsid w:val="00D140A5"/>
    <w:rsid w:val="00D1416C"/>
    <w:rsid w:val="00D1419D"/>
    <w:rsid w:val="00D142A7"/>
    <w:rsid w:val="00D142D7"/>
    <w:rsid w:val="00D142DE"/>
    <w:rsid w:val="00D14458"/>
    <w:rsid w:val="00D144AF"/>
    <w:rsid w:val="00D144B4"/>
    <w:rsid w:val="00D1452F"/>
    <w:rsid w:val="00D14551"/>
    <w:rsid w:val="00D1458C"/>
    <w:rsid w:val="00D145B5"/>
    <w:rsid w:val="00D145F5"/>
    <w:rsid w:val="00D14648"/>
    <w:rsid w:val="00D1467D"/>
    <w:rsid w:val="00D1472D"/>
    <w:rsid w:val="00D1477F"/>
    <w:rsid w:val="00D147DC"/>
    <w:rsid w:val="00D14857"/>
    <w:rsid w:val="00D1488B"/>
    <w:rsid w:val="00D148BF"/>
    <w:rsid w:val="00D148C3"/>
    <w:rsid w:val="00D14911"/>
    <w:rsid w:val="00D14A85"/>
    <w:rsid w:val="00D14AAD"/>
    <w:rsid w:val="00D14B23"/>
    <w:rsid w:val="00D14B28"/>
    <w:rsid w:val="00D14B31"/>
    <w:rsid w:val="00D14BEF"/>
    <w:rsid w:val="00D14C9E"/>
    <w:rsid w:val="00D14CB4"/>
    <w:rsid w:val="00D14CC1"/>
    <w:rsid w:val="00D14D8D"/>
    <w:rsid w:val="00D14DCA"/>
    <w:rsid w:val="00D14F50"/>
    <w:rsid w:val="00D14F8D"/>
    <w:rsid w:val="00D15058"/>
    <w:rsid w:val="00D15198"/>
    <w:rsid w:val="00D151A3"/>
    <w:rsid w:val="00D15264"/>
    <w:rsid w:val="00D15266"/>
    <w:rsid w:val="00D1529E"/>
    <w:rsid w:val="00D1537B"/>
    <w:rsid w:val="00D15394"/>
    <w:rsid w:val="00D153C6"/>
    <w:rsid w:val="00D153CF"/>
    <w:rsid w:val="00D153E7"/>
    <w:rsid w:val="00D1548B"/>
    <w:rsid w:val="00D154AB"/>
    <w:rsid w:val="00D154C6"/>
    <w:rsid w:val="00D154D3"/>
    <w:rsid w:val="00D154F1"/>
    <w:rsid w:val="00D1552A"/>
    <w:rsid w:val="00D15532"/>
    <w:rsid w:val="00D15540"/>
    <w:rsid w:val="00D15545"/>
    <w:rsid w:val="00D15603"/>
    <w:rsid w:val="00D1569F"/>
    <w:rsid w:val="00D157ED"/>
    <w:rsid w:val="00D1581A"/>
    <w:rsid w:val="00D158EB"/>
    <w:rsid w:val="00D15A64"/>
    <w:rsid w:val="00D15AEC"/>
    <w:rsid w:val="00D15C47"/>
    <w:rsid w:val="00D15CAE"/>
    <w:rsid w:val="00D15CE0"/>
    <w:rsid w:val="00D15D06"/>
    <w:rsid w:val="00D15D0B"/>
    <w:rsid w:val="00D15D2D"/>
    <w:rsid w:val="00D15DC9"/>
    <w:rsid w:val="00D15E68"/>
    <w:rsid w:val="00D15F71"/>
    <w:rsid w:val="00D15F76"/>
    <w:rsid w:val="00D15FEA"/>
    <w:rsid w:val="00D160F1"/>
    <w:rsid w:val="00D161CB"/>
    <w:rsid w:val="00D16330"/>
    <w:rsid w:val="00D1643E"/>
    <w:rsid w:val="00D1644B"/>
    <w:rsid w:val="00D164C3"/>
    <w:rsid w:val="00D164E4"/>
    <w:rsid w:val="00D1650A"/>
    <w:rsid w:val="00D165E4"/>
    <w:rsid w:val="00D16633"/>
    <w:rsid w:val="00D166BF"/>
    <w:rsid w:val="00D166CF"/>
    <w:rsid w:val="00D1676F"/>
    <w:rsid w:val="00D16770"/>
    <w:rsid w:val="00D167B5"/>
    <w:rsid w:val="00D1699D"/>
    <w:rsid w:val="00D169E2"/>
    <w:rsid w:val="00D169E8"/>
    <w:rsid w:val="00D16A37"/>
    <w:rsid w:val="00D16A5A"/>
    <w:rsid w:val="00D16B05"/>
    <w:rsid w:val="00D16B0C"/>
    <w:rsid w:val="00D16B61"/>
    <w:rsid w:val="00D16C1A"/>
    <w:rsid w:val="00D16C1E"/>
    <w:rsid w:val="00D16CB5"/>
    <w:rsid w:val="00D16CD4"/>
    <w:rsid w:val="00D16DA8"/>
    <w:rsid w:val="00D16E50"/>
    <w:rsid w:val="00D16F53"/>
    <w:rsid w:val="00D17042"/>
    <w:rsid w:val="00D17099"/>
    <w:rsid w:val="00D170F0"/>
    <w:rsid w:val="00D1710E"/>
    <w:rsid w:val="00D1727B"/>
    <w:rsid w:val="00D172E3"/>
    <w:rsid w:val="00D173B2"/>
    <w:rsid w:val="00D17426"/>
    <w:rsid w:val="00D1747F"/>
    <w:rsid w:val="00D174F1"/>
    <w:rsid w:val="00D17558"/>
    <w:rsid w:val="00D175C7"/>
    <w:rsid w:val="00D17618"/>
    <w:rsid w:val="00D176EE"/>
    <w:rsid w:val="00D17781"/>
    <w:rsid w:val="00D17840"/>
    <w:rsid w:val="00D178C7"/>
    <w:rsid w:val="00D1797F"/>
    <w:rsid w:val="00D1798B"/>
    <w:rsid w:val="00D17A82"/>
    <w:rsid w:val="00D17B0F"/>
    <w:rsid w:val="00D17B5C"/>
    <w:rsid w:val="00D17B80"/>
    <w:rsid w:val="00D17BAA"/>
    <w:rsid w:val="00D17BFC"/>
    <w:rsid w:val="00D17C20"/>
    <w:rsid w:val="00D17C86"/>
    <w:rsid w:val="00D17D35"/>
    <w:rsid w:val="00D17DCA"/>
    <w:rsid w:val="00D17DCB"/>
    <w:rsid w:val="00D17DEB"/>
    <w:rsid w:val="00D17DEC"/>
    <w:rsid w:val="00D17E43"/>
    <w:rsid w:val="00D17E94"/>
    <w:rsid w:val="00D17EF5"/>
    <w:rsid w:val="00D17F3C"/>
    <w:rsid w:val="00D20022"/>
    <w:rsid w:val="00D2002E"/>
    <w:rsid w:val="00D200BE"/>
    <w:rsid w:val="00D2020C"/>
    <w:rsid w:val="00D202CA"/>
    <w:rsid w:val="00D202DA"/>
    <w:rsid w:val="00D20334"/>
    <w:rsid w:val="00D20371"/>
    <w:rsid w:val="00D203A6"/>
    <w:rsid w:val="00D203AA"/>
    <w:rsid w:val="00D2045A"/>
    <w:rsid w:val="00D20502"/>
    <w:rsid w:val="00D2056B"/>
    <w:rsid w:val="00D205D5"/>
    <w:rsid w:val="00D20668"/>
    <w:rsid w:val="00D20672"/>
    <w:rsid w:val="00D20698"/>
    <w:rsid w:val="00D20765"/>
    <w:rsid w:val="00D207B0"/>
    <w:rsid w:val="00D20832"/>
    <w:rsid w:val="00D2084C"/>
    <w:rsid w:val="00D20873"/>
    <w:rsid w:val="00D208E4"/>
    <w:rsid w:val="00D208F7"/>
    <w:rsid w:val="00D20920"/>
    <w:rsid w:val="00D20A00"/>
    <w:rsid w:val="00D20A9E"/>
    <w:rsid w:val="00D20BA7"/>
    <w:rsid w:val="00D20BFF"/>
    <w:rsid w:val="00D20C08"/>
    <w:rsid w:val="00D20C37"/>
    <w:rsid w:val="00D20C79"/>
    <w:rsid w:val="00D20CAE"/>
    <w:rsid w:val="00D20D47"/>
    <w:rsid w:val="00D20D86"/>
    <w:rsid w:val="00D20E00"/>
    <w:rsid w:val="00D20F53"/>
    <w:rsid w:val="00D21028"/>
    <w:rsid w:val="00D2108D"/>
    <w:rsid w:val="00D210A7"/>
    <w:rsid w:val="00D21133"/>
    <w:rsid w:val="00D21140"/>
    <w:rsid w:val="00D21184"/>
    <w:rsid w:val="00D211BE"/>
    <w:rsid w:val="00D21232"/>
    <w:rsid w:val="00D21296"/>
    <w:rsid w:val="00D212FA"/>
    <w:rsid w:val="00D2139C"/>
    <w:rsid w:val="00D213BC"/>
    <w:rsid w:val="00D2143A"/>
    <w:rsid w:val="00D21479"/>
    <w:rsid w:val="00D214E8"/>
    <w:rsid w:val="00D2156C"/>
    <w:rsid w:val="00D21653"/>
    <w:rsid w:val="00D2172F"/>
    <w:rsid w:val="00D2185A"/>
    <w:rsid w:val="00D2187C"/>
    <w:rsid w:val="00D21897"/>
    <w:rsid w:val="00D21A58"/>
    <w:rsid w:val="00D21AD5"/>
    <w:rsid w:val="00D21B6E"/>
    <w:rsid w:val="00D21BEB"/>
    <w:rsid w:val="00D21D2C"/>
    <w:rsid w:val="00D21D80"/>
    <w:rsid w:val="00D21DB0"/>
    <w:rsid w:val="00D21E55"/>
    <w:rsid w:val="00D21E7B"/>
    <w:rsid w:val="00D21FB9"/>
    <w:rsid w:val="00D2207B"/>
    <w:rsid w:val="00D2208A"/>
    <w:rsid w:val="00D2208F"/>
    <w:rsid w:val="00D220F4"/>
    <w:rsid w:val="00D22191"/>
    <w:rsid w:val="00D2226B"/>
    <w:rsid w:val="00D222A9"/>
    <w:rsid w:val="00D22314"/>
    <w:rsid w:val="00D223B6"/>
    <w:rsid w:val="00D224C4"/>
    <w:rsid w:val="00D224FB"/>
    <w:rsid w:val="00D2252E"/>
    <w:rsid w:val="00D2258F"/>
    <w:rsid w:val="00D22787"/>
    <w:rsid w:val="00D2279E"/>
    <w:rsid w:val="00D227B9"/>
    <w:rsid w:val="00D227EE"/>
    <w:rsid w:val="00D22835"/>
    <w:rsid w:val="00D228D1"/>
    <w:rsid w:val="00D2290A"/>
    <w:rsid w:val="00D22A2C"/>
    <w:rsid w:val="00D22A3B"/>
    <w:rsid w:val="00D22A9B"/>
    <w:rsid w:val="00D22AC1"/>
    <w:rsid w:val="00D22AC8"/>
    <w:rsid w:val="00D22B7B"/>
    <w:rsid w:val="00D22B88"/>
    <w:rsid w:val="00D22C43"/>
    <w:rsid w:val="00D22C65"/>
    <w:rsid w:val="00D22C82"/>
    <w:rsid w:val="00D22CA2"/>
    <w:rsid w:val="00D22E60"/>
    <w:rsid w:val="00D22E9B"/>
    <w:rsid w:val="00D22EB7"/>
    <w:rsid w:val="00D22EBF"/>
    <w:rsid w:val="00D22F33"/>
    <w:rsid w:val="00D22F6F"/>
    <w:rsid w:val="00D22FE4"/>
    <w:rsid w:val="00D23006"/>
    <w:rsid w:val="00D23013"/>
    <w:rsid w:val="00D2302C"/>
    <w:rsid w:val="00D23045"/>
    <w:rsid w:val="00D2305A"/>
    <w:rsid w:val="00D230A1"/>
    <w:rsid w:val="00D2313C"/>
    <w:rsid w:val="00D23183"/>
    <w:rsid w:val="00D23229"/>
    <w:rsid w:val="00D2323E"/>
    <w:rsid w:val="00D23363"/>
    <w:rsid w:val="00D2342B"/>
    <w:rsid w:val="00D23483"/>
    <w:rsid w:val="00D2353E"/>
    <w:rsid w:val="00D23686"/>
    <w:rsid w:val="00D236BE"/>
    <w:rsid w:val="00D23728"/>
    <w:rsid w:val="00D23790"/>
    <w:rsid w:val="00D237B8"/>
    <w:rsid w:val="00D238C1"/>
    <w:rsid w:val="00D238CE"/>
    <w:rsid w:val="00D23982"/>
    <w:rsid w:val="00D23AC0"/>
    <w:rsid w:val="00D23BA0"/>
    <w:rsid w:val="00D23BD1"/>
    <w:rsid w:val="00D23C17"/>
    <w:rsid w:val="00D23D69"/>
    <w:rsid w:val="00D23DCE"/>
    <w:rsid w:val="00D23E60"/>
    <w:rsid w:val="00D23E74"/>
    <w:rsid w:val="00D23F65"/>
    <w:rsid w:val="00D23FCB"/>
    <w:rsid w:val="00D24047"/>
    <w:rsid w:val="00D24069"/>
    <w:rsid w:val="00D24097"/>
    <w:rsid w:val="00D241AC"/>
    <w:rsid w:val="00D24210"/>
    <w:rsid w:val="00D2430B"/>
    <w:rsid w:val="00D2439E"/>
    <w:rsid w:val="00D244A2"/>
    <w:rsid w:val="00D24514"/>
    <w:rsid w:val="00D24587"/>
    <w:rsid w:val="00D245D4"/>
    <w:rsid w:val="00D246BE"/>
    <w:rsid w:val="00D246FE"/>
    <w:rsid w:val="00D24711"/>
    <w:rsid w:val="00D2484A"/>
    <w:rsid w:val="00D24876"/>
    <w:rsid w:val="00D2494A"/>
    <w:rsid w:val="00D24967"/>
    <w:rsid w:val="00D24970"/>
    <w:rsid w:val="00D24AAD"/>
    <w:rsid w:val="00D24B71"/>
    <w:rsid w:val="00D24BD4"/>
    <w:rsid w:val="00D24D59"/>
    <w:rsid w:val="00D24E93"/>
    <w:rsid w:val="00D24FCF"/>
    <w:rsid w:val="00D24FF1"/>
    <w:rsid w:val="00D251C4"/>
    <w:rsid w:val="00D251E7"/>
    <w:rsid w:val="00D25202"/>
    <w:rsid w:val="00D252FD"/>
    <w:rsid w:val="00D25340"/>
    <w:rsid w:val="00D253AA"/>
    <w:rsid w:val="00D253D1"/>
    <w:rsid w:val="00D253E2"/>
    <w:rsid w:val="00D254CB"/>
    <w:rsid w:val="00D2555E"/>
    <w:rsid w:val="00D255FA"/>
    <w:rsid w:val="00D25714"/>
    <w:rsid w:val="00D2573D"/>
    <w:rsid w:val="00D25752"/>
    <w:rsid w:val="00D25981"/>
    <w:rsid w:val="00D25A2D"/>
    <w:rsid w:val="00D25A2E"/>
    <w:rsid w:val="00D25AA2"/>
    <w:rsid w:val="00D25B68"/>
    <w:rsid w:val="00D25C2B"/>
    <w:rsid w:val="00D25CAF"/>
    <w:rsid w:val="00D25D13"/>
    <w:rsid w:val="00D25D36"/>
    <w:rsid w:val="00D25D56"/>
    <w:rsid w:val="00D25DC2"/>
    <w:rsid w:val="00D25EC0"/>
    <w:rsid w:val="00D25EF2"/>
    <w:rsid w:val="00D25F7D"/>
    <w:rsid w:val="00D25FBC"/>
    <w:rsid w:val="00D25FFE"/>
    <w:rsid w:val="00D26024"/>
    <w:rsid w:val="00D2607F"/>
    <w:rsid w:val="00D260FE"/>
    <w:rsid w:val="00D2611E"/>
    <w:rsid w:val="00D261F7"/>
    <w:rsid w:val="00D26260"/>
    <w:rsid w:val="00D262D9"/>
    <w:rsid w:val="00D2634F"/>
    <w:rsid w:val="00D2648E"/>
    <w:rsid w:val="00D264B5"/>
    <w:rsid w:val="00D26578"/>
    <w:rsid w:val="00D265C1"/>
    <w:rsid w:val="00D26610"/>
    <w:rsid w:val="00D2667C"/>
    <w:rsid w:val="00D266BD"/>
    <w:rsid w:val="00D266FF"/>
    <w:rsid w:val="00D2676F"/>
    <w:rsid w:val="00D26780"/>
    <w:rsid w:val="00D267F8"/>
    <w:rsid w:val="00D2682C"/>
    <w:rsid w:val="00D26960"/>
    <w:rsid w:val="00D269BE"/>
    <w:rsid w:val="00D26A83"/>
    <w:rsid w:val="00D26BD5"/>
    <w:rsid w:val="00D26BF6"/>
    <w:rsid w:val="00D26BFC"/>
    <w:rsid w:val="00D26C61"/>
    <w:rsid w:val="00D26C9D"/>
    <w:rsid w:val="00D26D2F"/>
    <w:rsid w:val="00D26DA3"/>
    <w:rsid w:val="00D26DBB"/>
    <w:rsid w:val="00D26EAE"/>
    <w:rsid w:val="00D27083"/>
    <w:rsid w:val="00D27134"/>
    <w:rsid w:val="00D27195"/>
    <w:rsid w:val="00D2720A"/>
    <w:rsid w:val="00D27225"/>
    <w:rsid w:val="00D272B7"/>
    <w:rsid w:val="00D272EF"/>
    <w:rsid w:val="00D273B0"/>
    <w:rsid w:val="00D273F0"/>
    <w:rsid w:val="00D27486"/>
    <w:rsid w:val="00D274CD"/>
    <w:rsid w:val="00D2759F"/>
    <w:rsid w:val="00D275F6"/>
    <w:rsid w:val="00D276B6"/>
    <w:rsid w:val="00D27726"/>
    <w:rsid w:val="00D27758"/>
    <w:rsid w:val="00D27897"/>
    <w:rsid w:val="00D278B3"/>
    <w:rsid w:val="00D2797B"/>
    <w:rsid w:val="00D2798C"/>
    <w:rsid w:val="00D279A6"/>
    <w:rsid w:val="00D27A48"/>
    <w:rsid w:val="00D27B65"/>
    <w:rsid w:val="00D27BD7"/>
    <w:rsid w:val="00D27C4A"/>
    <w:rsid w:val="00D27C71"/>
    <w:rsid w:val="00D27D54"/>
    <w:rsid w:val="00D27D8F"/>
    <w:rsid w:val="00D27D91"/>
    <w:rsid w:val="00D27F39"/>
    <w:rsid w:val="00D27F44"/>
    <w:rsid w:val="00D27F64"/>
    <w:rsid w:val="00D27F80"/>
    <w:rsid w:val="00D27FFC"/>
    <w:rsid w:val="00D30014"/>
    <w:rsid w:val="00D300E9"/>
    <w:rsid w:val="00D302DC"/>
    <w:rsid w:val="00D30348"/>
    <w:rsid w:val="00D30408"/>
    <w:rsid w:val="00D304ED"/>
    <w:rsid w:val="00D30524"/>
    <w:rsid w:val="00D30525"/>
    <w:rsid w:val="00D30564"/>
    <w:rsid w:val="00D305B8"/>
    <w:rsid w:val="00D305F8"/>
    <w:rsid w:val="00D30621"/>
    <w:rsid w:val="00D307FA"/>
    <w:rsid w:val="00D3087F"/>
    <w:rsid w:val="00D30898"/>
    <w:rsid w:val="00D3090B"/>
    <w:rsid w:val="00D30A28"/>
    <w:rsid w:val="00D30A2B"/>
    <w:rsid w:val="00D30A42"/>
    <w:rsid w:val="00D30A44"/>
    <w:rsid w:val="00D30A73"/>
    <w:rsid w:val="00D30AAE"/>
    <w:rsid w:val="00D30B26"/>
    <w:rsid w:val="00D30C09"/>
    <w:rsid w:val="00D30CAF"/>
    <w:rsid w:val="00D30D34"/>
    <w:rsid w:val="00D30D69"/>
    <w:rsid w:val="00D30D77"/>
    <w:rsid w:val="00D30D94"/>
    <w:rsid w:val="00D30DE8"/>
    <w:rsid w:val="00D30DFC"/>
    <w:rsid w:val="00D30E2E"/>
    <w:rsid w:val="00D30F11"/>
    <w:rsid w:val="00D30F62"/>
    <w:rsid w:val="00D30F7B"/>
    <w:rsid w:val="00D30FAA"/>
    <w:rsid w:val="00D31002"/>
    <w:rsid w:val="00D31062"/>
    <w:rsid w:val="00D31085"/>
    <w:rsid w:val="00D31088"/>
    <w:rsid w:val="00D310D7"/>
    <w:rsid w:val="00D3112E"/>
    <w:rsid w:val="00D3118C"/>
    <w:rsid w:val="00D311C5"/>
    <w:rsid w:val="00D3123E"/>
    <w:rsid w:val="00D3128A"/>
    <w:rsid w:val="00D312C3"/>
    <w:rsid w:val="00D3135C"/>
    <w:rsid w:val="00D31384"/>
    <w:rsid w:val="00D313C4"/>
    <w:rsid w:val="00D31417"/>
    <w:rsid w:val="00D31427"/>
    <w:rsid w:val="00D31428"/>
    <w:rsid w:val="00D31510"/>
    <w:rsid w:val="00D31567"/>
    <w:rsid w:val="00D3156F"/>
    <w:rsid w:val="00D315DE"/>
    <w:rsid w:val="00D31685"/>
    <w:rsid w:val="00D316A1"/>
    <w:rsid w:val="00D316A5"/>
    <w:rsid w:val="00D316D0"/>
    <w:rsid w:val="00D31758"/>
    <w:rsid w:val="00D3185C"/>
    <w:rsid w:val="00D3186F"/>
    <w:rsid w:val="00D31957"/>
    <w:rsid w:val="00D319BB"/>
    <w:rsid w:val="00D319F9"/>
    <w:rsid w:val="00D31A85"/>
    <w:rsid w:val="00D31B16"/>
    <w:rsid w:val="00D31B42"/>
    <w:rsid w:val="00D31BED"/>
    <w:rsid w:val="00D31C05"/>
    <w:rsid w:val="00D31CB7"/>
    <w:rsid w:val="00D31E5D"/>
    <w:rsid w:val="00D31F0D"/>
    <w:rsid w:val="00D32045"/>
    <w:rsid w:val="00D32166"/>
    <w:rsid w:val="00D321F8"/>
    <w:rsid w:val="00D321F9"/>
    <w:rsid w:val="00D32215"/>
    <w:rsid w:val="00D32245"/>
    <w:rsid w:val="00D3226F"/>
    <w:rsid w:val="00D32282"/>
    <w:rsid w:val="00D323CB"/>
    <w:rsid w:val="00D32526"/>
    <w:rsid w:val="00D32566"/>
    <w:rsid w:val="00D32616"/>
    <w:rsid w:val="00D32677"/>
    <w:rsid w:val="00D326C9"/>
    <w:rsid w:val="00D326F1"/>
    <w:rsid w:val="00D32708"/>
    <w:rsid w:val="00D3270C"/>
    <w:rsid w:val="00D32759"/>
    <w:rsid w:val="00D327FD"/>
    <w:rsid w:val="00D32806"/>
    <w:rsid w:val="00D3285B"/>
    <w:rsid w:val="00D329B4"/>
    <w:rsid w:val="00D329F1"/>
    <w:rsid w:val="00D32AD3"/>
    <w:rsid w:val="00D32B5E"/>
    <w:rsid w:val="00D32BBC"/>
    <w:rsid w:val="00D32C35"/>
    <w:rsid w:val="00D32C81"/>
    <w:rsid w:val="00D32CC1"/>
    <w:rsid w:val="00D32D05"/>
    <w:rsid w:val="00D32DD9"/>
    <w:rsid w:val="00D32DF9"/>
    <w:rsid w:val="00D32EED"/>
    <w:rsid w:val="00D32F9E"/>
    <w:rsid w:val="00D32FF1"/>
    <w:rsid w:val="00D33011"/>
    <w:rsid w:val="00D33067"/>
    <w:rsid w:val="00D3307D"/>
    <w:rsid w:val="00D330A7"/>
    <w:rsid w:val="00D331D3"/>
    <w:rsid w:val="00D33245"/>
    <w:rsid w:val="00D33289"/>
    <w:rsid w:val="00D332AB"/>
    <w:rsid w:val="00D33301"/>
    <w:rsid w:val="00D333F8"/>
    <w:rsid w:val="00D33463"/>
    <w:rsid w:val="00D33590"/>
    <w:rsid w:val="00D33597"/>
    <w:rsid w:val="00D335F8"/>
    <w:rsid w:val="00D336C4"/>
    <w:rsid w:val="00D33715"/>
    <w:rsid w:val="00D33883"/>
    <w:rsid w:val="00D338B4"/>
    <w:rsid w:val="00D338B8"/>
    <w:rsid w:val="00D338BE"/>
    <w:rsid w:val="00D338C1"/>
    <w:rsid w:val="00D339FD"/>
    <w:rsid w:val="00D33A4B"/>
    <w:rsid w:val="00D33A99"/>
    <w:rsid w:val="00D33AD7"/>
    <w:rsid w:val="00D33B24"/>
    <w:rsid w:val="00D33C4C"/>
    <w:rsid w:val="00D33D6F"/>
    <w:rsid w:val="00D33DBD"/>
    <w:rsid w:val="00D33DF8"/>
    <w:rsid w:val="00D33E68"/>
    <w:rsid w:val="00D33E6B"/>
    <w:rsid w:val="00D33EF7"/>
    <w:rsid w:val="00D33EF9"/>
    <w:rsid w:val="00D33F88"/>
    <w:rsid w:val="00D341DD"/>
    <w:rsid w:val="00D341F6"/>
    <w:rsid w:val="00D3420A"/>
    <w:rsid w:val="00D3425B"/>
    <w:rsid w:val="00D3428D"/>
    <w:rsid w:val="00D342E7"/>
    <w:rsid w:val="00D34329"/>
    <w:rsid w:val="00D3439B"/>
    <w:rsid w:val="00D3439E"/>
    <w:rsid w:val="00D343F1"/>
    <w:rsid w:val="00D34481"/>
    <w:rsid w:val="00D344FF"/>
    <w:rsid w:val="00D34512"/>
    <w:rsid w:val="00D34583"/>
    <w:rsid w:val="00D345A0"/>
    <w:rsid w:val="00D346D8"/>
    <w:rsid w:val="00D3476A"/>
    <w:rsid w:val="00D347B7"/>
    <w:rsid w:val="00D3482B"/>
    <w:rsid w:val="00D3485D"/>
    <w:rsid w:val="00D3498B"/>
    <w:rsid w:val="00D34AF2"/>
    <w:rsid w:val="00D34B5F"/>
    <w:rsid w:val="00D34BA5"/>
    <w:rsid w:val="00D34C38"/>
    <w:rsid w:val="00D34C87"/>
    <w:rsid w:val="00D34D20"/>
    <w:rsid w:val="00D34D3B"/>
    <w:rsid w:val="00D34D4A"/>
    <w:rsid w:val="00D34D7D"/>
    <w:rsid w:val="00D34D98"/>
    <w:rsid w:val="00D34DD9"/>
    <w:rsid w:val="00D34E21"/>
    <w:rsid w:val="00D34E4A"/>
    <w:rsid w:val="00D34EBA"/>
    <w:rsid w:val="00D34EC5"/>
    <w:rsid w:val="00D34F82"/>
    <w:rsid w:val="00D34FBE"/>
    <w:rsid w:val="00D34FE3"/>
    <w:rsid w:val="00D35042"/>
    <w:rsid w:val="00D35069"/>
    <w:rsid w:val="00D35085"/>
    <w:rsid w:val="00D35090"/>
    <w:rsid w:val="00D3511C"/>
    <w:rsid w:val="00D35168"/>
    <w:rsid w:val="00D3532C"/>
    <w:rsid w:val="00D35424"/>
    <w:rsid w:val="00D354C1"/>
    <w:rsid w:val="00D354FE"/>
    <w:rsid w:val="00D355A7"/>
    <w:rsid w:val="00D355CB"/>
    <w:rsid w:val="00D355F0"/>
    <w:rsid w:val="00D3560F"/>
    <w:rsid w:val="00D35656"/>
    <w:rsid w:val="00D3566D"/>
    <w:rsid w:val="00D35697"/>
    <w:rsid w:val="00D3578D"/>
    <w:rsid w:val="00D35791"/>
    <w:rsid w:val="00D35798"/>
    <w:rsid w:val="00D357B1"/>
    <w:rsid w:val="00D3586C"/>
    <w:rsid w:val="00D3589E"/>
    <w:rsid w:val="00D358B4"/>
    <w:rsid w:val="00D35924"/>
    <w:rsid w:val="00D3595E"/>
    <w:rsid w:val="00D35AE9"/>
    <w:rsid w:val="00D35AFA"/>
    <w:rsid w:val="00D35BD3"/>
    <w:rsid w:val="00D35C0E"/>
    <w:rsid w:val="00D35C43"/>
    <w:rsid w:val="00D35C6F"/>
    <w:rsid w:val="00D35CD7"/>
    <w:rsid w:val="00D35D1F"/>
    <w:rsid w:val="00D35D21"/>
    <w:rsid w:val="00D35F2F"/>
    <w:rsid w:val="00D35F34"/>
    <w:rsid w:val="00D35F86"/>
    <w:rsid w:val="00D3605F"/>
    <w:rsid w:val="00D360A3"/>
    <w:rsid w:val="00D360AC"/>
    <w:rsid w:val="00D360DD"/>
    <w:rsid w:val="00D36127"/>
    <w:rsid w:val="00D361CB"/>
    <w:rsid w:val="00D361D1"/>
    <w:rsid w:val="00D3630A"/>
    <w:rsid w:val="00D3630F"/>
    <w:rsid w:val="00D3631D"/>
    <w:rsid w:val="00D364CA"/>
    <w:rsid w:val="00D36526"/>
    <w:rsid w:val="00D366B6"/>
    <w:rsid w:val="00D3692D"/>
    <w:rsid w:val="00D36947"/>
    <w:rsid w:val="00D3695B"/>
    <w:rsid w:val="00D369CE"/>
    <w:rsid w:val="00D36A0A"/>
    <w:rsid w:val="00D36C02"/>
    <w:rsid w:val="00D36C3B"/>
    <w:rsid w:val="00D36C3D"/>
    <w:rsid w:val="00D36D5D"/>
    <w:rsid w:val="00D36D69"/>
    <w:rsid w:val="00D36D77"/>
    <w:rsid w:val="00D36DF0"/>
    <w:rsid w:val="00D36DF4"/>
    <w:rsid w:val="00D36E3F"/>
    <w:rsid w:val="00D36EBA"/>
    <w:rsid w:val="00D36EEA"/>
    <w:rsid w:val="00D37010"/>
    <w:rsid w:val="00D370C3"/>
    <w:rsid w:val="00D37208"/>
    <w:rsid w:val="00D372B5"/>
    <w:rsid w:val="00D372BD"/>
    <w:rsid w:val="00D372EA"/>
    <w:rsid w:val="00D372F7"/>
    <w:rsid w:val="00D373A1"/>
    <w:rsid w:val="00D37422"/>
    <w:rsid w:val="00D37590"/>
    <w:rsid w:val="00D377C9"/>
    <w:rsid w:val="00D37812"/>
    <w:rsid w:val="00D37840"/>
    <w:rsid w:val="00D379C6"/>
    <w:rsid w:val="00D37A40"/>
    <w:rsid w:val="00D37A94"/>
    <w:rsid w:val="00D37AB5"/>
    <w:rsid w:val="00D37B32"/>
    <w:rsid w:val="00D37B8C"/>
    <w:rsid w:val="00D37BC0"/>
    <w:rsid w:val="00D37D84"/>
    <w:rsid w:val="00D37D9E"/>
    <w:rsid w:val="00D37E4C"/>
    <w:rsid w:val="00D37E90"/>
    <w:rsid w:val="00D37F0A"/>
    <w:rsid w:val="00D37F61"/>
    <w:rsid w:val="00D400E7"/>
    <w:rsid w:val="00D40106"/>
    <w:rsid w:val="00D4011B"/>
    <w:rsid w:val="00D401E9"/>
    <w:rsid w:val="00D40278"/>
    <w:rsid w:val="00D4029B"/>
    <w:rsid w:val="00D40313"/>
    <w:rsid w:val="00D40320"/>
    <w:rsid w:val="00D40411"/>
    <w:rsid w:val="00D40480"/>
    <w:rsid w:val="00D40483"/>
    <w:rsid w:val="00D404A7"/>
    <w:rsid w:val="00D40510"/>
    <w:rsid w:val="00D405A4"/>
    <w:rsid w:val="00D405E9"/>
    <w:rsid w:val="00D40703"/>
    <w:rsid w:val="00D4073E"/>
    <w:rsid w:val="00D407E5"/>
    <w:rsid w:val="00D4081C"/>
    <w:rsid w:val="00D40900"/>
    <w:rsid w:val="00D40962"/>
    <w:rsid w:val="00D40994"/>
    <w:rsid w:val="00D40A20"/>
    <w:rsid w:val="00D40A29"/>
    <w:rsid w:val="00D40A35"/>
    <w:rsid w:val="00D40A45"/>
    <w:rsid w:val="00D40A69"/>
    <w:rsid w:val="00D40A7C"/>
    <w:rsid w:val="00D40A83"/>
    <w:rsid w:val="00D40B17"/>
    <w:rsid w:val="00D40BD3"/>
    <w:rsid w:val="00D40C5C"/>
    <w:rsid w:val="00D40C6D"/>
    <w:rsid w:val="00D40CAE"/>
    <w:rsid w:val="00D40CC5"/>
    <w:rsid w:val="00D40D00"/>
    <w:rsid w:val="00D40D28"/>
    <w:rsid w:val="00D40D4C"/>
    <w:rsid w:val="00D40D69"/>
    <w:rsid w:val="00D41049"/>
    <w:rsid w:val="00D41069"/>
    <w:rsid w:val="00D41157"/>
    <w:rsid w:val="00D4123A"/>
    <w:rsid w:val="00D412AD"/>
    <w:rsid w:val="00D412BB"/>
    <w:rsid w:val="00D41323"/>
    <w:rsid w:val="00D41340"/>
    <w:rsid w:val="00D4140A"/>
    <w:rsid w:val="00D4143D"/>
    <w:rsid w:val="00D4143F"/>
    <w:rsid w:val="00D41446"/>
    <w:rsid w:val="00D41459"/>
    <w:rsid w:val="00D4146D"/>
    <w:rsid w:val="00D4148B"/>
    <w:rsid w:val="00D414D0"/>
    <w:rsid w:val="00D414FE"/>
    <w:rsid w:val="00D41576"/>
    <w:rsid w:val="00D415A0"/>
    <w:rsid w:val="00D415ED"/>
    <w:rsid w:val="00D41633"/>
    <w:rsid w:val="00D416CE"/>
    <w:rsid w:val="00D41728"/>
    <w:rsid w:val="00D4180C"/>
    <w:rsid w:val="00D41875"/>
    <w:rsid w:val="00D41887"/>
    <w:rsid w:val="00D41889"/>
    <w:rsid w:val="00D418A2"/>
    <w:rsid w:val="00D418BF"/>
    <w:rsid w:val="00D418FC"/>
    <w:rsid w:val="00D41A0C"/>
    <w:rsid w:val="00D41A53"/>
    <w:rsid w:val="00D41AB8"/>
    <w:rsid w:val="00D41ADF"/>
    <w:rsid w:val="00D41B4C"/>
    <w:rsid w:val="00D41BEB"/>
    <w:rsid w:val="00D41C68"/>
    <w:rsid w:val="00D41CB9"/>
    <w:rsid w:val="00D41D53"/>
    <w:rsid w:val="00D41DDC"/>
    <w:rsid w:val="00D41E18"/>
    <w:rsid w:val="00D41E5D"/>
    <w:rsid w:val="00D41F68"/>
    <w:rsid w:val="00D4206B"/>
    <w:rsid w:val="00D420E5"/>
    <w:rsid w:val="00D42143"/>
    <w:rsid w:val="00D4217A"/>
    <w:rsid w:val="00D42181"/>
    <w:rsid w:val="00D421B4"/>
    <w:rsid w:val="00D421F9"/>
    <w:rsid w:val="00D4232E"/>
    <w:rsid w:val="00D423BD"/>
    <w:rsid w:val="00D423F5"/>
    <w:rsid w:val="00D42407"/>
    <w:rsid w:val="00D4240F"/>
    <w:rsid w:val="00D42441"/>
    <w:rsid w:val="00D424A8"/>
    <w:rsid w:val="00D42595"/>
    <w:rsid w:val="00D425D8"/>
    <w:rsid w:val="00D42644"/>
    <w:rsid w:val="00D42721"/>
    <w:rsid w:val="00D4283D"/>
    <w:rsid w:val="00D4286E"/>
    <w:rsid w:val="00D4287E"/>
    <w:rsid w:val="00D428C3"/>
    <w:rsid w:val="00D4297D"/>
    <w:rsid w:val="00D429AA"/>
    <w:rsid w:val="00D42A28"/>
    <w:rsid w:val="00D42A69"/>
    <w:rsid w:val="00D42AE6"/>
    <w:rsid w:val="00D42BFA"/>
    <w:rsid w:val="00D42C36"/>
    <w:rsid w:val="00D42C4B"/>
    <w:rsid w:val="00D42CCA"/>
    <w:rsid w:val="00D42D44"/>
    <w:rsid w:val="00D42DF0"/>
    <w:rsid w:val="00D42E21"/>
    <w:rsid w:val="00D42EB3"/>
    <w:rsid w:val="00D42EB9"/>
    <w:rsid w:val="00D42ED7"/>
    <w:rsid w:val="00D42EE1"/>
    <w:rsid w:val="00D42EE3"/>
    <w:rsid w:val="00D42EFC"/>
    <w:rsid w:val="00D42F3F"/>
    <w:rsid w:val="00D42F44"/>
    <w:rsid w:val="00D42F69"/>
    <w:rsid w:val="00D430AD"/>
    <w:rsid w:val="00D43136"/>
    <w:rsid w:val="00D43137"/>
    <w:rsid w:val="00D431A8"/>
    <w:rsid w:val="00D432B6"/>
    <w:rsid w:val="00D43317"/>
    <w:rsid w:val="00D4334F"/>
    <w:rsid w:val="00D43364"/>
    <w:rsid w:val="00D433EE"/>
    <w:rsid w:val="00D43459"/>
    <w:rsid w:val="00D434D9"/>
    <w:rsid w:val="00D434DB"/>
    <w:rsid w:val="00D434ED"/>
    <w:rsid w:val="00D4352D"/>
    <w:rsid w:val="00D435CD"/>
    <w:rsid w:val="00D436A0"/>
    <w:rsid w:val="00D436D0"/>
    <w:rsid w:val="00D437E0"/>
    <w:rsid w:val="00D438F5"/>
    <w:rsid w:val="00D43940"/>
    <w:rsid w:val="00D43A7B"/>
    <w:rsid w:val="00D43AC5"/>
    <w:rsid w:val="00D43AC8"/>
    <w:rsid w:val="00D43AE2"/>
    <w:rsid w:val="00D43B41"/>
    <w:rsid w:val="00D43D1C"/>
    <w:rsid w:val="00D43D3B"/>
    <w:rsid w:val="00D43DA4"/>
    <w:rsid w:val="00D43E17"/>
    <w:rsid w:val="00D43E45"/>
    <w:rsid w:val="00D43EAB"/>
    <w:rsid w:val="00D43F3A"/>
    <w:rsid w:val="00D43FBD"/>
    <w:rsid w:val="00D4403F"/>
    <w:rsid w:val="00D4404A"/>
    <w:rsid w:val="00D44059"/>
    <w:rsid w:val="00D44179"/>
    <w:rsid w:val="00D44214"/>
    <w:rsid w:val="00D44232"/>
    <w:rsid w:val="00D4432A"/>
    <w:rsid w:val="00D4436C"/>
    <w:rsid w:val="00D443BB"/>
    <w:rsid w:val="00D4447D"/>
    <w:rsid w:val="00D444B3"/>
    <w:rsid w:val="00D44593"/>
    <w:rsid w:val="00D44719"/>
    <w:rsid w:val="00D447F5"/>
    <w:rsid w:val="00D44824"/>
    <w:rsid w:val="00D4488F"/>
    <w:rsid w:val="00D448A8"/>
    <w:rsid w:val="00D44983"/>
    <w:rsid w:val="00D4498B"/>
    <w:rsid w:val="00D449B9"/>
    <w:rsid w:val="00D44A10"/>
    <w:rsid w:val="00D44A2E"/>
    <w:rsid w:val="00D44A94"/>
    <w:rsid w:val="00D44B19"/>
    <w:rsid w:val="00D44B1E"/>
    <w:rsid w:val="00D44B85"/>
    <w:rsid w:val="00D44C35"/>
    <w:rsid w:val="00D44C77"/>
    <w:rsid w:val="00D44C9D"/>
    <w:rsid w:val="00D44CC2"/>
    <w:rsid w:val="00D44D04"/>
    <w:rsid w:val="00D44D63"/>
    <w:rsid w:val="00D44D80"/>
    <w:rsid w:val="00D44DC7"/>
    <w:rsid w:val="00D44ECE"/>
    <w:rsid w:val="00D44F2B"/>
    <w:rsid w:val="00D44FC2"/>
    <w:rsid w:val="00D450CE"/>
    <w:rsid w:val="00D451F3"/>
    <w:rsid w:val="00D45224"/>
    <w:rsid w:val="00D4537B"/>
    <w:rsid w:val="00D453B1"/>
    <w:rsid w:val="00D453FD"/>
    <w:rsid w:val="00D4548C"/>
    <w:rsid w:val="00D45537"/>
    <w:rsid w:val="00D455D2"/>
    <w:rsid w:val="00D45649"/>
    <w:rsid w:val="00D4569E"/>
    <w:rsid w:val="00D456A5"/>
    <w:rsid w:val="00D456DF"/>
    <w:rsid w:val="00D456F6"/>
    <w:rsid w:val="00D45708"/>
    <w:rsid w:val="00D457BF"/>
    <w:rsid w:val="00D45811"/>
    <w:rsid w:val="00D458AE"/>
    <w:rsid w:val="00D458C5"/>
    <w:rsid w:val="00D4593E"/>
    <w:rsid w:val="00D45940"/>
    <w:rsid w:val="00D459B1"/>
    <w:rsid w:val="00D459F1"/>
    <w:rsid w:val="00D45BCF"/>
    <w:rsid w:val="00D45BE3"/>
    <w:rsid w:val="00D45C9E"/>
    <w:rsid w:val="00D45CAA"/>
    <w:rsid w:val="00D45D0A"/>
    <w:rsid w:val="00D45DD5"/>
    <w:rsid w:val="00D45EBE"/>
    <w:rsid w:val="00D45F40"/>
    <w:rsid w:val="00D45F47"/>
    <w:rsid w:val="00D46037"/>
    <w:rsid w:val="00D460DB"/>
    <w:rsid w:val="00D4612A"/>
    <w:rsid w:val="00D46147"/>
    <w:rsid w:val="00D461CF"/>
    <w:rsid w:val="00D461D1"/>
    <w:rsid w:val="00D461F4"/>
    <w:rsid w:val="00D46380"/>
    <w:rsid w:val="00D46393"/>
    <w:rsid w:val="00D4639F"/>
    <w:rsid w:val="00D4648C"/>
    <w:rsid w:val="00D4656C"/>
    <w:rsid w:val="00D4659A"/>
    <w:rsid w:val="00D465E5"/>
    <w:rsid w:val="00D4667B"/>
    <w:rsid w:val="00D466FF"/>
    <w:rsid w:val="00D467C6"/>
    <w:rsid w:val="00D468D0"/>
    <w:rsid w:val="00D46905"/>
    <w:rsid w:val="00D46A81"/>
    <w:rsid w:val="00D46AB7"/>
    <w:rsid w:val="00D46B7C"/>
    <w:rsid w:val="00D46BFD"/>
    <w:rsid w:val="00D46CCF"/>
    <w:rsid w:val="00D46DF7"/>
    <w:rsid w:val="00D46ECF"/>
    <w:rsid w:val="00D46EEF"/>
    <w:rsid w:val="00D46F10"/>
    <w:rsid w:val="00D46F4E"/>
    <w:rsid w:val="00D47021"/>
    <w:rsid w:val="00D47066"/>
    <w:rsid w:val="00D47095"/>
    <w:rsid w:val="00D470C7"/>
    <w:rsid w:val="00D470DA"/>
    <w:rsid w:val="00D470EF"/>
    <w:rsid w:val="00D4722E"/>
    <w:rsid w:val="00D47308"/>
    <w:rsid w:val="00D47410"/>
    <w:rsid w:val="00D47445"/>
    <w:rsid w:val="00D4744D"/>
    <w:rsid w:val="00D474A4"/>
    <w:rsid w:val="00D47507"/>
    <w:rsid w:val="00D4753D"/>
    <w:rsid w:val="00D47550"/>
    <w:rsid w:val="00D47564"/>
    <w:rsid w:val="00D475AE"/>
    <w:rsid w:val="00D475C9"/>
    <w:rsid w:val="00D475F2"/>
    <w:rsid w:val="00D4767D"/>
    <w:rsid w:val="00D476E1"/>
    <w:rsid w:val="00D4774D"/>
    <w:rsid w:val="00D477A3"/>
    <w:rsid w:val="00D47850"/>
    <w:rsid w:val="00D4797E"/>
    <w:rsid w:val="00D47A22"/>
    <w:rsid w:val="00D47A29"/>
    <w:rsid w:val="00D47A48"/>
    <w:rsid w:val="00D47ABA"/>
    <w:rsid w:val="00D47B54"/>
    <w:rsid w:val="00D47B58"/>
    <w:rsid w:val="00D47B5E"/>
    <w:rsid w:val="00D47C1F"/>
    <w:rsid w:val="00D47C6D"/>
    <w:rsid w:val="00D47CDE"/>
    <w:rsid w:val="00D47D15"/>
    <w:rsid w:val="00D47E55"/>
    <w:rsid w:val="00D47E76"/>
    <w:rsid w:val="00D47EAA"/>
    <w:rsid w:val="00D47FC1"/>
    <w:rsid w:val="00D50068"/>
    <w:rsid w:val="00D50146"/>
    <w:rsid w:val="00D50149"/>
    <w:rsid w:val="00D50199"/>
    <w:rsid w:val="00D5019E"/>
    <w:rsid w:val="00D501A1"/>
    <w:rsid w:val="00D501B2"/>
    <w:rsid w:val="00D501BB"/>
    <w:rsid w:val="00D501D5"/>
    <w:rsid w:val="00D50265"/>
    <w:rsid w:val="00D502C7"/>
    <w:rsid w:val="00D502DA"/>
    <w:rsid w:val="00D503A7"/>
    <w:rsid w:val="00D503B7"/>
    <w:rsid w:val="00D5040C"/>
    <w:rsid w:val="00D50457"/>
    <w:rsid w:val="00D50469"/>
    <w:rsid w:val="00D50498"/>
    <w:rsid w:val="00D504E3"/>
    <w:rsid w:val="00D50590"/>
    <w:rsid w:val="00D5067B"/>
    <w:rsid w:val="00D50754"/>
    <w:rsid w:val="00D50776"/>
    <w:rsid w:val="00D5078B"/>
    <w:rsid w:val="00D50879"/>
    <w:rsid w:val="00D5088D"/>
    <w:rsid w:val="00D508C6"/>
    <w:rsid w:val="00D5097E"/>
    <w:rsid w:val="00D509EE"/>
    <w:rsid w:val="00D50AB9"/>
    <w:rsid w:val="00D50AE8"/>
    <w:rsid w:val="00D50AE9"/>
    <w:rsid w:val="00D50B19"/>
    <w:rsid w:val="00D50B20"/>
    <w:rsid w:val="00D50BB7"/>
    <w:rsid w:val="00D50C3F"/>
    <w:rsid w:val="00D50DE9"/>
    <w:rsid w:val="00D50E63"/>
    <w:rsid w:val="00D50F07"/>
    <w:rsid w:val="00D510ED"/>
    <w:rsid w:val="00D5112A"/>
    <w:rsid w:val="00D5114E"/>
    <w:rsid w:val="00D511FD"/>
    <w:rsid w:val="00D51287"/>
    <w:rsid w:val="00D512B1"/>
    <w:rsid w:val="00D512B4"/>
    <w:rsid w:val="00D512DD"/>
    <w:rsid w:val="00D513F6"/>
    <w:rsid w:val="00D51435"/>
    <w:rsid w:val="00D514F1"/>
    <w:rsid w:val="00D51610"/>
    <w:rsid w:val="00D51682"/>
    <w:rsid w:val="00D516B0"/>
    <w:rsid w:val="00D516B2"/>
    <w:rsid w:val="00D516C2"/>
    <w:rsid w:val="00D517FE"/>
    <w:rsid w:val="00D51863"/>
    <w:rsid w:val="00D518CD"/>
    <w:rsid w:val="00D51937"/>
    <w:rsid w:val="00D5198A"/>
    <w:rsid w:val="00D519D6"/>
    <w:rsid w:val="00D519EA"/>
    <w:rsid w:val="00D51A7A"/>
    <w:rsid w:val="00D51C96"/>
    <w:rsid w:val="00D51CAC"/>
    <w:rsid w:val="00D51CAE"/>
    <w:rsid w:val="00D51CF0"/>
    <w:rsid w:val="00D51D13"/>
    <w:rsid w:val="00D51D32"/>
    <w:rsid w:val="00D51D6A"/>
    <w:rsid w:val="00D51DD9"/>
    <w:rsid w:val="00D51E2E"/>
    <w:rsid w:val="00D51ECB"/>
    <w:rsid w:val="00D51EFF"/>
    <w:rsid w:val="00D51F77"/>
    <w:rsid w:val="00D52039"/>
    <w:rsid w:val="00D5205A"/>
    <w:rsid w:val="00D52167"/>
    <w:rsid w:val="00D522BB"/>
    <w:rsid w:val="00D52317"/>
    <w:rsid w:val="00D5231E"/>
    <w:rsid w:val="00D52388"/>
    <w:rsid w:val="00D52400"/>
    <w:rsid w:val="00D5243D"/>
    <w:rsid w:val="00D52450"/>
    <w:rsid w:val="00D52456"/>
    <w:rsid w:val="00D5251F"/>
    <w:rsid w:val="00D52538"/>
    <w:rsid w:val="00D5257B"/>
    <w:rsid w:val="00D525EA"/>
    <w:rsid w:val="00D526AB"/>
    <w:rsid w:val="00D526D0"/>
    <w:rsid w:val="00D52752"/>
    <w:rsid w:val="00D5275D"/>
    <w:rsid w:val="00D52764"/>
    <w:rsid w:val="00D5278A"/>
    <w:rsid w:val="00D527F2"/>
    <w:rsid w:val="00D52854"/>
    <w:rsid w:val="00D528D5"/>
    <w:rsid w:val="00D528DA"/>
    <w:rsid w:val="00D528DE"/>
    <w:rsid w:val="00D52905"/>
    <w:rsid w:val="00D5295F"/>
    <w:rsid w:val="00D52970"/>
    <w:rsid w:val="00D529A7"/>
    <w:rsid w:val="00D52B3E"/>
    <w:rsid w:val="00D52BAD"/>
    <w:rsid w:val="00D52C07"/>
    <w:rsid w:val="00D52C08"/>
    <w:rsid w:val="00D52C9E"/>
    <w:rsid w:val="00D52CBF"/>
    <w:rsid w:val="00D52D71"/>
    <w:rsid w:val="00D52DA0"/>
    <w:rsid w:val="00D52E77"/>
    <w:rsid w:val="00D52FFC"/>
    <w:rsid w:val="00D530A8"/>
    <w:rsid w:val="00D5311A"/>
    <w:rsid w:val="00D53153"/>
    <w:rsid w:val="00D53164"/>
    <w:rsid w:val="00D53195"/>
    <w:rsid w:val="00D531BA"/>
    <w:rsid w:val="00D531F2"/>
    <w:rsid w:val="00D53295"/>
    <w:rsid w:val="00D532E0"/>
    <w:rsid w:val="00D53364"/>
    <w:rsid w:val="00D533D7"/>
    <w:rsid w:val="00D53469"/>
    <w:rsid w:val="00D534AD"/>
    <w:rsid w:val="00D534B2"/>
    <w:rsid w:val="00D534DE"/>
    <w:rsid w:val="00D5350D"/>
    <w:rsid w:val="00D5359B"/>
    <w:rsid w:val="00D535AD"/>
    <w:rsid w:val="00D536DE"/>
    <w:rsid w:val="00D536ED"/>
    <w:rsid w:val="00D5372B"/>
    <w:rsid w:val="00D537AC"/>
    <w:rsid w:val="00D5380E"/>
    <w:rsid w:val="00D53867"/>
    <w:rsid w:val="00D53907"/>
    <w:rsid w:val="00D53909"/>
    <w:rsid w:val="00D53922"/>
    <w:rsid w:val="00D53A36"/>
    <w:rsid w:val="00D53AA9"/>
    <w:rsid w:val="00D53AAC"/>
    <w:rsid w:val="00D53B22"/>
    <w:rsid w:val="00D53B48"/>
    <w:rsid w:val="00D53B7D"/>
    <w:rsid w:val="00D53B90"/>
    <w:rsid w:val="00D53BFF"/>
    <w:rsid w:val="00D53C01"/>
    <w:rsid w:val="00D53C3F"/>
    <w:rsid w:val="00D53CF0"/>
    <w:rsid w:val="00D53D0A"/>
    <w:rsid w:val="00D53D86"/>
    <w:rsid w:val="00D53E3C"/>
    <w:rsid w:val="00D53F42"/>
    <w:rsid w:val="00D54098"/>
    <w:rsid w:val="00D540A7"/>
    <w:rsid w:val="00D54106"/>
    <w:rsid w:val="00D5418F"/>
    <w:rsid w:val="00D54255"/>
    <w:rsid w:val="00D5425F"/>
    <w:rsid w:val="00D54361"/>
    <w:rsid w:val="00D543D1"/>
    <w:rsid w:val="00D5445B"/>
    <w:rsid w:val="00D544D1"/>
    <w:rsid w:val="00D544D7"/>
    <w:rsid w:val="00D546D2"/>
    <w:rsid w:val="00D546EF"/>
    <w:rsid w:val="00D5479B"/>
    <w:rsid w:val="00D547FF"/>
    <w:rsid w:val="00D54863"/>
    <w:rsid w:val="00D54876"/>
    <w:rsid w:val="00D548B5"/>
    <w:rsid w:val="00D54934"/>
    <w:rsid w:val="00D54979"/>
    <w:rsid w:val="00D549E1"/>
    <w:rsid w:val="00D54AF0"/>
    <w:rsid w:val="00D54B4E"/>
    <w:rsid w:val="00D54BA0"/>
    <w:rsid w:val="00D54BD6"/>
    <w:rsid w:val="00D54C8C"/>
    <w:rsid w:val="00D54CFC"/>
    <w:rsid w:val="00D54D1F"/>
    <w:rsid w:val="00D54DD2"/>
    <w:rsid w:val="00D54E02"/>
    <w:rsid w:val="00D54EA5"/>
    <w:rsid w:val="00D54EB3"/>
    <w:rsid w:val="00D54ED8"/>
    <w:rsid w:val="00D54F46"/>
    <w:rsid w:val="00D54F7A"/>
    <w:rsid w:val="00D54FAF"/>
    <w:rsid w:val="00D54FFE"/>
    <w:rsid w:val="00D550E8"/>
    <w:rsid w:val="00D551D2"/>
    <w:rsid w:val="00D55263"/>
    <w:rsid w:val="00D55271"/>
    <w:rsid w:val="00D55277"/>
    <w:rsid w:val="00D5528E"/>
    <w:rsid w:val="00D552C7"/>
    <w:rsid w:val="00D552C9"/>
    <w:rsid w:val="00D55310"/>
    <w:rsid w:val="00D55312"/>
    <w:rsid w:val="00D553F8"/>
    <w:rsid w:val="00D55641"/>
    <w:rsid w:val="00D55660"/>
    <w:rsid w:val="00D5567E"/>
    <w:rsid w:val="00D556DB"/>
    <w:rsid w:val="00D55788"/>
    <w:rsid w:val="00D557A0"/>
    <w:rsid w:val="00D5580C"/>
    <w:rsid w:val="00D5581F"/>
    <w:rsid w:val="00D5582A"/>
    <w:rsid w:val="00D558D4"/>
    <w:rsid w:val="00D55946"/>
    <w:rsid w:val="00D55976"/>
    <w:rsid w:val="00D559E0"/>
    <w:rsid w:val="00D55A45"/>
    <w:rsid w:val="00D55A78"/>
    <w:rsid w:val="00D55AB4"/>
    <w:rsid w:val="00D55ADD"/>
    <w:rsid w:val="00D55B2E"/>
    <w:rsid w:val="00D55BB2"/>
    <w:rsid w:val="00D55C58"/>
    <w:rsid w:val="00D55C8D"/>
    <w:rsid w:val="00D55CE2"/>
    <w:rsid w:val="00D55CF2"/>
    <w:rsid w:val="00D55EF7"/>
    <w:rsid w:val="00D55F01"/>
    <w:rsid w:val="00D55F52"/>
    <w:rsid w:val="00D55F78"/>
    <w:rsid w:val="00D55FD5"/>
    <w:rsid w:val="00D56027"/>
    <w:rsid w:val="00D560AF"/>
    <w:rsid w:val="00D560D3"/>
    <w:rsid w:val="00D56113"/>
    <w:rsid w:val="00D5616D"/>
    <w:rsid w:val="00D56190"/>
    <w:rsid w:val="00D561CB"/>
    <w:rsid w:val="00D562FF"/>
    <w:rsid w:val="00D5635F"/>
    <w:rsid w:val="00D563BF"/>
    <w:rsid w:val="00D563FC"/>
    <w:rsid w:val="00D5645A"/>
    <w:rsid w:val="00D56472"/>
    <w:rsid w:val="00D564AA"/>
    <w:rsid w:val="00D564CA"/>
    <w:rsid w:val="00D56594"/>
    <w:rsid w:val="00D565F5"/>
    <w:rsid w:val="00D56648"/>
    <w:rsid w:val="00D566D8"/>
    <w:rsid w:val="00D566E0"/>
    <w:rsid w:val="00D566E1"/>
    <w:rsid w:val="00D5672A"/>
    <w:rsid w:val="00D567EE"/>
    <w:rsid w:val="00D567FD"/>
    <w:rsid w:val="00D56815"/>
    <w:rsid w:val="00D56876"/>
    <w:rsid w:val="00D56927"/>
    <w:rsid w:val="00D5697E"/>
    <w:rsid w:val="00D569E2"/>
    <w:rsid w:val="00D56A01"/>
    <w:rsid w:val="00D56A32"/>
    <w:rsid w:val="00D56B78"/>
    <w:rsid w:val="00D56C6D"/>
    <w:rsid w:val="00D56C98"/>
    <w:rsid w:val="00D56D61"/>
    <w:rsid w:val="00D56DE8"/>
    <w:rsid w:val="00D56E41"/>
    <w:rsid w:val="00D56EC6"/>
    <w:rsid w:val="00D56FB3"/>
    <w:rsid w:val="00D56FDB"/>
    <w:rsid w:val="00D570AF"/>
    <w:rsid w:val="00D5723C"/>
    <w:rsid w:val="00D57326"/>
    <w:rsid w:val="00D5735B"/>
    <w:rsid w:val="00D57365"/>
    <w:rsid w:val="00D574A8"/>
    <w:rsid w:val="00D574D7"/>
    <w:rsid w:val="00D57509"/>
    <w:rsid w:val="00D5755B"/>
    <w:rsid w:val="00D57562"/>
    <w:rsid w:val="00D576AA"/>
    <w:rsid w:val="00D57724"/>
    <w:rsid w:val="00D57737"/>
    <w:rsid w:val="00D577A2"/>
    <w:rsid w:val="00D5784C"/>
    <w:rsid w:val="00D5794F"/>
    <w:rsid w:val="00D579C7"/>
    <w:rsid w:val="00D57A1C"/>
    <w:rsid w:val="00D57A21"/>
    <w:rsid w:val="00D57A4A"/>
    <w:rsid w:val="00D57A76"/>
    <w:rsid w:val="00D57B01"/>
    <w:rsid w:val="00D57B32"/>
    <w:rsid w:val="00D57BD0"/>
    <w:rsid w:val="00D57BF6"/>
    <w:rsid w:val="00D57C41"/>
    <w:rsid w:val="00D57C9D"/>
    <w:rsid w:val="00D57D1D"/>
    <w:rsid w:val="00D57DE2"/>
    <w:rsid w:val="00D57DE6"/>
    <w:rsid w:val="00D57DF3"/>
    <w:rsid w:val="00D57E38"/>
    <w:rsid w:val="00D57E5F"/>
    <w:rsid w:val="00D600F2"/>
    <w:rsid w:val="00D600FF"/>
    <w:rsid w:val="00D60128"/>
    <w:rsid w:val="00D601FF"/>
    <w:rsid w:val="00D60238"/>
    <w:rsid w:val="00D6029C"/>
    <w:rsid w:val="00D60312"/>
    <w:rsid w:val="00D6032C"/>
    <w:rsid w:val="00D60336"/>
    <w:rsid w:val="00D60340"/>
    <w:rsid w:val="00D603C3"/>
    <w:rsid w:val="00D6048F"/>
    <w:rsid w:val="00D604A0"/>
    <w:rsid w:val="00D604DA"/>
    <w:rsid w:val="00D604F3"/>
    <w:rsid w:val="00D60503"/>
    <w:rsid w:val="00D60641"/>
    <w:rsid w:val="00D60730"/>
    <w:rsid w:val="00D60776"/>
    <w:rsid w:val="00D607A1"/>
    <w:rsid w:val="00D607E9"/>
    <w:rsid w:val="00D60807"/>
    <w:rsid w:val="00D608E4"/>
    <w:rsid w:val="00D608F7"/>
    <w:rsid w:val="00D60926"/>
    <w:rsid w:val="00D60934"/>
    <w:rsid w:val="00D60979"/>
    <w:rsid w:val="00D60A71"/>
    <w:rsid w:val="00D60B2A"/>
    <w:rsid w:val="00D60B2B"/>
    <w:rsid w:val="00D60C08"/>
    <w:rsid w:val="00D60C40"/>
    <w:rsid w:val="00D60D4C"/>
    <w:rsid w:val="00D60DC1"/>
    <w:rsid w:val="00D60E8C"/>
    <w:rsid w:val="00D60F2E"/>
    <w:rsid w:val="00D60F83"/>
    <w:rsid w:val="00D60FD2"/>
    <w:rsid w:val="00D61095"/>
    <w:rsid w:val="00D61127"/>
    <w:rsid w:val="00D6114A"/>
    <w:rsid w:val="00D611E9"/>
    <w:rsid w:val="00D61224"/>
    <w:rsid w:val="00D6124E"/>
    <w:rsid w:val="00D612B1"/>
    <w:rsid w:val="00D61338"/>
    <w:rsid w:val="00D61360"/>
    <w:rsid w:val="00D614D1"/>
    <w:rsid w:val="00D61587"/>
    <w:rsid w:val="00D615D2"/>
    <w:rsid w:val="00D6165A"/>
    <w:rsid w:val="00D61699"/>
    <w:rsid w:val="00D61701"/>
    <w:rsid w:val="00D61715"/>
    <w:rsid w:val="00D619BB"/>
    <w:rsid w:val="00D61A1D"/>
    <w:rsid w:val="00D61A42"/>
    <w:rsid w:val="00D61B4F"/>
    <w:rsid w:val="00D61BAB"/>
    <w:rsid w:val="00D61BCB"/>
    <w:rsid w:val="00D61C50"/>
    <w:rsid w:val="00D61D01"/>
    <w:rsid w:val="00D61DFE"/>
    <w:rsid w:val="00D61EB1"/>
    <w:rsid w:val="00D61F53"/>
    <w:rsid w:val="00D62017"/>
    <w:rsid w:val="00D6202C"/>
    <w:rsid w:val="00D6207F"/>
    <w:rsid w:val="00D6208D"/>
    <w:rsid w:val="00D62173"/>
    <w:rsid w:val="00D621B3"/>
    <w:rsid w:val="00D62204"/>
    <w:rsid w:val="00D62210"/>
    <w:rsid w:val="00D622F9"/>
    <w:rsid w:val="00D62309"/>
    <w:rsid w:val="00D62311"/>
    <w:rsid w:val="00D62395"/>
    <w:rsid w:val="00D623B8"/>
    <w:rsid w:val="00D62432"/>
    <w:rsid w:val="00D624DA"/>
    <w:rsid w:val="00D624FA"/>
    <w:rsid w:val="00D62532"/>
    <w:rsid w:val="00D6255D"/>
    <w:rsid w:val="00D62752"/>
    <w:rsid w:val="00D6278F"/>
    <w:rsid w:val="00D62803"/>
    <w:rsid w:val="00D6283A"/>
    <w:rsid w:val="00D62853"/>
    <w:rsid w:val="00D6287A"/>
    <w:rsid w:val="00D62896"/>
    <w:rsid w:val="00D628B6"/>
    <w:rsid w:val="00D62958"/>
    <w:rsid w:val="00D62A4F"/>
    <w:rsid w:val="00D62B5F"/>
    <w:rsid w:val="00D62BD4"/>
    <w:rsid w:val="00D62C6C"/>
    <w:rsid w:val="00D62C80"/>
    <w:rsid w:val="00D62C85"/>
    <w:rsid w:val="00D62D6B"/>
    <w:rsid w:val="00D62EB6"/>
    <w:rsid w:val="00D62EE9"/>
    <w:rsid w:val="00D63000"/>
    <w:rsid w:val="00D6302B"/>
    <w:rsid w:val="00D63039"/>
    <w:rsid w:val="00D6307E"/>
    <w:rsid w:val="00D630F0"/>
    <w:rsid w:val="00D63162"/>
    <w:rsid w:val="00D631A2"/>
    <w:rsid w:val="00D631D2"/>
    <w:rsid w:val="00D631E5"/>
    <w:rsid w:val="00D63256"/>
    <w:rsid w:val="00D6327A"/>
    <w:rsid w:val="00D632D7"/>
    <w:rsid w:val="00D6333D"/>
    <w:rsid w:val="00D633DA"/>
    <w:rsid w:val="00D634D0"/>
    <w:rsid w:val="00D63535"/>
    <w:rsid w:val="00D635B6"/>
    <w:rsid w:val="00D635C2"/>
    <w:rsid w:val="00D635E4"/>
    <w:rsid w:val="00D636B8"/>
    <w:rsid w:val="00D636CD"/>
    <w:rsid w:val="00D63719"/>
    <w:rsid w:val="00D6374A"/>
    <w:rsid w:val="00D63801"/>
    <w:rsid w:val="00D638B4"/>
    <w:rsid w:val="00D638F8"/>
    <w:rsid w:val="00D6397C"/>
    <w:rsid w:val="00D63A08"/>
    <w:rsid w:val="00D63A46"/>
    <w:rsid w:val="00D63AF5"/>
    <w:rsid w:val="00D63B30"/>
    <w:rsid w:val="00D63B5E"/>
    <w:rsid w:val="00D63C90"/>
    <w:rsid w:val="00D63D23"/>
    <w:rsid w:val="00D63D35"/>
    <w:rsid w:val="00D63D9F"/>
    <w:rsid w:val="00D63E41"/>
    <w:rsid w:val="00D63E8E"/>
    <w:rsid w:val="00D63F21"/>
    <w:rsid w:val="00D63F75"/>
    <w:rsid w:val="00D64058"/>
    <w:rsid w:val="00D64067"/>
    <w:rsid w:val="00D64091"/>
    <w:rsid w:val="00D64093"/>
    <w:rsid w:val="00D6409B"/>
    <w:rsid w:val="00D640DE"/>
    <w:rsid w:val="00D64163"/>
    <w:rsid w:val="00D641BF"/>
    <w:rsid w:val="00D6435A"/>
    <w:rsid w:val="00D643DE"/>
    <w:rsid w:val="00D643F4"/>
    <w:rsid w:val="00D64407"/>
    <w:rsid w:val="00D6443D"/>
    <w:rsid w:val="00D64464"/>
    <w:rsid w:val="00D645D5"/>
    <w:rsid w:val="00D64795"/>
    <w:rsid w:val="00D647A2"/>
    <w:rsid w:val="00D647FF"/>
    <w:rsid w:val="00D64883"/>
    <w:rsid w:val="00D64976"/>
    <w:rsid w:val="00D649EF"/>
    <w:rsid w:val="00D64A8A"/>
    <w:rsid w:val="00D64B0C"/>
    <w:rsid w:val="00D64B28"/>
    <w:rsid w:val="00D64D1F"/>
    <w:rsid w:val="00D64D59"/>
    <w:rsid w:val="00D64E29"/>
    <w:rsid w:val="00D64E2C"/>
    <w:rsid w:val="00D64F29"/>
    <w:rsid w:val="00D64F33"/>
    <w:rsid w:val="00D6507E"/>
    <w:rsid w:val="00D65092"/>
    <w:rsid w:val="00D650B6"/>
    <w:rsid w:val="00D650C8"/>
    <w:rsid w:val="00D6515A"/>
    <w:rsid w:val="00D651C7"/>
    <w:rsid w:val="00D65359"/>
    <w:rsid w:val="00D6537D"/>
    <w:rsid w:val="00D65382"/>
    <w:rsid w:val="00D65393"/>
    <w:rsid w:val="00D653ED"/>
    <w:rsid w:val="00D65432"/>
    <w:rsid w:val="00D65517"/>
    <w:rsid w:val="00D65546"/>
    <w:rsid w:val="00D655AF"/>
    <w:rsid w:val="00D65637"/>
    <w:rsid w:val="00D65683"/>
    <w:rsid w:val="00D65696"/>
    <w:rsid w:val="00D65707"/>
    <w:rsid w:val="00D657A7"/>
    <w:rsid w:val="00D65810"/>
    <w:rsid w:val="00D65813"/>
    <w:rsid w:val="00D6588F"/>
    <w:rsid w:val="00D65899"/>
    <w:rsid w:val="00D658F3"/>
    <w:rsid w:val="00D659CB"/>
    <w:rsid w:val="00D659E6"/>
    <w:rsid w:val="00D65A0A"/>
    <w:rsid w:val="00D65B08"/>
    <w:rsid w:val="00D65B31"/>
    <w:rsid w:val="00D65B7F"/>
    <w:rsid w:val="00D65D30"/>
    <w:rsid w:val="00D65E0B"/>
    <w:rsid w:val="00D65E8E"/>
    <w:rsid w:val="00D65F20"/>
    <w:rsid w:val="00D65FE2"/>
    <w:rsid w:val="00D66094"/>
    <w:rsid w:val="00D660C2"/>
    <w:rsid w:val="00D660D6"/>
    <w:rsid w:val="00D66116"/>
    <w:rsid w:val="00D6618F"/>
    <w:rsid w:val="00D661FC"/>
    <w:rsid w:val="00D6623A"/>
    <w:rsid w:val="00D6624D"/>
    <w:rsid w:val="00D6625A"/>
    <w:rsid w:val="00D663FF"/>
    <w:rsid w:val="00D66491"/>
    <w:rsid w:val="00D66528"/>
    <w:rsid w:val="00D66574"/>
    <w:rsid w:val="00D66598"/>
    <w:rsid w:val="00D6663C"/>
    <w:rsid w:val="00D66673"/>
    <w:rsid w:val="00D6667C"/>
    <w:rsid w:val="00D6676B"/>
    <w:rsid w:val="00D668C7"/>
    <w:rsid w:val="00D668C9"/>
    <w:rsid w:val="00D6691B"/>
    <w:rsid w:val="00D66960"/>
    <w:rsid w:val="00D669B5"/>
    <w:rsid w:val="00D66B26"/>
    <w:rsid w:val="00D66B89"/>
    <w:rsid w:val="00D66BC1"/>
    <w:rsid w:val="00D66BF6"/>
    <w:rsid w:val="00D66C4D"/>
    <w:rsid w:val="00D66CBE"/>
    <w:rsid w:val="00D66D3F"/>
    <w:rsid w:val="00D66DD1"/>
    <w:rsid w:val="00D66DFD"/>
    <w:rsid w:val="00D66E15"/>
    <w:rsid w:val="00D66FD9"/>
    <w:rsid w:val="00D670B8"/>
    <w:rsid w:val="00D671B4"/>
    <w:rsid w:val="00D671DE"/>
    <w:rsid w:val="00D67261"/>
    <w:rsid w:val="00D673C3"/>
    <w:rsid w:val="00D674DF"/>
    <w:rsid w:val="00D67512"/>
    <w:rsid w:val="00D6753E"/>
    <w:rsid w:val="00D675E8"/>
    <w:rsid w:val="00D67688"/>
    <w:rsid w:val="00D676AE"/>
    <w:rsid w:val="00D676ED"/>
    <w:rsid w:val="00D677EE"/>
    <w:rsid w:val="00D6789A"/>
    <w:rsid w:val="00D67921"/>
    <w:rsid w:val="00D67941"/>
    <w:rsid w:val="00D67A75"/>
    <w:rsid w:val="00D67AA2"/>
    <w:rsid w:val="00D67AAA"/>
    <w:rsid w:val="00D67B05"/>
    <w:rsid w:val="00D67B5B"/>
    <w:rsid w:val="00D67C1F"/>
    <w:rsid w:val="00D67C40"/>
    <w:rsid w:val="00D67D4B"/>
    <w:rsid w:val="00D67DB1"/>
    <w:rsid w:val="00D67E86"/>
    <w:rsid w:val="00D67F4C"/>
    <w:rsid w:val="00D67F88"/>
    <w:rsid w:val="00D700CF"/>
    <w:rsid w:val="00D70126"/>
    <w:rsid w:val="00D701F5"/>
    <w:rsid w:val="00D70204"/>
    <w:rsid w:val="00D702B6"/>
    <w:rsid w:val="00D702F9"/>
    <w:rsid w:val="00D70301"/>
    <w:rsid w:val="00D70305"/>
    <w:rsid w:val="00D70354"/>
    <w:rsid w:val="00D7036F"/>
    <w:rsid w:val="00D703B9"/>
    <w:rsid w:val="00D70455"/>
    <w:rsid w:val="00D7046F"/>
    <w:rsid w:val="00D7064B"/>
    <w:rsid w:val="00D706BF"/>
    <w:rsid w:val="00D70795"/>
    <w:rsid w:val="00D707AE"/>
    <w:rsid w:val="00D707CF"/>
    <w:rsid w:val="00D70979"/>
    <w:rsid w:val="00D7099A"/>
    <w:rsid w:val="00D70A47"/>
    <w:rsid w:val="00D70AAC"/>
    <w:rsid w:val="00D70AC1"/>
    <w:rsid w:val="00D70AFD"/>
    <w:rsid w:val="00D70BC6"/>
    <w:rsid w:val="00D70C53"/>
    <w:rsid w:val="00D70CDD"/>
    <w:rsid w:val="00D70D61"/>
    <w:rsid w:val="00D70DAD"/>
    <w:rsid w:val="00D70E7E"/>
    <w:rsid w:val="00D70E8B"/>
    <w:rsid w:val="00D70F0C"/>
    <w:rsid w:val="00D70F6F"/>
    <w:rsid w:val="00D70F73"/>
    <w:rsid w:val="00D71084"/>
    <w:rsid w:val="00D7130B"/>
    <w:rsid w:val="00D7134F"/>
    <w:rsid w:val="00D71369"/>
    <w:rsid w:val="00D71390"/>
    <w:rsid w:val="00D713CA"/>
    <w:rsid w:val="00D713CD"/>
    <w:rsid w:val="00D71403"/>
    <w:rsid w:val="00D714EC"/>
    <w:rsid w:val="00D71556"/>
    <w:rsid w:val="00D715A9"/>
    <w:rsid w:val="00D71614"/>
    <w:rsid w:val="00D71765"/>
    <w:rsid w:val="00D71860"/>
    <w:rsid w:val="00D719FC"/>
    <w:rsid w:val="00D71A57"/>
    <w:rsid w:val="00D71AED"/>
    <w:rsid w:val="00D71B35"/>
    <w:rsid w:val="00D71B75"/>
    <w:rsid w:val="00D71C1C"/>
    <w:rsid w:val="00D71C6A"/>
    <w:rsid w:val="00D71EAB"/>
    <w:rsid w:val="00D71EC4"/>
    <w:rsid w:val="00D71F03"/>
    <w:rsid w:val="00D71F26"/>
    <w:rsid w:val="00D71FB7"/>
    <w:rsid w:val="00D71FCD"/>
    <w:rsid w:val="00D71FD3"/>
    <w:rsid w:val="00D72098"/>
    <w:rsid w:val="00D720A4"/>
    <w:rsid w:val="00D720EE"/>
    <w:rsid w:val="00D7212D"/>
    <w:rsid w:val="00D7216D"/>
    <w:rsid w:val="00D72285"/>
    <w:rsid w:val="00D723F5"/>
    <w:rsid w:val="00D72496"/>
    <w:rsid w:val="00D7249C"/>
    <w:rsid w:val="00D724D1"/>
    <w:rsid w:val="00D725D5"/>
    <w:rsid w:val="00D7260B"/>
    <w:rsid w:val="00D72615"/>
    <w:rsid w:val="00D7263E"/>
    <w:rsid w:val="00D7273C"/>
    <w:rsid w:val="00D7281E"/>
    <w:rsid w:val="00D7284D"/>
    <w:rsid w:val="00D72969"/>
    <w:rsid w:val="00D72A23"/>
    <w:rsid w:val="00D72B10"/>
    <w:rsid w:val="00D72BEF"/>
    <w:rsid w:val="00D72BF7"/>
    <w:rsid w:val="00D72C08"/>
    <w:rsid w:val="00D72C82"/>
    <w:rsid w:val="00D72D03"/>
    <w:rsid w:val="00D72D0B"/>
    <w:rsid w:val="00D72E8D"/>
    <w:rsid w:val="00D72F78"/>
    <w:rsid w:val="00D7304E"/>
    <w:rsid w:val="00D730C1"/>
    <w:rsid w:val="00D73140"/>
    <w:rsid w:val="00D731BE"/>
    <w:rsid w:val="00D7330C"/>
    <w:rsid w:val="00D73319"/>
    <w:rsid w:val="00D7332A"/>
    <w:rsid w:val="00D73342"/>
    <w:rsid w:val="00D7338C"/>
    <w:rsid w:val="00D73438"/>
    <w:rsid w:val="00D7355B"/>
    <w:rsid w:val="00D73566"/>
    <w:rsid w:val="00D735CF"/>
    <w:rsid w:val="00D735F9"/>
    <w:rsid w:val="00D73630"/>
    <w:rsid w:val="00D73654"/>
    <w:rsid w:val="00D73683"/>
    <w:rsid w:val="00D736A8"/>
    <w:rsid w:val="00D7371B"/>
    <w:rsid w:val="00D73741"/>
    <w:rsid w:val="00D73795"/>
    <w:rsid w:val="00D737A0"/>
    <w:rsid w:val="00D738A8"/>
    <w:rsid w:val="00D73988"/>
    <w:rsid w:val="00D73A6C"/>
    <w:rsid w:val="00D73A8A"/>
    <w:rsid w:val="00D73AE2"/>
    <w:rsid w:val="00D73AFB"/>
    <w:rsid w:val="00D73B0F"/>
    <w:rsid w:val="00D73C01"/>
    <w:rsid w:val="00D73D2C"/>
    <w:rsid w:val="00D73D2D"/>
    <w:rsid w:val="00D73DE8"/>
    <w:rsid w:val="00D73E0C"/>
    <w:rsid w:val="00D73EFC"/>
    <w:rsid w:val="00D73F77"/>
    <w:rsid w:val="00D74015"/>
    <w:rsid w:val="00D7404F"/>
    <w:rsid w:val="00D7409E"/>
    <w:rsid w:val="00D740CC"/>
    <w:rsid w:val="00D74198"/>
    <w:rsid w:val="00D74231"/>
    <w:rsid w:val="00D7427C"/>
    <w:rsid w:val="00D74319"/>
    <w:rsid w:val="00D74373"/>
    <w:rsid w:val="00D743C0"/>
    <w:rsid w:val="00D7452B"/>
    <w:rsid w:val="00D746EA"/>
    <w:rsid w:val="00D748A3"/>
    <w:rsid w:val="00D749BE"/>
    <w:rsid w:val="00D749C3"/>
    <w:rsid w:val="00D74A4B"/>
    <w:rsid w:val="00D74A4E"/>
    <w:rsid w:val="00D74A6F"/>
    <w:rsid w:val="00D74AE7"/>
    <w:rsid w:val="00D74B39"/>
    <w:rsid w:val="00D74B9D"/>
    <w:rsid w:val="00D74B9E"/>
    <w:rsid w:val="00D74C23"/>
    <w:rsid w:val="00D74C6E"/>
    <w:rsid w:val="00D74D31"/>
    <w:rsid w:val="00D74DD2"/>
    <w:rsid w:val="00D74E63"/>
    <w:rsid w:val="00D74F4F"/>
    <w:rsid w:val="00D7505A"/>
    <w:rsid w:val="00D7508B"/>
    <w:rsid w:val="00D75091"/>
    <w:rsid w:val="00D750F4"/>
    <w:rsid w:val="00D7513F"/>
    <w:rsid w:val="00D75150"/>
    <w:rsid w:val="00D75202"/>
    <w:rsid w:val="00D75282"/>
    <w:rsid w:val="00D752D2"/>
    <w:rsid w:val="00D752DC"/>
    <w:rsid w:val="00D7530D"/>
    <w:rsid w:val="00D7541B"/>
    <w:rsid w:val="00D75469"/>
    <w:rsid w:val="00D754DD"/>
    <w:rsid w:val="00D75509"/>
    <w:rsid w:val="00D7557A"/>
    <w:rsid w:val="00D75585"/>
    <w:rsid w:val="00D75616"/>
    <w:rsid w:val="00D7564B"/>
    <w:rsid w:val="00D756EA"/>
    <w:rsid w:val="00D75705"/>
    <w:rsid w:val="00D75903"/>
    <w:rsid w:val="00D75A7C"/>
    <w:rsid w:val="00D75BDE"/>
    <w:rsid w:val="00D75D12"/>
    <w:rsid w:val="00D75D18"/>
    <w:rsid w:val="00D75D9C"/>
    <w:rsid w:val="00D75DDE"/>
    <w:rsid w:val="00D75E45"/>
    <w:rsid w:val="00D75E96"/>
    <w:rsid w:val="00D75ECB"/>
    <w:rsid w:val="00D75F2E"/>
    <w:rsid w:val="00D75F38"/>
    <w:rsid w:val="00D76045"/>
    <w:rsid w:val="00D761E9"/>
    <w:rsid w:val="00D762D0"/>
    <w:rsid w:val="00D76419"/>
    <w:rsid w:val="00D76479"/>
    <w:rsid w:val="00D764C9"/>
    <w:rsid w:val="00D764DB"/>
    <w:rsid w:val="00D764EB"/>
    <w:rsid w:val="00D764F6"/>
    <w:rsid w:val="00D76505"/>
    <w:rsid w:val="00D765C6"/>
    <w:rsid w:val="00D76607"/>
    <w:rsid w:val="00D76630"/>
    <w:rsid w:val="00D76669"/>
    <w:rsid w:val="00D7667C"/>
    <w:rsid w:val="00D7672B"/>
    <w:rsid w:val="00D7674B"/>
    <w:rsid w:val="00D767FD"/>
    <w:rsid w:val="00D76814"/>
    <w:rsid w:val="00D7682B"/>
    <w:rsid w:val="00D768F8"/>
    <w:rsid w:val="00D7694E"/>
    <w:rsid w:val="00D769A9"/>
    <w:rsid w:val="00D76A37"/>
    <w:rsid w:val="00D76A66"/>
    <w:rsid w:val="00D76AD2"/>
    <w:rsid w:val="00D76AE1"/>
    <w:rsid w:val="00D76B1D"/>
    <w:rsid w:val="00D76BB8"/>
    <w:rsid w:val="00D76C5C"/>
    <w:rsid w:val="00D76D13"/>
    <w:rsid w:val="00D76EA4"/>
    <w:rsid w:val="00D76F0A"/>
    <w:rsid w:val="00D770CB"/>
    <w:rsid w:val="00D77154"/>
    <w:rsid w:val="00D77169"/>
    <w:rsid w:val="00D77196"/>
    <w:rsid w:val="00D772B2"/>
    <w:rsid w:val="00D7735E"/>
    <w:rsid w:val="00D773AE"/>
    <w:rsid w:val="00D77580"/>
    <w:rsid w:val="00D77815"/>
    <w:rsid w:val="00D7793D"/>
    <w:rsid w:val="00D77969"/>
    <w:rsid w:val="00D77A23"/>
    <w:rsid w:val="00D77B68"/>
    <w:rsid w:val="00D77BB0"/>
    <w:rsid w:val="00D77BCD"/>
    <w:rsid w:val="00D77C7A"/>
    <w:rsid w:val="00D77D9A"/>
    <w:rsid w:val="00D77DEA"/>
    <w:rsid w:val="00D77E40"/>
    <w:rsid w:val="00D77F13"/>
    <w:rsid w:val="00D77FD3"/>
    <w:rsid w:val="00D80037"/>
    <w:rsid w:val="00D8028A"/>
    <w:rsid w:val="00D80379"/>
    <w:rsid w:val="00D803A8"/>
    <w:rsid w:val="00D8045F"/>
    <w:rsid w:val="00D8049B"/>
    <w:rsid w:val="00D804C7"/>
    <w:rsid w:val="00D80695"/>
    <w:rsid w:val="00D80713"/>
    <w:rsid w:val="00D80911"/>
    <w:rsid w:val="00D80972"/>
    <w:rsid w:val="00D809EB"/>
    <w:rsid w:val="00D80A42"/>
    <w:rsid w:val="00D80B45"/>
    <w:rsid w:val="00D80BBB"/>
    <w:rsid w:val="00D80CF1"/>
    <w:rsid w:val="00D80DB1"/>
    <w:rsid w:val="00D80E2E"/>
    <w:rsid w:val="00D80F3D"/>
    <w:rsid w:val="00D80F77"/>
    <w:rsid w:val="00D80F8D"/>
    <w:rsid w:val="00D81084"/>
    <w:rsid w:val="00D81188"/>
    <w:rsid w:val="00D811A7"/>
    <w:rsid w:val="00D8124E"/>
    <w:rsid w:val="00D8135E"/>
    <w:rsid w:val="00D813A2"/>
    <w:rsid w:val="00D8142F"/>
    <w:rsid w:val="00D81468"/>
    <w:rsid w:val="00D814C5"/>
    <w:rsid w:val="00D8153F"/>
    <w:rsid w:val="00D8158E"/>
    <w:rsid w:val="00D815A6"/>
    <w:rsid w:val="00D815DA"/>
    <w:rsid w:val="00D815E8"/>
    <w:rsid w:val="00D816FB"/>
    <w:rsid w:val="00D8173A"/>
    <w:rsid w:val="00D8184A"/>
    <w:rsid w:val="00D8196F"/>
    <w:rsid w:val="00D81A5C"/>
    <w:rsid w:val="00D81AC2"/>
    <w:rsid w:val="00D81ADB"/>
    <w:rsid w:val="00D81BB3"/>
    <w:rsid w:val="00D81BC9"/>
    <w:rsid w:val="00D81DA6"/>
    <w:rsid w:val="00D81E53"/>
    <w:rsid w:val="00D81E92"/>
    <w:rsid w:val="00D81E9D"/>
    <w:rsid w:val="00D81F22"/>
    <w:rsid w:val="00D82176"/>
    <w:rsid w:val="00D82180"/>
    <w:rsid w:val="00D821A1"/>
    <w:rsid w:val="00D82207"/>
    <w:rsid w:val="00D82245"/>
    <w:rsid w:val="00D822A9"/>
    <w:rsid w:val="00D822C0"/>
    <w:rsid w:val="00D823E6"/>
    <w:rsid w:val="00D824FF"/>
    <w:rsid w:val="00D82570"/>
    <w:rsid w:val="00D825A8"/>
    <w:rsid w:val="00D82722"/>
    <w:rsid w:val="00D82811"/>
    <w:rsid w:val="00D82828"/>
    <w:rsid w:val="00D8283D"/>
    <w:rsid w:val="00D82876"/>
    <w:rsid w:val="00D82910"/>
    <w:rsid w:val="00D82930"/>
    <w:rsid w:val="00D8299A"/>
    <w:rsid w:val="00D82A1A"/>
    <w:rsid w:val="00D82BFA"/>
    <w:rsid w:val="00D82EB7"/>
    <w:rsid w:val="00D82EB8"/>
    <w:rsid w:val="00D82F45"/>
    <w:rsid w:val="00D82F4A"/>
    <w:rsid w:val="00D82F64"/>
    <w:rsid w:val="00D83040"/>
    <w:rsid w:val="00D830E6"/>
    <w:rsid w:val="00D83122"/>
    <w:rsid w:val="00D832E8"/>
    <w:rsid w:val="00D833D9"/>
    <w:rsid w:val="00D83425"/>
    <w:rsid w:val="00D834B7"/>
    <w:rsid w:val="00D834CC"/>
    <w:rsid w:val="00D834F4"/>
    <w:rsid w:val="00D8353F"/>
    <w:rsid w:val="00D8356D"/>
    <w:rsid w:val="00D83665"/>
    <w:rsid w:val="00D836DD"/>
    <w:rsid w:val="00D836F3"/>
    <w:rsid w:val="00D83712"/>
    <w:rsid w:val="00D837A1"/>
    <w:rsid w:val="00D837A2"/>
    <w:rsid w:val="00D8382E"/>
    <w:rsid w:val="00D838C0"/>
    <w:rsid w:val="00D83900"/>
    <w:rsid w:val="00D83987"/>
    <w:rsid w:val="00D83A04"/>
    <w:rsid w:val="00D83A13"/>
    <w:rsid w:val="00D83A91"/>
    <w:rsid w:val="00D83ADF"/>
    <w:rsid w:val="00D83BD9"/>
    <w:rsid w:val="00D83C38"/>
    <w:rsid w:val="00D83CA4"/>
    <w:rsid w:val="00D83CAE"/>
    <w:rsid w:val="00D83CE1"/>
    <w:rsid w:val="00D83D1F"/>
    <w:rsid w:val="00D83DE0"/>
    <w:rsid w:val="00D83DEB"/>
    <w:rsid w:val="00D83DF9"/>
    <w:rsid w:val="00D83ED3"/>
    <w:rsid w:val="00D83F1A"/>
    <w:rsid w:val="00D83FD5"/>
    <w:rsid w:val="00D83FE6"/>
    <w:rsid w:val="00D84166"/>
    <w:rsid w:val="00D841D3"/>
    <w:rsid w:val="00D841ED"/>
    <w:rsid w:val="00D841F6"/>
    <w:rsid w:val="00D842CD"/>
    <w:rsid w:val="00D84301"/>
    <w:rsid w:val="00D8435A"/>
    <w:rsid w:val="00D84366"/>
    <w:rsid w:val="00D8446B"/>
    <w:rsid w:val="00D844CF"/>
    <w:rsid w:val="00D844F8"/>
    <w:rsid w:val="00D84698"/>
    <w:rsid w:val="00D8479E"/>
    <w:rsid w:val="00D84847"/>
    <w:rsid w:val="00D8496E"/>
    <w:rsid w:val="00D84A99"/>
    <w:rsid w:val="00D84AD7"/>
    <w:rsid w:val="00D84AEA"/>
    <w:rsid w:val="00D84B36"/>
    <w:rsid w:val="00D84B96"/>
    <w:rsid w:val="00D84C2B"/>
    <w:rsid w:val="00D84CE5"/>
    <w:rsid w:val="00D84CFC"/>
    <w:rsid w:val="00D84DB2"/>
    <w:rsid w:val="00D84F04"/>
    <w:rsid w:val="00D85017"/>
    <w:rsid w:val="00D85045"/>
    <w:rsid w:val="00D85084"/>
    <w:rsid w:val="00D8508E"/>
    <w:rsid w:val="00D85090"/>
    <w:rsid w:val="00D850DF"/>
    <w:rsid w:val="00D850E8"/>
    <w:rsid w:val="00D85124"/>
    <w:rsid w:val="00D85160"/>
    <w:rsid w:val="00D85238"/>
    <w:rsid w:val="00D852F2"/>
    <w:rsid w:val="00D8538B"/>
    <w:rsid w:val="00D85408"/>
    <w:rsid w:val="00D8541B"/>
    <w:rsid w:val="00D85455"/>
    <w:rsid w:val="00D854CE"/>
    <w:rsid w:val="00D854DA"/>
    <w:rsid w:val="00D85588"/>
    <w:rsid w:val="00D855BD"/>
    <w:rsid w:val="00D855E4"/>
    <w:rsid w:val="00D855FF"/>
    <w:rsid w:val="00D85679"/>
    <w:rsid w:val="00D856F1"/>
    <w:rsid w:val="00D856F8"/>
    <w:rsid w:val="00D85730"/>
    <w:rsid w:val="00D85770"/>
    <w:rsid w:val="00D85772"/>
    <w:rsid w:val="00D857C2"/>
    <w:rsid w:val="00D857E2"/>
    <w:rsid w:val="00D85827"/>
    <w:rsid w:val="00D85863"/>
    <w:rsid w:val="00D85959"/>
    <w:rsid w:val="00D85AB3"/>
    <w:rsid w:val="00D85B6F"/>
    <w:rsid w:val="00D85B8C"/>
    <w:rsid w:val="00D85BE1"/>
    <w:rsid w:val="00D85C26"/>
    <w:rsid w:val="00D85C96"/>
    <w:rsid w:val="00D85CCC"/>
    <w:rsid w:val="00D85D01"/>
    <w:rsid w:val="00D85D1E"/>
    <w:rsid w:val="00D85DC9"/>
    <w:rsid w:val="00D85E7B"/>
    <w:rsid w:val="00D85F62"/>
    <w:rsid w:val="00D85FD1"/>
    <w:rsid w:val="00D85FE5"/>
    <w:rsid w:val="00D8606C"/>
    <w:rsid w:val="00D86151"/>
    <w:rsid w:val="00D861AC"/>
    <w:rsid w:val="00D86242"/>
    <w:rsid w:val="00D862BD"/>
    <w:rsid w:val="00D86388"/>
    <w:rsid w:val="00D863D7"/>
    <w:rsid w:val="00D863DC"/>
    <w:rsid w:val="00D86432"/>
    <w:rsid w:val="00D866C6"/>
    <w:rsid w:val="00D8672D"/>
    <w:rsid w:val="00D86737"/>
    <w:rsid w:val="00D8685C"/>
    <w:rsid w:val="00D868B3"/>
    <w:rsid w:val="00D86A28"/>
    <w:rsid w:val="00D86A54"/>
    <w:rsid w:val="00D86AB3"/>
    <w:rsid w:val="00D86B03"/>
    <w:rsid w:val="00D86B17"/>
    <w:rsid w:val="00D86B80"/>
    <w:rsid w:val="00D86B89"/>
    <w:rsid w:val="00D86C5A"/>
    <w:rsid w:val="00D86CC2"/>
    <w:rsid w:val="00D86CF2"/>
    <w:rsid w:val="00D86CF8"/>
    <w:rsid w:val="00D86D57"/>
    <w:rsid w:val="00D86D66"/>
    <w:rsid w:val="00D86DAB"/>
    <w:rsid w:val="00D86DEE"/>
    <w:rsid w:val="00D86E92"/>
    <w:rsid w:val="00D86EDB"/>
    <w:rsid w:val="00D86EEC"/>
    <w:rsid w:val="00D86F23"/>
    <w:rsid w:val="00D86FBA"/>
    <w:rsid w:val="00D870AF"/>
    <w:rsid w:val="00D8711D"/>
    <w:rsid w:val="00D87153"/>
    <w:rsid w:val="00D871C8"/>
    <w:rsid w:val="00D871EE"/>
    <w:rsid w:val="00D87200"/>
    <w:rsid w:val="00D8720D"/>
    <w:rsid w:val="00D87288"/>
    <w:rsid w:val="00D87303"/>
    <w:rsid w:val="00D87364"/>
    <w:rsid w:val="00D873A3"/>
    <w:rsid w:val="00D87442"/>
    <w:rsid w:val="00D8749C"/>
    <w:rsid w:val="00D874A4"/>
    <w:rsid w:val="00D874D9"/>
    <w:rsid w:val="00D8750D"/>
    <w:rsid w:val="00D875AF"/>
    <w:rsid w:val="00D875BE"/>
    <w:rsid w:val="00D87679"/>
    <w:rsid w:val="00D87716"/>
    <w:rsid w:val="00D8785A"/>
    <w:rsid w:val="00D87891"/>
    <w:rsid w:val="00D878E6"/>
    <w:rsid w:val="00D8791A"/>
    <w:rsid w:val="00D87976"/>
    <w:rsid w:val="00D8798C"/>
    <w:rsid w:val="00D87B3D"/>
    <w:rsid w:val="00D87BD4"/>
    <w:rsid w:val="00D87C6F"/>
    <w:rsid w:val="00D87CC8"/>
    <w:rsid w:val="00D87D3F"/>
    <w:rsid w:val="00D87DDF"/>
    <w:rsid w:val="00D87DFD"/>
    <w:rsid w:val="00D87E2F"/>
    <w:rsid w:val="00D87E5D"/>
    <w:rsid w:val="00D87E61"/>
    <w:rsid w:val="00D87E92"/>
    <w:rsid w:val="00D87EC4"/>
    <w:rsid w:val="00D87ED9"/>
    <w:rsid w:val="00D87FAD"/>
    <w:rsid w:val="00D87FCD"/>
    <w:rsid w:val="00D87FD6"/>
    <w:rsid w:val="00D90013"/>
    <w:rsid w:val="00D900D3"/>
    <w:rsid w:val="00D9010C"/>
    <w:rsid w:val="00D90110"/>
    <w:rsid w:val="00D901C8"/>
    <w:rsid w:val="00D902E6"/>
    <w:rsid w:val="00D9042C"/>
    <w:rsid w:val="00D9048C"/>
    <w:rsid w:val="00D905D3"/>
    <w:rsid w:val="00D905FE"/>
    <w:rsid w:val="00D90651"/>
    <w:rsid w:val="00D90652"/>
    <w:rsid w:val="00D90793"/>
    <w:rsid w:val="00D907A9"/>
    <w:rsid w:val="00D907F1"/>
    <w:rsid w:val="00D9084A"/>
    <w:rsid w:val="00D90871"/>
    <w:rsid w:val="00D908A0"/>
    <w:rsid w:val="00D908EB"/>
    <w:rsid w:val="00D9096C"/>
    <w:rsid w:val="00D90A98"/>
    <w:rsid w:val="00D90AA6"/>
    <w:rsid w:val="00D90ABD"/>
    <w:rsid w:val="00D90B34"/>
    <w:rsid w:val="00D90B6F"/>
    <w:rsid w:val="00D90C43"/>
    <w:rsid w:val="00D90CDD"/>
    <w:rsid w:val="00D90D44"/>
    <w:rsid w:val="00D90DC6"/>
    <w:rsid w:val="00D90E26"/>
    <w:rsid w:val="00D90F01"/>
    <w:rsid w:val="00D90F28"/>
    <w:rsid w:val="00D90FEA"/>
    <w:rsid w:val="00D90FF1"/>
    <w:rsid w:val="00D91020"/>
    <w:rsid w:val="00D91088"/>
    <w:rsid w:val="00D910DC"/>
    <w:rsid w:val="00D9117C"/>
    <w:rsid w:val="00D91191"/>
    <w:rsid w:val="00D911D4"/>
    <w:rsid w:val="00D9122D"/>
    <w:rsid w:val="00D9130F"/>
    <w:rsid w:val="00D91363"/>
    <w:rsid w:val="00D91371"/>
    <w:rsid w:val="00D91374"/>
    <w:rsid w:val="00D91376"/>
    <w:rsid w:val="00D913A7"/>
    <w:rsid w:val="00D91400"/>
    <w:rsid w:val="00D91465"/>
    <w:rsid w:val="00D914DF"/>
    <w:rsid w:val="00D914EE"/>
    <w:rsid w:val="00D915D2"/>
    <w:rsid w:val="00D917F6"/>
    <w:rsid w:val="00D91809"/>
    <w:rsid w:val="00D9181C"/>
    <w:rsid w:val="00D91879"/>
    <w:rsid w:val="00D918B0"/>
    <w:rsid w:val="00D91916"/>
    <w:rsid w:val="00D9192E"/>
    <w:rsid w:val="00D91939"/>
    <w:rsid w:val="00D91ADB"/>
    <w:rsid w:val="00D91B9E"/>
    <w:rsid w:val="00D91C8A"/>
    <w:rsid w:val="00D91CE6"/>
    <w:rsid w:val="00D91D9C"/>
    <w:rsid w:val="00D91DBF"/>
    <w:rsid w:val="00D91DDC"/>
    <w:rsid w:val="00D91E2C"/>
    <w:rsid w:val="00D91ED6"/>
    <w:rsid w:val="00D91EE2"/>
    <w:rsid w:val="00D91F0D"/>
    <w:rsid w:val="00D91F8A"/>
    <w:rsid w:val="00D9209C"/>
    <w:rsid w:val="00D920F4"/>
    <w:rsid w:val="00D9228A"/>
    <w:rsid w:val="00D92297"/>
    <w:rsid w:val="00D9245B"/>
    <w:rsid w:val="00D9254D"/>
    <w:rsid w:val="00D92580"/>
    <w:rsid w:val="00D925A1"/>
    <w:rsid w:val="00D92636"/>
    <w:rsid w:val="00D926F0"/>
    <w:rsid w:val="00D9276D"/>
    <w:rsid w:val="00D92854"/>
    <w:rsid w:val="00D9288C"/>
    <w:rsid w:val="00D928A5"/>
    <w:rsid w:val="00D928AF"/>
    <w:rsid w:val="00D928E9"/>
    <w:rsid w:val="00D92951"/>
    <w:rsid w:val="00D9297C"/>
    <w:rsid w:val="00D92A08"/>
    <w:rsid w:val="00D92A1F"/>
    <w:rsid w:val="00D92A4B"/>
    <w:rsid w:val="00D92B20"/>
    <w:rsid w:val="00D92C2D"/>
    <w:rsid w:val="00D92CDC"/>
    <w:rsid w:val="00D92CE5"/>
    <w:rsid w:val="00D92CFD"/>
    <w:rsid w:val="00D92DB3"/>
    <w:rsid w:val="00D92DB9"/>
    <w:rsid w:val="00D92E97"/>
    <w:rsid w:val="00D92F14"/>
    <w:rsid w:val="00D92FA1"/>
    <w:rsid w:val="00D92FD4"/>
    <w:rsid w:val="00D93125"/>
    <w:rsid w:val="00D93173"/>
    <w:rsid w:val="00D931D4"/>
    <w:rsid w:val="00D931F2"/>
    <w:rsid w:val="00D9322D"/>
    <w:rsid w:val="00D932AE"/>
    <w:rsid w:val="00D932B4"/>
    <w:rsid w:val="00D932E9"/>
    <w:rsid w:val="00D93364"/>
    <w:rsid w:val="00D933EF"/>
    <w:rsid w:val="00D93495"/>
    <w:rsid w:val="00D9350F"/>
    <w:rsid w:val="00D93531"/>
    <w:rsid w:val="00D935C9"/>
    <w:rsid w:val="00D93602"/>
    <w:rsid w:val="00D93656"/>
    <w:rsid w:val="00D936A0"/>
    <w:rsid w:val="00D9373F"/>
    <w:rsid w:val="00D9377D"/>
    <w:rsid w:val="00D93962"/>
    <w:rsid w:val="00D93A8C"/>
    <w:rsid w:val="00D93AD6"/>
    <w:rsid w:val="00D93B33"/>
    <w:rsid w:val="00D93B37"/>
    <w:rsid w:val="00D93BCF"/>
    <w:rsid w:val="00D93C34"/>
    <w:rsid w:val="00D93C9C"/>
    <w:rsid w:val="00D93CED"/>
    <w:rsid w:val="00D93D19"/>
    <w:rsid w:val="00D93D62"/>
    <w:rsid w:val="00D93D9A"/>
    <w:rsid w:val="00D93DAF"/>
    <w:rsid w:val="00D93E1E"/>
    <w:rsid w:val="00D93E22"/>
    <w:rsid w:val="00D93FD2"/>
    <w:rsid w:val="00D940E1"/>
    <w:rsid w:val="00D94341"/>
    <w:rsid w:val="00D9441B"/>
    <w:rsid w:val="00D94477"/>
    <w:rsid w:val="00D944AF"/>
    <w:rsid w:val="00D944D3"/>
    <w:rsid w:val="00D94563"/>
    <w:rsid w:val="00D945B3"/>
    <w:rsid w:val="00D945C9"/>
    <w:rsid w:val="00D9470A"/>
    <w:rsid w:val="00D9471D"/>
    <w:rsid w:val="00D9484B"/>
    <w:rsid w:val="00D9488E"/>
    <w:rsid w:val="00D948F9"/>
    <w:rsid w:val="00D94970"/>
    <w:rsid w:val="00D9497E"/>
    <w:rsid w:val="00D94ABB"/>
    <w:rsid w:val="00D94B04"/>
    <w:rsid w:val="00D94BB3"/>
    <w:rsid w:val="00D94CB0"/>
    <w:rsid w:val="00D94CD0"/>
    <w:rsid w:val="00D94CE0"/>
    <w:rsid w:val="00D94CED"/>
    <w:rsid w:val="00D94D24"/>
    <w:rsid w:val="00D94D5F"/>
    <w:rsid w:val="00D94DA6"/>
    <w:rsid w:val="00D94DCF"/>
    <w:rsid w:val="00D94E5D"/>
    <w:rsid w:val="00D94EAE"/>
    <w:rsid w:val="00D94EC4"/>
    <w:rsid w:val="00D95059"/>
    <w:rsid w:val="00D95165"/>
    <w:rsid w:val="00D951A1"/>
    <w:rsid w:val="00D95247"/>
    <w:rsid w:val="00D95261"/>
    <w:rsid w:val="00D95265"/>
    <w:rsid w:val="00D952F6"/>
    <w:rsid w:val="00D95376"/>
    <w:rsid w:val="00D953AC"/>
    <w:rsid w:val="00D95416"/>
    <w:rsid w:val="00D95455"/>
    <w:rsid w:val="00D954A1"/>
    <w:rsid w:val="00D95685"/>
    <w:rsid w:val="00D9573F"/>
    <w:rsid w:val="00D95811"/>
    <w:rsid w:val="00D95823"/>
    <w:rsid w:val="00D959B3"/>
    <w:rsid w:val="00D95B11"/>
    <w:rsid w:val="00D95B2B"/>
    <w:rsid w:val="00D95CB2"/>
    <w:rsid w:val="00D95D3D"/>
    <w:rsid w:val="00D95D83"/>
    <w:rsid w:val="00D95E65"/>
    <w:rsid w:val="00D95EA6"/>
    <w:rsid w:val="00D95F6B"/>
    <w:rsid w:val="00D95F9A"/>
    <w:rsid w:val="00D96064"/>
    <w:rsid w:val="00D9608E"/>
    <w:rsid w:val="00D96165"/>
    <w:rsid w:val="00D962C2"/>
    <w:rsid w:val="00D96306"/>
    <w:rsid w:val="00D96403"/>
    <w:rsid w:val="00D9645F"/>
    <w:rsid w:val="00D964A8"/>
    <w:rsid w:val="00D96627"/>
    <w:rsid w:val="00D9668A"/>
    <w:rsid w:val="00D9674C"/>
    <w:rsid w:val="00D96776"/>
    <w:rsid w:val="00D96854"/>
    <w:rsid w:val="00D9693C"/>
    <w:rsid w:val="00D96977"/>
    <w:rsid w:val="00D969FE"/>
    <w:rsid w:val="00D96A11"/>
    <w:rsid w:val="00D96A48"/>
    <w:rsid w:val="00D96AD4"/>
    <w:rsid w:val="00D96CA9"/>
    <w:rsid w:val="00D96CEA"/>
    <w:rsid w:val="00D96D11"/>
    <w:rsid w:val="00D96D37"/>
    <w:rsid w:val="00D96D65"/>
    <w:rsid w:val="00D96D71"/>
    <w:rsid w:val="00D96DB2"/>
    <w:rsid w:val="00D96DDB"/>
    <w:rsid w:val="00D96DE3"/>
    <w:rsid w:val="00D96E43"/>
    <w:rsid w:val="00D96E4A"/>
    <w:rsid w:val="00D96E4C"/>
    <w:rsid w:val="00D96F38"/>
    <w:rsid w:val="00D970C0"/>
    <w:rsid w:val="00D97120"/>
    <w:rsid w:val="00D9715D"/>
    <w:rsid w:val="00D972CC"/>
    <w:rsid w:val="00D97343"/>
    <w:rsid w:val="00D973B5"/>
    <w:rsid w:val="00D97416"/>
    <w:rsid w:val="00D9757D"/>
    <w:rsid w:val="00D9758B"/>
    <w:rsid w:val="00D9759F"/>
    <w:rsid w:val="00D97648"/>
    <w:rsid w:val="00D9764A"/>
    <w:rsid w:val="00D976DC"/>
    <w:rsid w:val="00D976EA"/>
    <w:rsid w:val="00D97708"/>
    <w:rsid w:val="00D97912"/>
    <w:rsid w:val="00D9797C"/>
    <w:rsid w:val="00D9799E"/>
    <w:rsid w:val="00D979BB"/>
    <w:rsid w:val="00D97A9C"/>
    <w:rsid w:val="00D97B20"/>
    <w:rsid w:val="00D97B70"/>
    <w:rsid w:val="00D97B7A"/>
    <w:rsid w:val="00D97B95"/>
    <w:rsid w:val="00D97BE7"/>
    <w:rsid w:val="00D97C23"/>
    <w:rsid w:val="00D97C9B"/>
    <w:rsid w:val="00D97C9C"/>
    <w:rsid w:val="00D97D53"/>
    <w:rsid w:val="00D97E05"/>
    <w:rsid w:val="00D97E2F"/>
    <w:rsid w:val="00D97E33"/>
    <w:rsid w:val="00D97E5B"/>
    <w:rsid w:val="00D97ECD"/>
    <w:rsid w:val="00D97EEB"/>
    <w:rsid w:val="00D97EFF"/>
    <w:rsid w:val="00D97F58"/>
    <w:rsid w:val="00DA0054"/>
    <w:rsid w:val="00DA01B3"/>
    <w:rsid w:val="00DA01F9"/>
    <w:rsid w:val="00DA0276"/>
    <w:rsid w:val="00DA0309"/>
    <w:rsid w:val="00DA03F1"/>
    <w:rsid w:val="00DA0421"/>
    <w:rsid w:val="00DA043A"/>
    <w:rsid w:val="00DA04B5"/>
    <w:rsid w:val="00DA0529"/>
    <w:rsid w:val="00DA056F"/>
    <w:rsid w:val="00DA058E"/>
    <w:rsid w:val="00DA063D"/>
    <w:rsid w:val="00DA068F"/>
    <w:rsid w:val="00DA069A"/>
    <w:rsid w:val="00DA06D2"/>
    <w:rsid w:val="00DA07C6"/>
    <w:rsid w:val="00DA08D1"/>
    <w:rsid w:val="00DA0A63"/>
    <w:rsid w:val="00DA0A71"/>
    <w:rsid w:val="00DA0ADF"/>
    <w:rsid w:val="00DA0AEC"/>
    <w:rsid w:val="00DA0B2C"/>
    <w:rsid w:val="00DA0B34"/>
    <w:rsid w:val="00DA0BE4"/>
    <w:rsid w:val="00DA0C02"/>
    <w:rsid w:val="00DA0C35"/>
    <w:rsid w:val="00DA0C69"/>
    <w:rsid w:val="00DA0CBD"/>
    <w:rsid w:val="00DA0CCE"/>
    <w:rsid w:val="00DA0CFD"/>
    <w:rsid w:val="00DA0DCC"/>
    <w:rsid w:val="00DA0DDD"/>
    <w:rsid w:val="00DA0E03"/>
    <w:rsid w:val="00DA0E10"/>
    <w:rsid w:val="00DA0E50"/>
    <w:rsid w:val="00DA105E"/>
    <w:rsid w:val="00DA107E"/>
    <w:rsid w:val="00DA11E3"/>
    <w:rsid w:val="00DA12C0"/>
    <w:rsid w:val="00DA131A"/>
    <w:rsid w:val="00DA1335"/>
    <w:rsid w:val="00DA135F"/>
    <w:rsid w:val="00DA13E2"/>
    <w:rsid w:val="00DA1433"/>
    <w:rsid w:val="00DA1504"/>
    <w:rsid w:val="00DA15D6"/>
    <w:rsid w:val="00DA1620"/>
    <w:rsid w:val="00DA166A"/>
    <w:rsid w:val="00DA16E8"/>
    <w:rsid w:val="00DA17DE"/>
    <w:rsid w:val="00DA1824"/>
    <w:rsid w:val="00DA1846"/>
    <w:rsid w:val="00DA184D"/>
    <w:rsid w:val="00DA1979"/>
    <w:rsid w:val="00DA1A46"/>
    <w:rsid w:val="00DA1AB8"/>
    <w:rsid w:val="00DA1B1F"/>
    <w:rsid w:val="00DA1B34"/>
    <w:rsid w:val="00DA1C50"/>
    <w:rsid w:val="00DA1E56"/>
    <w:rsid w:val="00DA1E88"/>
    <w:rsid w:val="00DA1F05"/>
    <w:rsid w:val="00DA1F45"/>
    <w:rsid w:val="00DA1F46"/>
    <w:rsid w:val="00DA1FCC"/>
    <w:rsid w:val="00DA2016"/>
    <w:rsid w:val="00DA20D9"/>
    <w:rsid w:val="00DA2103"/>
    <w:rsid w:val="00DA2196"/>
    <w:rsid w:val="00DA21AC"/>
    <w:rsid w:val="00DA21C5"/>
    <w:rsid w:val="00DA2211"/>
    <w:rsid w:val="00DA22AD"/>
    <w:rsid w:val="00DA2390"/>
    <w:rsid w:val="00DA23C1"/>
    <w:rsid w:val="00DA23F5"/>
    <w:rsid w:val="00DA2557"/>
    <w:rsid w:val="00DA2563"/>
    <w:rsid w:val="00DA25F7"/>
    <w:rsid w:val="00DA2644"/>
    <w:rsid w:val="00DA2679"/>
    <w:rsid w:val="00DA2908"/>
    <w:rsid w:val="00DA296A"/>
    <w:rsid w:val="00DA29A3"/>
    <w:rsid w:val="00DA29B3"/>
    <w:rsid w:val="00DA2A9F"/>
    <w:rsid w:val="00DA2AE6"/>
    <w:rsid w:val="00DA2B7F"/>
    <w:rsid w:val="00DA2CD8"/>
    <w:rsid w:val="00DA2CEC"/>
    <w:rsid w:val="00DA2CEE"/>
    <w:rsid w:val="00DA2D68"/>
    <w:rsid w:val="00DA2D8C"/>
    <w:rsid w:val="00DA2DA8"/>
    <w:rsid w:val="00DA2DED"/>
    <w:rsid w:val="00DA2E55"/>
    <w:rsid w:val="00DA2E65"/>
    <w:rsid w:val="00DA2ED7"/>
    <w:rsid w:val="00DA2EED"/>
    <w:rsid w:val="00DA2EF9"/>
    <w:rsid w:val="00DA3044"/>
    <w:rsid w:val="00DA3056"/>
    <w:rsid w:val="00DA308C"/>
    <w:rsid w:val="00DA3250"/>
    <w:rsid w:val="00DA334C"/>
    <w:rsid w:val="00DA336D"/>
    <w:rsid w:val="00DA33AB"/>
    <w:rsid w:val="00DA33F6"/>
    <w:rsid w:val="00DA3431"/>
    <w:rsid w:val="00DA343A"/>
    <w:rsid w:val="00DA34F0"/>
    <w:rsid w:val="00DA352D"/>
    <w:rsid w:val="00DA3540"/>
    <w:rsid w:val="00DA3679"/>
    <w:rsid w:val="00DA370C"/>
    <w:rsid w:val="00DA3731"/>
    <w:rsid w:val="00DA3895"/>
    <w:rsid w:val="00DA3922"/>
    <w:rsid w:val="00DA39EC"/>
    <w:rsid w:val="00DA3A60"/>
    <w:rsid w:val="00DA3AD6"/>
    <w:rsid w:val="00DA3B4F"/>
    <w:rsid w:val="00DA3B77"/>
    <w:rsid w:val="00DA3C65"/>
    <w:rsid w:val="00DA3D20"/>
    <w:rsid w:val="00DA3D3A"/>
    <w:rsid w:val="00DA3E02"/>
    <w:rsid w:val="00DA3E09"/>
    <w:rsid w:val="00DA3E33"/>
    <w:rsid w:val="00DA3E3D"/>
    <w:rsid w:val="00DA3EAB"/>
    <w:rsid w:val="00DA3EF8"/>
    <w:rsid w:val="00DA3F0B"/>
    <w:rsid w:val="00DA3F23"/>
    <w:rsid w:val="00DA3F71"/>
    <w:rsid w:val="00DA407D"/>
    <w:rsid w:val="00DA4120"/>
    <w:rsid w:val="00DA4127"/>
    <w:rsid w:val="00DA4128"/>
    <w:rsid w:val="00DA4282"/>
    <w:rsid w:val="00DA4355"/>
    <w:rsid w:val="00DA4387"/>
    <w:rsid w:val="00DA4419"/>
    <w:rsid w:val="00DA442F"/>
    <w:rsid w:val="00DA449F"/>
    <w:rsid w:val="00DA4639"/>
    <w:rsid w:val="00DA46FE"/>
    <w:rsid w:val="00DA472B"/>
    <w:rsid w:val="00DA477C"/>
    <w:rsid w:val="00DA47AC"/>
    <w:rsid w:val="00DA4842"/>
    <w:rsid w:val="00DA48C5"/>
    <w:rsid w:val="00DA4A4F"/>
    <w:rsid w:val="00DA4B23"/>
    <w:rsid w:val="00DA4B93"/>
    <w:rsid w:val="00DA4C80"/>
    <w:rsid w:val="00DA4DBB"/>
    <w:rsid w:val="00DA4DC8"/>
    <w:rsid w:val="00DA4DEA"/>
    <w:rsid w:val="00DA4E5C"/>
    <w:rsid w:val="00DA4E81"/>
    <w:rsid w:val="00DA4E8B"/>
    <w:rsid w:val="00DA4FE6"/>
    <w:rsid w:val="00DA501B"/>
    <w:rsid w:val="00DA507E"/>
    <w:rsid w:val="00DA5141"/>
    <w:rsid w:val="00DA51AC"/>
    <w:rsid w:val="00DA51D0"/>
    <w:rsid w:val="00DA51F1"/>
    <w:rsid w:val="00DA532C"/>
    <w:rsid w:val="00DA5463"/>
    <w:rsid w:val="00DA549C"/>
    <w:rsid w:val="00DA54CB"/>
    <w:rsid w:val="00DA55A9"/>
    <w:rsid w:val="00DA55BE"/>
    <w:rsid w:val="00DA57DC"/>
    <w:rsid w:val="00DA586F"/>
    <w:rsid w:val="00DA589F"/>
    <w:rsid w:val="00DA58CD"/>
    <w:rsid w:val="00DA593A"/>
    <w:rsid w:val="00DA5961"/>
    <w:rsid w:val="00DA598C"/>
    <w:rsid w:val="00DA5A28"/>
    <w:rsid w:val="00DA5A34"/>
    <w:rsid w:val="00DA5B34"/>
    <w:rsid w:val="00DA5C04"/>
    <w:rsid w:val="00DA5C22"/>
    <w:rsid w:val="00DA5C65"/>
    <w:rsid w:val="00DA5C6D"/>
    <w:rsid w:val="00DA5C82"/>
    <w:rsid w:val="00DA5C93"/>
    <w:rsid w:val="00DA5CDD"/>
    <w:rsid w:val="00DA5D31"/>
    <w:rsid w:val="00DA5DAB"/>
    <w:rsid w:val="00DA5EB5"/>
    <w:rsid w:val="00DA5EB9"/>
    <w:rsid w:val="00DA5EF9"/>
    <w:rsid w:val="00DA5F5C"/>
    <w:rsid w:val="00DA5F9B"/>
    <w:rsid w:val="00DA60C6"/>
    <w:rsid w:val="00DA610B"/>
    <w:rsid w:val="00DA610D"/>
    <w:rsid w:val="00DA616D"/>
    <w:rsid w:val="00DA61CE"/>
    <w:rsid w:val="00DA6456"/>
    <w:rsid w:val="00DA64B0"/>
    <w:rsid w:val="00DA655F"/>
    <w:rsid w:val="00DA6577"/>
    <w:rsid w:val="00DA6628"/>
    <w:rsid w:val="00DA6631"/>
    <w:rsid w:val="00DA66CB"/>
    <w:rsid w:val="00DA6725"/>
    <w:rsid w:val="00DA6741"/>
    <w:rsid w:val="00DA67D8"/>
    <w:rsid w:val="00DA68BD"/>
    <w:rsid w:val="00DA68D4"/>
    <w:rsid w:val="00DA6957"/>
    <w:rsid w:val="00DA6A60"/>
    <w:rsid w:val="00DA6A74"/>
    <w:rsid w:val="00DA6B9B"/>
    <w:rsid w:val="00DA6C86"/>
    <w:rsid w:val="00DA6C87"/>
    <w:rsid w:val="00DA6C8A"/>
    <w:rsid w:val="00DA6CB4"/>
    <w:rsid w:val="00DA6D82"/>
    <w:rsid w:val="00DA6E74"/>
    <w:rsid w:val="00DA6F01"/>
    <w:rsid w:val="00DA6F57"/>
    <w:rsid w:val="00DA6F93"/>
    <w:rsid w:val="00DA6FAD"/>
    <w:rsid w:val="00DA6FAF"/>
    <w:rsid w:val="00DA6FD0"/>
    <w:rsid w:val="00DA7082"/>
    <w:rsid w:val="00DA7083"/>
    <w:rsid w:val="00DA70FA"/>
    <w:rsid w:val="00DA71DE"/>
    <w:rsid w:val="00DA72D6"/>
    <w:rsid w:val="00DA7382"/>
    <w:rsid w:val="00DA73AC"/>
    <w:rsid w:val="00DA73E0"/>
    <w:rsid w:val="00DA7451"/>
    <w:rsid w:val="00DA74C9"/>
    <w:rsid w:val="00DA7503"/>
    <w:rsid w:val="00DA7506"/>
    <w:rsid w:val="00DA751B"/>
    <w:rsid w:val="00DA75C9"/>
    <w:rsid w:val="00DA7606"/>
    <w:rsid w:val="00DA765E"/>
    <w:rsid w:val="00DA76BF"/>
    <w:rsid w:val="00DA76C9"/>
    <w:rsid w:val="00DA7784"/>
    <w:rsid w:val="00DA77D7"/>
    <w:rsid w:val="00DA7807"/>
    <w:rsid w:val="00DA783C"/>
    <w:rsid w:val="00DA7902"/>
    <w:rsid w:val="00DA791A"/>
    <w:rsid w:val="00DA79A2"/>
    <w:rsid w:val="00DA79C9"/>
    <w:rsid w:val="00DA79DD"/>
    <w:rsid w:val="00DA7ACA"/>
    <w:rsid w:val="00DA7B32"/>
    <w:rsid w:val="00DA7C88"/>
    <w:rsid w:val="00DA7D12"/>
    <w:rsid w:val="00DA7DBA"/>
    <w:rsid w:val="00DA7E0C"/>
    <w:rsid w:val="00DA7E38"/>
    <w:rsid w:val="00DA7FA2"/>
    <w:rsid w:val="00DB0084"/>
    <w:rsid w:val="00DB00C2"/>
    <w:rsid w:val="00DB0100"/>
    <w:rsid w:val="00DB0275"/>
    <w:rsid w:val="00DB02B5"/>
    <w:rsid w:val="00DB0304"/>
    <w:rsid w:val="00DB035B"/>
    <w:rsid w:val="00DB03A4"/>
    <w:rsid w:val="00DB03D0"/>
    <w:rsid w:val="00DB043A"/>
    <w:rsid w:val="00DB0480"/>
    <w:rsid w:val="00DB04E3"/>
    <w:rsid w:val="00DB05C7"/>
    <w:rsid w:val="00DB0615"/>
    <w:rsid w:val="00DB0634"/>
    <w:rsid w:val="00DB076C"/>
    <w:rsid w:val="00DB07C0"/>
    <w:rsid w:val="00DB07DC"/>
    <w:rsid w:val="00DB08DA"/>
    <w:rsid w:val="00DB0923"/>
    <w:rsid w:val="00DB093D"/>
    <w:rsid w:val="00DB0A2D"/>
    <w:rsid w:val="00DB0A78"/>
    <w:rsid w:val="00DB0A90"/>
    <w:rsid w:val="00DB0B6A"/>
    <w:rsid w:val="00DB0D4D"/>
    <w:rsid w:val="00DB0D6D"/>
    <w:rsid w:val="00DB0DE0"/>
    <w:rsid w:val="00DB0E74"/>
    <w:rsid w:val="00DB0F15"/>
    <w:rsid w:val="00DB0F7A"/>
    <w:rsid w:val="00DB126F"/>
    <w:rsid w:val="00DB12A6"/>
    <w:rsid w:val="00DB12B2"/>
    <w:rsid w:val="00DB1345"/>
    <w:rsid w:val="00DB144E"/>
    <w:rsid w:val="00DB1473"/>
    <w:rsid w:val="00DB155C"/>
    <w:rsid w:val="00DB1629"/>
    <w:rsid w:val="00DB163B"/>
    <w:rsid w:val="00DB166D"/>
    <w:rsid w:val="00DB169A"/>
    <w:rsid w:val="00DB1761"/>
    <w:rsid w:val="00DB184F"/>
    <w:rsid w:val="00DB189C"/>
    <w:rsid w:val="00DB19C9"/>
    <w:rsid w:val="00DB1B15"/>
    <w:rsid w:val="00DB1C36"/>
    <w:rsid w:val="00DB1C3C"/>
    <w:rsid w:val="00DB1C5D"/>
    <w:rsid w:val="00DB1C62"/>
    <w:rsid w:val="00DB1E46"/>
    <w:rsid w:val="00DB1EBD"/>
    <w:rsid w:val="00DB1F0B"/>
    <w:rsid w:val="00DB1F4C"/>
    <w:rsid w:val="00DB1F4F"/>
    <w:rsid w:val="00DB1F6B"/>
    <w:rsid w:val="00DB2088"/>
    <w:rsid w:val="00DB20FE"/>
    <w:rsid w:val="00DB211D"/>
    <w:rsid w:val="00DB215D"/>
    <w:rsid w:val="00DB216C"/>
    <w:rsid w:val="00DB21C3"/>
    <w:rsid w:val="00DB2214"/>
    <w:rsid w:val="00DB22B4"/>
    <w:rsid w:val="00DB235F"/>
    <w:rsid w:val="00DB23ED"/>
    <w:rsid w:val="00DB2445"/>
    <w:rsid w:val="00DB24D3"/>
    <w:rsid w:val="00DB2522"/>
    <w:rsid w:val="00DB25C3"/>
    <w:rsid w:val="00DB25FC"/>
    <w:rsid w:val="00DB261B"/>
    <w:rsid w:val="00DB2731"/>
    <w:rsid w:val="00DB2748"/>
    <w:rsid w:val="00DB2773"/>
    <w:rsid w:val="00DB27A8"/>
    <w:rsid w:val="00DB27D2"/>
    <w:rsid w:val="00DB283F"/>
    <w:rsid w:val="00DB2877"/>
    <w:rsid w:val="00DB28C2"/>
    <w:rsid w:val="00DB2911"/>
    <w:rsid w:val="00DB291E"/>
    <w:rsid w:val="00DB2953"/>
    <w:rsid w:val="00DB2A21"/>
    <w:rsid w:val="00DB2AA0"/>
    <w:rsid w:val="00DB2B74"/>
    <w:rsid w:val="00DB2C56"/>
    <w:rsid w:val="00DB2C86"/>
    <w:rsid w:val="00DB2C9B"/>
    <w:rsid w:val="00DB2DDD"/>
    <w:rsid w:val="00DB2DE3"/>
    <w:rsid w:val="00DB2F2E"/>
    <w:rsid w:val="00DB2F9F"/>
    <w:rsid w:val="00DB3123"/>
    <w:rsid w:val="00DB3141"/>
    <w:rsid w:val="00DB32DB"/>
    <w:rsid w:val="00DB3385"/>
    <w:rsid w:val="00DB34AC"/>
    <w:rsid w:val="00DB355C"/>
    <w:rsid w:val="00DB357C"/>
    <w:rsid w:val="00DB35AA"/>
    <w:rsid w:val="00DB35AC"/>
    <w:rsid w:val="00DB35C6"/>
    <w:rsid w:val="00DB372F"/>
    <w:rsid w:val="00DB379A"/>
    <w:rsid w:val="00DB37D3"/>
    <w:rsid w:val="00DB37EE"/>
    <w:rsid w:val="00DB3831"/>
    <w:rsid w:val="00DB386C"/>
    <w:rsid w:val="00DB38D9"/>
    <w:rsid w:val="00DB3941"/>
    <w:rsid w:val="00DB395C"/>
    <w:rsid w:val="00DB39F1"/>
    <w:rsid w:val="00DB39F9"/>
    <w:rsid w:val="00DB3AAE"/>
    <w:rsid w:val="00DB3BBD"/>
    <w:rsid w:val="00DB3C1B"/>
    <w:rsid w:val="00DB3C24"/>
    <w:rsid w:val="00DB3C65"/>
    <w:rsid w:val="00DB3CB3"/>
    <w:rsid w:val="00DB3CED"/>
    <w:rsid w:val="00DB3D5F"/>
    <w:rsid w:val="00DB3ED6"/>
    <w:rsid w:val="00DB3EFD"/>
    <w:rsid w:val="00DB4026"/>
    <w:rsid w:val="00DB40B7"/>
    <w:rsid w:val="00DB40D9"/>
    <w:rsid w:val="00DB4118"/>
    <w:rsid w:val="00DB4193"/>
    <w:rsid w:val="00DB42A5"/>
    <w:rsid w:val="00DB4309"/>
    <w:rsid w:val="00DB431E"/>
    <w:rsid w:val="00DB4323"/>
    <w:rsid w:val="00DB432E"/>
    <w:rsid w:val="00DB4445"/>
    <w:rsid w:val="00DB45A0"/>
    <w:rsid w:val="00DB4603"/>
    <w:rsid w:val="00DB4667"/>
    <w:rsid w:val="00DB46E1"/>
    <w:rsid w:val="00DB46F5"/>
    <w:rsid w:val="00DB4819"/>
    <w:rsid w:val="00DB481D"/>
    <w:rsid w:val="00DB4904"/>
    <w:rsid w:val="00DB4970"/>
    <w:rsid w:val="00DB49A8"/>
    <w:rsid w:val="00DB4A8D"/>
    <w:rsid w:val="00DB4C11"/>
    <w:rsid w:val="00DB4C92"/>
    <w:rsid w:val="00DB4EB3"/>
    <w:rsid w:val="00DB4EEF"/>
    <w:rsid w:val="00DB4FA0"/>
    <w:rsid w:val="00DB4FE0"/>
    <w:rsid w:val="00DB5098"/>
    <w:rsid w:val="00DB513E"/>
    <w:rsid w:val="00DB517E"/>
    <w:rsid w:val="00DB519D"/>
    <w:rsid w:val="00DB5284"/>
    <w:rsid w:val="00DB53DD"/>
    <w:rsid w:val="00DB547C"/>
    <w:rsid w:val="00DB54D1"/>
    <w:rsid w:val="00DB5653"/>
    <w:rsid w:val="00DB5689"/>
    <w:rsid w:val="00DB574C"/>
    <w:rsid w:val="00DB5772"/>
    <w:rsid w:val="00DB5826"/>
    <w:rsid w:val="00DB5827"/>
    <w:rsid w:val="00DB5846"/>
    <w:rsid w:val="00DB585E"/>
    <w:rsid w:val="00DB5869"/>
    <w:rsid w:val="00DB5899"/>
    <w:rsid w:val="00DB589A"/>
    <w:rsid w:val="00DB58F6"/>
    <w:rsid w:val="00DB5922"/>
    <w:rsid w:val="00DB5A99"/>
    <w:rsid w:val="00DB5ACF"/>
    <w:rsid w:val="00DB5ADA"/>
    <w:rsid w:val="00DB5B2C"/>
    <w:rsid w:val="00DB5B6E"/>
    <w:rsid w:val="00DB5BB1"/>
    <w:rsid w:val="00DB5C5F"/>
    <w:rsid w:val="00DB5C6F"/>
    <w:rsid w:val="00DB5CBC"/>
    <w:rsid w:val="00DB5CEA"/>
    <w:rsid w:val="00DB5D9E"/>
    <w:rsid w:val="00DB5E34"/>
    <w:rsid w:val="00DB5EDC"/>
    <w:rsid w:val="00DB5F9C"/>
    <w:rsid w:val="00DB5FCE"/>
    <w:rsid w:val="00DB5FF8"/>
    <w:rsid w:val="00DB6010"/>
    <w:rsid w:val="00DB613C"/>
    <w:rsid w:val="00DB6140"/>
    <w:rsid w:val="00DB623F"/>
    <w:rsid w:val="00DB62B5"/>
    <w:rsid w:val="00DB62CE"/>
    <w:rsid w:val="00DB62DC"/>
    <w:rsid w:val="00DB631E"/>
    <w:rsid w:val="00DB632E"/>
    <w:rsid w:val="00DB6372"/>
    <w:rsid w:val="00DB637F"/>
    <w:rsid w:val="00DB6399"/>
    <w:rsid w:val="00DB6484"/>
    <w:rsid w:val="00DB64BA"/>
    <w:rsid w:val="00DB64DC"/>
    <w:rsid w:val="00DB64E5"/>
    <w:rsid w:val="00DB651A"/>
    <w:rsid w:val="00DB660C"/>
    <w:rsid w:val="00DB661B"/>
    <w:rsid w:val="00DB66DB"/>
    <w:rsid w:val="00DB66E8"/>
    <w:rsid w:val="00DB670E"/>
    <w:rsid w:val="00DB6738"/>
    <w:rsid w:val="00DB6757"/>
    <w:rsid w:val="00DB679A"/>
    <w:rsid w:val="00DB6825"/>
    <w:rsid w:val="00DB68AE"/>
    <w:rsid w:val="00DB68D5"/>
    <w:rsid w:val="00DB6938"/>
    <w:rsid w:val="00DB6A29"/>
    <w:rsid w:val="00DB6A43"/>
    <w:rsid w:val="00DB6A4E"/>
    <w:rsid w:val="00DB6AAB"/>
    <w:rsid w:val="00DB6AF8"/>
    <w:rsid w:val="00DB6BD9"/>
    <w:rsid w:val="00DB6C17"/>
    <w:rsid w:val="00DB6CBB"/>
    <w:rsid w:val="00DB6CC9"/>
    <w:rsid w:val="00DB6CCB"/>
    <w:rsid w:val="00DB6D53"/>
    <w:rsid w:val="00DB6D57"/>
    <w:rsid w:val="00DB6DA6"/>
    <w:rsid w:val="00DB6DA9"/>
    <w:rsid w:val="00DB6E67"/>
    <w:rsid w:val="00DB6E6F"/>
    <w:rsid w:val="00DB6E7E"/>
    <w:rsid w:val="00DB6ECB"/>
    <w:rsid w:val="00DB6ECF"/>
    <w:rsid w:val="00DB6EF4"/>
    <w:rsid w:val="00DB6F5A"/>
    <w:rsid w:val="00DB704E"/>
    <w:rsid w:val="00DB7234"/>
    <w:rsid w:val="00DB7278"/>
    <w:rsid w:val="00DB7357"/>
    <w:rsid w:val="00DB7380"/>
    <w:rsid w:val="00DB73AD"/>
    <w:rsid w:val="00DB73C2"/>
    <w:rsid w:val="00DB7411"/>
    <w:rsid w:val="00DB7449"/>
    <w:rsid w:val="00DB744B"/>
    <w:rsid w:val="00DB74DF"/>
    <w:rsid w:val="00DB75AD"/>
    <w:rsid w:val="00DB76BF"/>
    <w:rsid w:val="00DB772B"/>
    <w:rsid w:val="00DB7759"/>
    <w:rsid w:val="00DB7871"/>
    <w:rsid w:val="00DB7880"/>
    <w:rsid w:val="00DB78B6"/>
    <w:rsid w:val="00DB79E9"/>
    <w:rsid w:val="00DB7A37"/>
    <w:rsid w:val="00DB7A53"/>
    <w:rsid w:val="00DB7A61"/>
    <w:rsid w:val="00DB7C56"/>
    <w:rsid w:val="00DB7CD8"/>
    <w:rsid w:val="00DB7CDE"/>
    <w:rsid w:val="00DB7D28"/>
    <w:rsid w:val="00DB7D34"/>
    <w:rsid w:val="00DB7DDE"/>
    <w:rsid w:val="00DB7E5B"/>
    <w:rsid w:val="00DB7E5E"/>
    <w:rsid w:val="00DB7F09"/>
    <w:rsid w:val="00DB7F62"/>
    <w:rsid w:val="00DB7FC0"/>
    <w:rsid w:val="00DB7FE3"/>
    <w:rsid w:val="00DC009A"/>
    <w:rsid w:val="00DC00E8"/>
    <w:rsid w:val="00DC0118"/>
    <w:rsid w:val="00DC0177"/>
    <w:rsid w:val="00DC01DE"/>
    <w:rsid w:val="00DC02AD"/>
    <w:rsid w:val="00DC02B8"/>
    <w:rsid w:val="00DC02EF"/>
    <w:rsid w:val="00DC02F5"/>
    <w:rsid w:val="00DC0341"/>
    <w:rsid w:val="00DC036A"/>
    <w:rsid w:val="00DC0465"/>
    <w:rsid w:val="00DC046F"/>
    <w:rsid w:val="00DC04E5"/>
    <w:rsid w:val="00DC0585"/>
    <w:rsid w:val="00DC0668"/>
    <w:rsid w:val="00DC06C8"/>
    <w:rsid w:val="00DC0837"/>
    <w:rsid w:val="00DC0885"/>
    <w:rsid w:val="00DC08D4"/>
    <w:rsid w:val="00DC092F"/>
    <w:rsid w:val="00DC09EB"/>
    <w:rsid w:val="00DC09F4"/>
    <w:rsid w:val="00DC0AB0"/>
    <w:rsid w:val="00DC0B7D"/>
    <w:rsid w:val="00DC0B85"/>
    <w:rsid w:val="00DC0B9F"/>
    <w:rsid w:val="00DC0CBF"/>
    <w:rsid w:val="00DC0D44"/>
    <w:rsid w:val="00DC0D70"/>
    <w:rsid w:val="00DC0D9F"/>
    <w:rsid w:val="00DC0DC9"/>
    <w:rsid w:val="00DC0DCE"/>
    <w:rsid w:val="00DC0ED9"/>
    <w:rsid w:val="00DC0F43"/>
    <w:rsid w:val="00DC1173"/>
    <w:rsid w:val="00DC117D"/>
    <w:rsid w:val="00DC11D1"/>
    <w:rsid w:val="00DC137F"/>
    <w:rsid w:val="00DC1390"/>
    <w:rsid w:val="00DC13FB"/>
    <w:rsid w:val="00DC14D9"/>
    <w:rsid w:val="00DC1551"/>
    <w:rsid w:val="00DC158F"/>
    <w:rsid w:val="00DC1618"/>
    <w:rsid w:val="00DC1697"/>
    <w:rsid w:val="00DC1741"/>
    <w:rsid w:val="00DC1788"/>
    <w:rsid w:val="00DC1837"/>
    <w:rsid w:val="00DC1851"/>
    <w:rsid w:val="00DC1867"/>
    <w:rsid w:val="00DC18C8"/>
    <w:rsid w:val="00DC1935"/>
    <w:rsid w:val="00DC1939"/>
    <w:rsid w:val="00DC1978"/>
    <w:rsid w:val="00DC1990"/>
    <w:rsid w:val="00DC199C"/>
    <w:rsid w:val="00DC1A12"/>
    <w:rsid w:val="00DC1B3A"/>
    <w:rsid w:val="00DC1BD9"/>
    <w:rsid w:val="00DC1C56"/>
    <w:rsid w:val="00DC1CF0"/>
    <w:rsid w:val="00DC1D02"/>
    <w:rsid w:val="00DC1D2F"/>
    <w:rsid w:val="00DC1D81"/>
    <w:rsid w:val="00DC1DB3"/>
    <w:rsid w:val="00DC1E66"/>
    <w:rsid w:val="00DC1F26"/>
    <w:rsid w:val="00DC1FC3"/>
    <w:rsid w:val="00DC2176"/>
    <w:rsid w:val="00DC21D8"/>
    <w:rsid w:val="00DC21F7"/>
    <w:rsid w:val="00DC2362"/>
    <w:rsid w:val="00DC2366"/>
    <w:rsid w:val="00DC2402"/>
    <w:rsid w:val="00DC25E2"/>
    <w:rsid w:val="00DC2687"/>
    <w:rsid w:val="00DC26A4"/>
    <w:rsid w:val="00DC26B1"/>
    <w:rsid w:val="00DC2710"/>
    <w:rsid w:val="00DC2945"/>
    <w:rsid w:val="00DC2966"/>
    <w:rsid w:val="00DC2979"/>
    <w:rsid w:val="00DC2A09"/>
    <w:rsid w:val="00DC2C0C"/>
    <w:rsid w:val="00DC2C42"/>
    <w:rsid w:val="00DC2C5F"/>
    <w:rsid w:val="00DC2CDD"/>
    <w:rsid w:val="00DC2DBA"/>
    <w:rsid w:val="00DC2E8D"/>
    <w:rsid w:val="00DC2E92"/>
    <w:rsid w:val="00DC2EEE"/>
    <w:rsid w:val="00DC2F02"/>
    <w:rsid w:val="00DC2F6C"/>
    <w:rsid w:val="00DC31B0"/>
    <w:rsid w:val="00DC31D1"/>
    <w:rsid w:val="00DC3297"/>
    <w:rsid w:val="00DC32A2"/>
    <w:rsid w:val="00DC32A6"/>
    <w:rsid w:val="00DC330B"/>
    <w:rsid w:val="00DC332F"/>
    <w:rsid w:val="00DC33BE"/>
    <w:rsid w:val="00DC356C"/>
    <w:rsid w:val="00DC35B1"/>
    <w:rsid w:val="00DC3617"/>
    <w:rsid w:val="00DC3638"/>
    <w:rsid w:val="00DC3659"/>
    <w:rsid w:val="00DC36A4"/>
    <w:rsid w:val="00DC36BB"/>
    <w:rsid w:val="00DC36D4"/>
    <w:rsid w:val="00DC3704"/>
    <w:rsid w:val="00DC3793"/>
    <w:rsid w:val="00DC3A0C"/>
    <w:rsid w:val="00DC3A2D"/>
    <w:rsid w:val="00DC3A9B"/>
    <w:rsid w:val="00DC3AB6"/>
    <w:rsid w:val="00DC3B3D"/>
    <w:rsid w:val="00DC3B7E"/>
    <w:rsid w:val="00DC3BAD"/>
    <w:rsid w:val="00DC3BB1"/>
    <w:rsid w:val="00DC3BD5"/>
    <w:rsid w:val="00DC3BF3"/>
    <w:rsid w:val="00DC3C1D"/>
    <w:rsid w:val="00DC3C2E"/>
    <w:rsid w:val="00DC3C39"/>
    <w:rsid w:val="00DC3C6F"/>
    <w:rsid w:val="00DC3CDA"/>
    <w:rsid w:val="00DC3D79"/>
    <w:rsid w:val="00DC3D7F"/>
    <w:rsid w:val="00DC3E86"/>
    <w:rsid w:val="00DC3F51"/>
    <w:rsid w:val="00DC40B7"/>
    <w:rsid w:val="00DC4142"/>
    <w:rsid w:val="00DC4159"/>
    <w:rsid w:val="00DC417F"/>
    <w:rsid w:val="00DC4259"/>
    <w:rsid w:val="00DC42DF"/>
    <w:rsid w:val="00DC42E2"/>
    <w:rsid w:val="00DC434C"/>
    <w:rsid w:val="00DC4486"/>
    <w:rsid w:val="00DC44EF"/>
    <w:rsid w:val="00DC452F"/>
    <w:rsid w:val="00DC4580"/>
    <w:rsid w:val="00DC46AF"/>
    <w:rsid w:val="00DC4756"/>
    <w:rsid w:val="00DC478C"/>
    <w:rsid w:val="00DC48CD"/>
    <w:rsid w:val="00DC4A3F"/>
    <w:rsid w:val="00DC4A8B"/>
    <w:rsid w:val="00DC4ACD"/>
    <w:rsid w:val="00DC4BB1"/>
    <w:rsid w:val="00DC4BEB"/>
    <w:rsid w:val="00DC4CE1"/>
    <w:rsid w:val="00DC4D88"/>
    <w:rsid w:val="00DC4D95"/>
    <w:rsid w:val="00DC4DE6"/>
    <w:rsid w:val="00DC4E7B"/>
    <w:rsid w:val="00DC4E8B"/>
    <w:rsid w:val="00DC4EC7"/>
    <w:rsid w:val="00DC4FB5"/>
    <w:rsid w:val="00DC50E7"/>
    <w:rsid w:val="00DC5190"/>
    <w:rsid w:val="00DC51DD"/>
    <w:rsid w:val="00DC51E4"/>
    <w:rsid w:val="00DC5284"/>
    <w:rsid w:val="00DC5295"/>
    <w:rsid w:val="00DC52EA"/>
    <w:rsid w:val="00DC52F8"/>
    <w:rsid w:val="00DC52FC"/>
    <w:rsid w:val="00DC5342"/>
    <w:rsid w:val="00DC5368"/>
    <w:rsid w:val="00DC536E"/>
    <w:rsid w:val="00DC53EB"/>
    <w:rsid w:val="00DC5459"/>
    <w:rsid w:val="00DC54A5"/>
    <w:rsid w:val="00DC54CB"/>
    <w:rsid w:val="00DC5539"/>
    <w:rsid w:val="00DC5657"/>
    <w:rsid w:val="00DC5700"/>
    <w:rsid w:val="00DC574F"/>
    <w:rsid w:val="00DC59B6"/>
    <w:rsid w:val="00DC5A10"/>
    <w:rsid w:val="00DC5A1E"/>
    <w:rsid w:val="00DC5A85"/>
    <w:rsid w:val="00DC5AF9"/>
    <w:rsid w:val="00DC5B8C"/>
    <w:rsid w:val="00DC5C37"/>
    <w:rsid w:val="00DC5C72"/>
    <w:rsid w:val="00DC5CFA"/>
    <w:rsid w:val="00DC5D43"/>
    <w:rsid w:val="00DC5DC7"/>
    <w:rsid w:val="00DC5DF1"/>
    <w:rsid w:val="00DC5F83"/>
    <w:rsid w:val="00DC6070"/>
    <w:rsid w:val="00DC61B5"/>
    <w:rsid w:val="00DC61DB"/>
    <w:rsid w:val="00DC6275"/>
    <w:rsid w:val="00DC6379"/>
    <w:rsid w:val="00DC6574"/>
    <w:rsid w:val="00DC658B"/>
    <w:rsid w:val="00DC65BC"/>
    <w:rsid w:val="00DC65BD"/>
    <w:rsid w:val="00DC65C5"/>
    <w:rsid w:val="00DC6610"/>
    <w:rsid w:val="00DC66D6"/>
    <w:rsid w:val="00DC66DA"/>
    <w:rsid w:val="00DC66F4"/>
    <w:rsid w:val="00DC66FD"/>
    <w:rsid w:val="00DC67B2"/>
    <w:rsid w:val="00DC67DB"/>
    <w:rsid w:val="00DC6812"/>
    <w:rsid w:val="00DC6850"/>
    <w:rsid w:val="00DC693C"/>
    <w:rsid w:val="00DC69BA"/>
    <w:rsid w:val="00DC69D3"/>
    <w:rsid w:val="00DC6A2F"/>
    <w:rsid w:val="00DC6AAD"/>
    <w:rsid w:val="00DC6BAF"/>
    <w:rsid w:val="00DC6BC4"/>
    <w:rsid w:val="00DC6BE5"/>
    <w:rsid w:val="00DC6C44"/>
    <w:rsid w:val="00DC6CAD"/>
    <w:rsid w:val="00DC6CBD"/>
    <w:rsid w:val="00DC6E54"/>
    <w:rsid w:val="00DC6E64"/>
    <w:rsid w:val="00DC6EF2"/>
    <w:rsid w:val="00DC6EFA"/>
    <w:rsid w:val="00DC705D"/>
    <w:rsid w:val="00DC7087"/>
    <w:rsid w:val="00DC7097"/>
    <w:rsid w:val="00DC70A0"/>
    <w:rsid w:val="00DC70C8"/>
    <w:rsid w:val="00DC714E"/>
    <w:rsid w:val="00DC717C"/>
    <w:rsid w:val="00DC718F"/>
    <w:rsid w:val="00DC7237"/>
    <w:rsid w:val="00DC72A9"/>
    <w:rsid w:val="00DC732F"/>
    <w:rsid w:val="00DC7373"/>
    <w:rsid w:val="00DC738B"/>
    <w:rsid w:val="00DC73C9"/>
    <w:rsid w:val="00DC74A9"/>
    <w:rsid w:val="00DC74BA"/>
    <w:rsid w:val="00DC7531"/>
    <w:rsid w:val="00DC7687"/>
    <w:rsid w:val="00DC76E8"/>
    <w:rsid w:val="00DC7779"/>
    <w:rsid w:val="00DC77C5"/>
    <w:rsid w:val="00DC77D7"/>
    <w:rsid w:val="00DC7834"/>
    <w:rsid w:val="00DC7878"/>
    <w:rsid w:val="00DC7880"/>
    <w:rsid w:val="00DC78D5"/>
    <w:rsid w:val="00DC7960"/>
    <w:rsid w:val="00DC7966"/>
    <w:rsid w:val="00DC7989"/>
    <w:rsid w:val="00DC7A3B"/>
    <w:rsid w:val="00DC7B02"/>
    <w:rsid w:val="00DC7BC4"/>
    <w:rsid w:val="00DC7C44"/>
    <w:rsid w:val="00DC7CAB"/>
    <w:rsid w:val="00DC7ECC"/>
    <w:rsid w:val="00DC7F9A"/>
    <w:rsid w:val="00DD00F1"/>
    <w:rsid w:val="00DD0179"/>
    <w:rsid w:val="00DD01C2"/>
    <w:rsid w:val="00DD01C3"/>
    <w:rsid w:val="00DD0211"/>
    <w:rsid w:val="00DD021F"/>
    <w:rsid w:val="00DD0262"/>
    <w:rsid w:val="00DD02B7"/>
    <w:rsid w:val="00DD02FC"/>
    <w:rsid w:val="00DD031F"/>
    <w:rsid w:val="00DD032D"/>
    <w:rsid w:val="00DD037F"/>
    <w:rsid w:val="00DD03A7"/>
    <w:rsid w:val="00DD03CA"/>
    <w:rsid w:val="00DD0411"/>
    <w:rsid w:val="00DD0437"/>
    <w:rsid w:val="00DD0476"/>
    <w:rsid w:val="00DD0603"/>
    <w:rsid w:val="00DD061D"/>
    <w:rsid w:val="00DD0646"/>
    <w:rsid w:val="00DD068E"/>
    <w:rsid w:val="00DD06AD"/>
    <w:rsid w:val="00DD06FD"/>
    <w:rsid w:val="00DD072C"/>
    <w:rsid w:val="00DD07B0"/>
    <w:rsid w:val="00DD081F"/>
    <w:rsid w:val="00DD09E6"/>
    <w:rsid w:val="00DD0A08"/>
    <w:rsid w:val="00DD0AA0"/>
    <w:rsid w:val="00DD0C12"/>
    <w:rsid w:val="00DD0C70"/>
    <w:rsid w:val="00DD0CF6"/>
    <w:rsid w:val="00DD0DB5"/>
    <w:rsid w:val="00DD0DFD"/>
    <w:rsid w:val="00DD0E40"/>
    <w:rsid w:val="00DD0FD8"/>
    <w:rsid w:val="00DD1168"/>
    <w:rsid w:val="00DD116C"/>
    <w:rsid w:val="00DD11E3"/>
    <w:rsid w:val="00DD1351"/>
    <w:rsid w:val="00DD14AD"/>
    <w:rsid w:val="00DD14DF"/>
    <w:rsid w:val="00DD151E"/>
    <w:rsid w:val="00DD1527"/>
    <w:rsid w:val="00DD15B4"/>
    <w:rsid w:val="00DD15C5"/>
    <w:rsid w:val="00DD1616"/>
    <w:rsid w:val="00DD1670"/>
    <w:rsid w:val="00DD1690"/>
    <w:rsid w:val="00DD16EE"/>
    <w:rsid w:val="00DD172C"/>
    <w:rsid w:val="00DD17FB"/>
    <w:rsid w:val="00DD185D"/>
    <w:rsid w:val="00DD18C5"/>
    <w:rsid w:val="00DD1935"/>
    <w:rsid w:val="00DD19C6"/>
    <w:rsid w:val="00DD1AA3"/>
    <w:rsid w:val="00DD1AF6"/>
    <w:rsid w:val="00DD1B8E"/>
    <w:rsid w:val="00DD1B9C"/>
    <w:rsid w:val="00DD1BC8"/>
    <w:rsid w:val="00DD1DB3"/>
    <w:rsid w:val="00DD1DEC"/>
    <w:rsid w:val="00DD1EC3"/>
    <w:rsid w:val="00DD1ECF"/>
    <w:rsid w:val="00DD1F8D"/>
    <w:rsid w:val="00DD1FD6"/>
    <w:rsid w:val="00DD2011"/>
    <w:rsid w:val="00DD219D"/>
    <w:rsid w:val="00DD220C"/>
    <w:rsid w:val="00DD2275"/>
    <w:rsid w:val="00DD2279"/>
    <w:rsid w:val="00DD235C"/>
    <w:rsid w:val="00DD265E"/>
    <w:rsid w:val="00DD2681"/>
    <w:rsid w:val="00DD27D0"/>
    <w:rsid w:val="00DD27F5"/>
    <w:rsid w:val="00DD280C"/>
    <w:rsid w:val="00DD2822"/>
    <w:rsid w:val="00DD2908"/>
    <w:rsid w:val="00DD2909"/>
    <w:rsid w:val="00DD293B"/>
    <w:rsid w:val="00DD2A83"/>
    <w:rsid w:val="00DD2A8A"/>
    <w:rsid w:val="00DD2ABD"/>
    <w:rsid w:val="00DD2ACB"/>
    <w:rsid w:val="00DD2AED"/>
    <w:rsid w:val="00DD2B17"/>
    <w:rsid w:val="00DD2B8C"/>
    <w:rsid w:val="00DD2BDD"/>
    <w:rsid w:val="00DD2CBB"/>
    <w:rsid w:val="00DD2E3E"/>
    <w:rsid w:val="00DD2EEA"/>
    <w:rsid w:val="00DD2F05"/>
    <w:rsid w:val="00DD2F9A"/>
    <w:rsid w:val="00DD2FB8"/>
    <w:rsid w:val="00DD2FF3"/>
    <w:rsid w:val="00DD3000"/>
    <w:rsid w:val="00DD3004"/>
    <w:rsid w:val="00DD301E"/>
    <w:rsid w:val="00DD31B9"/>
    <w:rsid w:val="00DD31C6"/>
    <w:rsid w:val="00DD31EB"/>
    <w:rsid w:val="00DD325B"/>
    <w:rsid w:val="00DD32F8"/>
    <w:rsid w:val="00DD3369"/>
    <w:rsid w:val="00DD3378"/>
    <w:rsid w:val="00DD33A8"/>
    <w:rsid w:val="00DD342B"/>
    <w:rsid w:val="00DD3462"/>
    <w:rsid w:val="00DD34CE"/>
    <w:rsid w:val="00DD355B"/>
    <w:rsid w:val="00DD35CE"/>
    <w:rsid w:val="00DD3626"/>
    <w:rsid w:val="00DD365A"/>
    <w:rsid w:val="00DD366E"/>
    <w:rsid w:val="00DD37AA"/>
    <w:rsid w:val="00DD37B8"/>
    <w:rsid w:val="00DD3895"/>
    <w:rsid w:val="00DD394A"/>
    <w:rsid w:val="00DD3974"/>
    <w:rsid w:val="00DD39FB"/>
    <w:rsid w:val="00DD3A14"/>
    <w:rsid w:val="00DD3A7D"/>
    <w:rsid w:val="00DD3AFF"/>
    <w:rsid w:val="00DD3B23"/>
    <w:rsid w:val="00DD3B47"/>
    <w:rsid w:val="00DD3BA8"/>
    <w:rsid w:val="00DD3BE3"/>
    <w:rsid w:val="00DD3C51"/>
    <w:rsid w:val="00DD3CF6"/>
    <w:rsid w:val="00DD3DC0"/>
    <w:rsid w:val="00DD3E99"/>
    <w:rsid w:val="00DD3EAB"/>
    <w:rsid w:val="00DD3EB9"/>
    <w:rsid w:val="00DD3EBA"/>
    <w:rsid w:val="00DD3EDC"/>
    <w:rsid w:val="00DD3EE0"/>
    <w:rsid w:val="00DD3F67"/>
    <w:rsid w:val="00DD3F7E"/>
    <w:rsid w:val="00DD3FE9"/>
    <w:rsid w:val="00DD4123"/>
    <w:rsid w:val="00DD414D"/>
    <w:rsid w:val="00DD4199"/>
    <w:rsid w:val="00DD419E"/>
    <w:rsid w:val="00DD41B0"/>
    <w:rsid w:val="00DD4274"/>
    <w:rsid w:val="00DD42AC"/>
    <w:rsid w:val="00DD4392"/>
    <w:rsid w:val="00DD43B5"/>
    <w:rsid w:val="00DD4420"/>
    <w:rsid w:val="00DD44A4"/>
    <w:rsid w:val="00DD451F"/>
    <w:rsid w:val="00DD456D"/>
    <w:rsid w:val="00DD45A3"/>
    <w:rsid w:val="00DD4648"/>
    <w:rsid w:val="00DD4718"/>
    <w:rsid w:val="00DD476B"/>
    <w:rsid w:val="00DD4848"/>
    <w:rsid w:val="00DD4928"/>
    <w:rsid w:val="00DD4A17"/>
    <w:rsid w:val="00DD4A6F"/>
    <w:rsid w:val="00DD4AEF"/>
    <w:rsid w:val="00DD4B13"/>
    <w:rsid w:val="00DD4C30"/>
    <w:rsid w:val="00DD4C85"/>
    <w:rsid w:val="00DD4DA0"/>
    <w:rsid w:val="00DD4E0B"/>
    <w:rsid w:val="00DD4ECD"/>
    <w:rsid w:val="00DD4FDC"/>
    <w:rsid w:val="00DD4FFB"/>
    <w:rsid w:val="00DD5117"/>
    <w:rsid w:val="00DD5153"/>
    <w:rsid w:val="00DD51C0"/>
    <w:rsid w:val="00DD5264"/>
    <w:rsid w:val="00DD526F"/>
    <w:rsid w:val="00DD5287"/>
    <w:rsid w:val="00DD52BC"/>
    <w:rsid w:val="00DD52EC"/>
    <w:rsid w:val="00DD52EF"/>
    <w:rsid w:val="00DD531B"/>
    <w:rsid w:val="00DD532A"/>
    <w:rsid w:val="00DD5330"/>
    <w:rsid w:val="00DD5336"/>
    <w:rsid w:val="00DD5348"/>
    <w:rsid w:val="00DD53C6"/>
    <w:rsid w:val="00DD5486"/>
    <w:rsid w:val="00DD54B5"/>
    <w:rsid w:val="00DD5616"/>
    <w:rsid w:val="00DD5644"/>
    <w:rsid w:val="00DD56D6"/>
    <w:rsid w:val="00DD56F2"/>
    <w:rsid w:val="00DD584D"/>
    <w:rsid w:val="00DD58DA"/>
    <w:rsid w:val="00DD595C"/>
    <w:rsid w:val="00DD596E"/>
    <w:rsid w:val="00DD59FF"/>
    <w:rsid w:val="00DD5A80"/>
    <w:rsid w:val="00DD5AAE"/>
    <w:rsid w:val="00DD5AE4"/>
    <w:rsid w:val="00DD5C11"/>
    <w:rsid w:val="00DD5D32"/>
    <w:rsid w:val="00DD5D5D"/>
    <w:rsid w:val="00DD5D74"/>
    <w:rsid w:val="00DD5D78"/>
    <w:rsid w:val="00DD5DBE"/>
    <w:rsid w:val="00DD5E0E"/>
    <w:rsid w:val="00DD5EA1"/>
    <w:rsid w:val="00DD5F8F"/>
    <w:rsid w:val="00DD6100"/>
    <w:rsid w:val="00DD6116"/>
    <w:rsid w:val="00DD61DA"/>
    <w:rsid w:val="00DD61ED"/>
    <w:rsid w:val="00DD6238"/>
    <w:rsid w:val="00DD625B"/>
    <w:rsid w:val="00DD6313"/>
    <w:rsid w:val="00DD63BE"/>
    <w:rsid w:val="00DD63F0"/>
    <w:rsid w:val="00DD6417"/>
    <w:rsid w:val="00DD64D6"/>
    <w:rsid w:val="00DD652D"/>
    <w:rsid w:val="00DD6646"/>
    <w:rsid w:val="00DD681E"/>
    <w:rsid w:val="00DD6820"/>
    <w:rsid w:val="00DD6889"/>
    <w:rsid w:val="00DD6890"/>
    <w:rsid w:val="00DD6920"/>
    <w:rsid w:val="00DD6934"/>
    <w:rsid w:val="00DD697A"/>
    <w:rsid w:val="00DD69E2"/>
    <w:rsid w:val="00DD6C12"/>
    <w:rsid w:val="00DD6C18"/>
    <w:rsid w:val="00DD6C89"/>
    <w:rsid w:val="00DD6D1E"/>
    <w:rsid w:val="00DD6D38"/>
    <w:rsid w:val="00DD6D7B"/>
    <w:rsid w:val="00DD6E7A"/>
    <w:rsid w:val="00DD6E80"/>
    <w:rsid w:val="00DD6EF1"/>
    <w:rsid w:val="00DD6FBD"/>
    <w:rsid w:val="00DD70A6"/>
    <w:rsid w:val="00DD70DE"/>
    <w:rsid w:val="00DD7159"/>
    <w:rsid w:val="00DD7192"/>
    <w:rsid w:val="00DD71A4"/>
    <w:rsid w:val="00DD71B6"/>
    <w:rsid w:val="00DD723F"/>
    <w:rsid w:val="00DD7289"/>
    <w:rsid w:val="00DD72FC"/>
    <w:rsid w:val="00DD73A2"/>
    <w:rsid w:val="00DD73E0"/>
    <w:rsid w:val="00DD7456"/>
    <w:rsid w:val="00DD7577"/>
    <w:rsid w:val="00DD765A"/>
    <w:rsid w:val="00DD7735"/>
    <w:rsid w:val="00DD7746"/>
    <w:rsid w:val="00DD77C9"/>
    <w:rsid w:val="00DD77CA"/>
    <w:rsid w:val="00DD78BF"/>
    <w:rsid w:val="00DD7999"/>
    <w:rsid w:val="00DD79D8"/>
    <w:rsid w:val="00DD79ED"/>
    <w:rsid w:val="00DD7A97"/>
    <w:rsid w:val="00DD7A9A"/>
    <w:rsid w:val="00DD7AEC"/>
    <w:rsid w:val="00DD7C27"/>
    <w:rsid w:val="00DD7C74"/>
    <w:rsid w:val="00DD7D18"/>
    <w:rsid w:val="00DD7D4E"/>
    <w:rsid w:val="00DD7D60"/>
    <w:rsid w:val="00DD7D96"/>
    <w:rsid w:val="00DD7E4C"/>
    <w:rsid w:val="00DD7EB3"/>
    <w:rsid w:val="00DD7F3A"/>
    <w:rsid w:val="00DD7FCD"/>
    <w:rsid w:val="00DE00D1"/>
    <w:rsid w:val="00DE010D"/>
    <w:rsid w:val="00DE01E8"/>
    <w:rsid w:val="00DE01F9"/>
    <w:rsid w:val="00DE02C3"/>
    <w:rsid w:val="00DE02D0"/>
    <w:rsid w:val="00DE02FC"/>
    <w:rsid w:val="00DE0592"/>
    <w:rsid w:val="00DE0599"/>
    <w:rsid w:val="00DE065B"/>
    <w:rsid w:val="00DE069B"/>
    <w:rsid w:val="00DE06AC"/>
    <w:rsid w:val="00DE06F9"/>
    <w:rsid w:val="00DE0823"/>
    <w:rsid w:val="00DE0831"/>
    <w:rsid w:val="00DE0833"/>
    <w:rsid w:val="00DE0834"/>
    <w:rsid w:val="00DE0890"/>
    <w:rsid w:val="00DE08AC"/>
    <w:rsid w:val="00DE0943"/>
    <w:rsid w:val="00DE0961"/>
    <w:rsid w:val="00DE0966"/>
    <w:rsid w:val="00DE0B65"/>
    <w:rsid w:val="00DE0BB8"/>
    <w:rsid w:val="00DE0D7E"/>
    <w:rsid w:val="00DE0DE6"/>
    <w:rsid w:val="00DE0EC8"/>
    <w:rsid w:val="00DE0FAD"/>
    <w:rsid w:val="00DE102C"/>
    <w:rsid w:val="00DE1220"/>
    <w:rsid w:val="00DE1233"/>
    <w:rsid w:val="00DE12E5"/>
    <w:rsid w:val="00DE1426"/>
    <w:rsid w:val="00DE14C5"/>
    <w:rsid w:val="00DE1512"/>
    <w:rsid w:val="00DE1561"/>
    <w:rsid w:val="00DE15AA"/>
    <w:rsid w:val="00DE16EA"/>
    <w:rsid w:val="00DE17A4"/>
    <w:rsid w:val="00DE1873"/>
    <w:rsid w:val="00DE1896"/>
    <w:rsid w:val="00DE18BA"/>
    <w:rsid w:val="00DE195E"/>
    <w:rsid w:val="00DE199B"/>
    <w:rsid w:val="00DE19A0"/>
    <w:rsid w:val="00DE1AB4"/>
    <w:rsid w:val="00DE1C39"/>
    <w:rsid w:val="00DE1C62"/>
    <w:rsid w:val="00DE1DEC"/>
    <w:rsid w:val="00DE1EA2"/>
    <w:rsid w:val="00DE1EE7"/>
    <w:rsid w:val="00DE1F29"/>
    <w:rsid w:val="00DE1F39"/>
    <w:rsid w:val="00DE1FA2"/>
    <w:rsid w:val="00DE1FFB"/>
    <w:rsid w:val="00DE2001"/>
    <w:rsid w:val="00DE2070"/>
    <w:rsid w:val="00DE20FE"/>
    <w:rsid w:val="00DE2163"/>
    <w:rsid w:val="00DE217D"/>
    <w:rsid w:val="00DE2205"/>
    <w:rsid w:val="00DE2266"/>
    <w:rsid w:val="00DE229A"/>
    <w:rsid w:val="00DE22BB"/>
    <w:rsid w:val="00DE234C"/>
    <w:rsid w:val="00DE257C"/>
    <w:rsid w:val="00DE2611"/>
    <w:rsid w:val="00DE26AD"/>
    <w:rsid w:val="00DE26E8"/>
    <w:rsid w:val="00DE2757"/>
    <w:rsid w:val="00DE2763"/>
    <w:rsid w:val="00DE284B"/>
    <w:rsid w:val="00DE2897"/>
    <w:rsid w:val="00DE2938"/>
    <w:rsid w:val="00DE2941"/>
    <w:rsid w:val="00DE2A36"/>
    <w:rsid w:val="00DE2AD7"/>
    <w:rsid w:val="00DE2B17"/>
    <w:rsid w:val="00DE2C52"/>
    <w:rsid w:val="00DE2D8D"/>
    <w:rsid w:val="00DE2E25"/>
    <w:rsid w:val="00DE2F5E"/>
    <w:rsid w:val="00DE2FD3"/>
    <w:rsid w:val="00DE3004"/>
    <w:rsid w:val="00DE3074"/>
    <w:rsid w:val="00DE30F4"/>
    <w:rsid w:val="00DE30FC"/>
    <w:rsid w:val="00DE3173"/>
    <w:rsid w:val="00DE3242"/>
    <w:rsid w:val="00DE3265"/>
    <w:rsid w:val="00DE334D"/>
    <w:rsid w:val="00DE33A9"/>
    <w:rsid w:val="00DE35FE"/>
    <w:rsid w:val="00DE366F"/>
    <w:rsid w:val="00DE3672"/>
    <w:rsid w:val="00DE367C"/>
    <w:rsid w:val="00DE36BF"/>
    <w:rsid w:val="00DE36F6"/>
    <w:rsid w:val="00DE371B"/>
    <w:rsid w:val="00DE372C"/>
    <w:rsid w:val="00DE3741"/>
    <w:rsid w:val="00DE3764"/>
    <w:rsid w:val="00DE3795"/>
    <w:rsid w:val="00DE385D"/>
    <w:rsid w:val="00DE38AF"/>
    <w:rsid w:val="00DE38B0"/>
    <w:rsid w:val="00DE391B"/>
    <w:rsid w:val="00DE392F"/>
    <w:rsid w:val="00DE3A05"/>
    <w:rsid w:val="00DE3A53"/>
    <w:rsid w:val="00DE3A9A"/>
    <w:rsid w:val="00DE3AAA"/>
    <w:rsid w:val="00DE3B4F"/>
    <w:rsid w:val="00DE3C07"/>
    <w:rsid w:val="00DE3C77"/>
    <w:rsid w:val="00DE3C79"/>
    <w:rsid w:val="00DE3C86"/>
    <w:rsid w:val="00DE3CE1"/>
    <w:rsid w:val="00DE3CF0"/>
    <w:rsid w:val="00DE3D23"/>
    <w:rsid w:val="00DE3DAE"/>
    <w:rsid w:val="00DE3EA1"/>
    <w:rsid w:val="00DE3ECB"/>
    <w:rsid w:val="00DE3F3A"/>
    <w:rsid w:val="00DE3F3C"/>
    <w:rsid w:val="00DE3F7D"/>
    <w:rsid w:val="00DE3F88"/>
    <w:rsid w:val="00DE3FCA"/>
    <w:rsid w:val="00DE4031"/>
    <w:rsid w:val="00DE403E"/>
    <w:rsid w:val="00DE4174"/>
    <w:rsid w:val="00DE42CC"/>
    <w:rsid w:val="00DE432A"/>
    <w:rsid w:val="00DE43C7"/>
    <w:rsid w:val="00DE44C2"/>
    <w:rsid w:val="00DE44EB"/>
    <w:rsid w:val="00DE44FE"/>
    <w:rsid w:val="00DE4592"/>
    <w:rsid w:val="00DE459D"/>
    <w:rsid w:val="00DE4760"/>
    <w:rsid w:val="00DE48ED"/>
    <w:rsid w:val="00DE4A56"/>
    <w:rsid w:val="00DE4B01"/>
    <w:rsid w:val="00DE4C3A"/>
    <w:rsid w:val="00DE4C77"/>
    <w:rsid w:val="00DE4CB6"/>
    <w:rsid w:val="00DE4D52"/>
    <w:rsid w:val="00DE4DAD"/>
    <w:rsid w:val="00DE4DB9"/>
    <w:rsid w:val="00DE4E28"/>
    <w:rsid w:val="00DE4E4E"/>
    <w:rsid w:val="00DE4F45"/>
    <w:rsid w:val="00DE50F4"/>
    <w:rsid w:val="00DE5108"/>
    <w:rsid w:val="00DE511E"/>
    <w:rsid w:val="00DE5157"/>
    <w:rsid w:val="00DE51A4"/>
    <w:rsid w:val="00DE52BB"/>
    <w:rsid w:val="00DE534B"/>
    <w:rsid w:val="00DE5361"/>
    <w:rsid w:val="00DE53C5"/>
    <w:rsid w:val="00DE53EF"/>
    <w:rsid w:val="00DE5413"/>
    <w:rsid w:val="00DE5461"/>
    <w:rsid w:val="00DE546E"/>
    <w:rsid w:val="00DE54AE"/>
    <w:rsid w:val="00DE54C7"/>
    <w:rsid w:val="00DE5596"/>
    <w:rsid w:val="00DE55D2"/>
    <w:rsid w:val="00DE5656"/>
    <w:rsid w:val="00DE56A3"/>
    <w:rsid w:val="00DE57F0"/>
    <w:rsid w:val="00DE5924"/>
    <w:rsid w:val="00DE5AF4"/>
    <w:rsid w:val="00DE5B64"/>
    <w:rsid w:val="00DE5C32"/>
    <w:rsid w:val="00DE5C99"/>
    <w:rsid w:val="00DE5CF1"/>
    <w:rsid w:val="00DE5CFC"/>
    <w:rsid w:val="00DE5DF7"/>
    <w:rsid w:val="00DE5E60"/>
    <w:rsid w:val="00DE5E6E"/>
    <w:rsid w:val="00DE5E98"/>
    <w:rsid w:val="00DE5E99"/>
    <w:rsid w:val="00DE5EF2"/>
    <w:rsid w:val="00DE5F37"/>
    <w:rsid w:val="00DE5F4C"/>
    <w:rsid w:val="00DE5FB8"/>
    <w:rsid w:val="00DE601B"/>
    <w:rsid w:val="00DE6062"/>
    <w:rsid w:val="00DE60EF"/>
    <w:rsid w:val="00DE60FB"/>
    <w:rsid w:val="00DE6121"/>
    <w:rsid w:val="00DE61AF"/>
    <w:rsid w:val="00DE63B2"/>
    <w:rsid w:val="00DE6593"/>
    <w:rsid w:val="00DE659A"/>
    <w:rsid w:val="00DE6780"/>
    <w:rsid w:val="00DE6791"/>
    <w:rsid w:val="00DE67BF"/>
    <w:rsid w:val="00DE68FD"/>
    <w:rsid w:val="00DE69CD"/>
    <w:rsid w:val="00DE6A08"/>
    <w:rsid w:val="00DE6B2F"/>
    <w:rsid w:val="00DE6B4D"/>
    <w:rsid w:val="00DE6BA7"/>
    <w:rsid w:val="00DE6BB3"/>
    <w:rsid w:val="00DE6BDE"/>
    <w:rsid w:val="00DE6D1D"/>
    <w:rsid w:val="00DE6D6E"/>
    <w:rsid w:val="00DE6D74"/>
    <w:rsid w:val="00DE6DE9"/>
    <w:rsid w:val="00DE6EDD"/>
    <w:rsid w:val="00DE6F4F"/>
    <w:rsid w:val="00DE6F5D"/>
    <w:rsid w:val="00DE6F5E"/>
    <w:rsid w:val="00DE6FA2"/>
    <w:rsid w:val="00DE6FE0"/>
    <w:rsid w:val="00DE7010"/>
    <w:rsid w:val="00DE708D"/>
    <w:rsid w:val="00DE70F1"/>
    <w:rsid w:val="00DE713F"/>
    <w:rsid w:val="00DE7182"/>
    <w:rsid w:val="00DE720B"/>
    <w:rsid w:val="00DE7359"/>
    <w:rsid w:val="00DE7396"/>
    <w:rsid w:val="00DE73D6"/>
    <w:rsid w:val="00DE7498"/>
    <w:rsid w:val="00DE750C"/>
    <w:rsid w:val="00DE75C1"/>
    <w:rsid w:val="00DE76EE"/>
    <w:rsid w:val="00DE7733"/>
    <w:rsid w:val="00DE77C3"/>
    <w:rsid w:val="00DE7974"/>
    <w:rsid w:val="00DE79A3"/>
    <w:rsid w:val="00DE7A09"/>
    <w:rsid w:val="00DE7AD6"/>
    <w:rsid w:val="00DE7ADC"/>
    <w:rsid w:val="00DE7B0E"/>
    <w:rsid w:val="00DE7B46"/>
    <w:rsid w:val="00DE7BF1"/>
    <w:rsid w:val="00DE7CC7"/>
    <w:rsid w:val="00DE7D48"/>
    <w:rsid w:val="00DE7D90"/>
    <w:rsid w:val="00DE7DF9"/>
    <w:rsid w:val="00DE7E8F"/>
    <w:rsid w:val="00DE7FDF"/>
    <w:rsid w:val="00DF003A"/>
    <w:rsid w:val="00DF004B"/>
    <w:rsid w:val="00DF005D"/>
    <w:rsid w:val="00DF0063"/>
    <w:rsid w:val="00DF00B7"/>
    <w:rsid w:val="00DF0148"/>
    <w:rsid w:val="00DF0199"/>
    <w:rsid w:val="00DF01E1"/>
    <w:rsid w:val="00DF01F9"/>
    <w:rsid w:val="00DF025D"/>
    <w:rsid w:val="00DF02F9"/>
    <w:rsid w:val="00DF0305"/>
    <w:rsid w:val="00DF0427"/>
    <w:rsid w:val="00DF0478"/>
    <w:rsid w:val="00DF0492"/>
    <w:rsid w:val="00DF052F"/>
    <w:rsid w:val="00DF0564"/>
    <w:rsid w:val="00DF056D"/>
    <w:rsid w:val="00DF0587"/>
    <w:rsid w:val="00DF05FD"/>
    <w:rsid w:val="00DF0679"/>
    <w:rsid w:val="00DF0682"/>
    <w:rsid w:val="00DF0695"/>
    <w:rsid w:val="00DF073F"/>
    <w:rsid w:val="00DF07B7"/>
    <w:rsid w:val="00DF08B6"/>
    <w:rsid w:val="00DF08D0"/>
    <w:rsid w:val="00DF09C1"/>
    <w:rsid w:val="00DF0A38"/>
    <w:rsid w:val="00DF0BAC"/>
    <w:rsid w:val="00DF0C78"/>
    <w:rsid w:val="00DF0D01"/>
    <w:rsid w:val="00DF0D14"/>
    <w:rsid w:val="00DF0D32"/>
    <w:rsid w:val="00DF0D8B"/>
    <w:rsid w:val="00DF0DF2"/>
    <w:rsid w:val="00DF0E32"/>
    <w:rsid w:val="00DF0E60"/>
    <w:rsid w:val="00DF0E86"/>
    <w:rsid w:val="00DF0F1D"/>
    <w:rsid w:val="00DF0F3B"/>
    <w:rsid w:val="00DF0FA5"/>
    <w:rsid w:val="00DF1207"/>
    <w:rsid w:val="00DF1421"/>
    <w:rsid w:val="00DF1429"/>
    <w:rsid w:val="00DF14DF"/>
    <w:rsid w:val="00DF14E4"/>
    <w:rsid w:val="00DF14EF"/>
    <w:rsid w:val="00DF14F6"/>
    <w:rsid w:val="00DF14FC"/>
    <w:rsid w:val="00DF155E"/>
    <w:rsid w:val="00DF1589"/>
    <w:rsid w:val="00DF15BC"/>
    <w:rsid w:val="00DF1687"/>
    <w:rsid w:val="00DF1695"/>
    <w:rsid w:val="00DF16B8"/>
    <w:rsid w:val="00DF16FE"/>
    <w:rsid w:val="00DF176A"/>
    <w:rsid w:val="00DF1780"/>
    <w:rsid w:val="00DF1787"/>
    <w:rsid w:val="00DF17BF"/>
    <w:rsid w:val="00DF17CD"/>
    <w:rsid w:val="00DF17DA"/>
    <w:rsid w:val="00DF17EB"/>
    <w:rsid w:val="00DF1955"/>
    <w:rsid w:val="00DF1A31"/>
    <w:rsid w:val="00DF1ABE"/>
    <w:rsid w:val="00DF1AD5"/>
    <w:rsid w:val="00DF1AFD"/>
    <w:rsid w:val="00DF1B30"/>
    <w:rsid w:val="00DF1BA2"/>
    <w:rsid w:val="00DF1BC9"/>
    <w:rsid w:val="00DF1D8C"/>
    <w:rsid w:val="00DF1D91"/>
    <w:rsid w:val="00DF1E4E"/>
    <w:rsid w:val="00DF1E51"/>
    <w:rsid w:val="00DF1F1B"/>
    <w:rsid w:val="00DF1F5B"/>
    <w:rsid w:val="00DF2082"/>
    <w:rsid w:val="00DF2129"/>
    <w:rsid w:val="00DF213D"/>
    <w:rsid w:val="00DF2214"/>
    <w:rsid w:val="00DF222C"/>
    <w:rsid w:val="00DF2234"/>
    <w:rsid w:val="00DF22AE"/>
    <w:rsid w:val="00DF22DA"/>
    <w:rsid w:val="00DF2302"/>
    <w:rsid w:val="00DF23CF"/>
    <w:rsid w:val="00DF2415"/>
    <w:rsid w:val="00DF241A"/>
    <w:rsid w:val="00DF24D4"/>
    <w:rsid w:val="00DF2525"/>
    <w:rsid w:val="00DF26BD"/>
    <w:rsid w:val="00DF27B2"/>
    <w:rsid w:val="00DF27C0"/>
    <w:rsid w:val="00DF2806"/>
    <w:rsid w:val="00DF2873"/>
    <w:rsid w:val="00DF28F9"/>
    <w:rsid w:val="00DF29A2"/>
    <w:rsid w:val="00DF29A9"/>
    <w:rsid w:val="00DF29DA"/>
    <w:rsid w:val="00DF2ADC"/>
    <w:rsid w:val="00DF2B13"/>
    <w:rsid w:val="00DF2B35"/>
    <w:rsid w:val="00DF2B73"/>
    <w:rsid w:val="00DF2BB6"/>
    <w:rsid w:val="00DF2C53"/>
    <w:rsid w:val="00DF2C58"/>
    <w:rsid w:val="00DF2C7C"/>
    <w:rsid w:val="00DF2C7F"/>
    <w:rsid w:val="00DF2C8E"/>
    <w:rsid w:val="00DF2D44"/>
    <w:rsid w:val="00DF2D71"/>
    <w:rsid w:val="00DF2FD5"/>
    <w:rsid w:val="00DF2FE3"/>
    <w:rsid w:val="00DF308A"/>
    <w:rsid w:val="00DF30F5"/>
    <w:rsid w:val="00DF3132"/>
    <w:rsid w:val="00DF3198"/>
    <w:rsid w:val="00DF31BF"/>
    <w:rsid w:val="00DF3250"/>
    <w:rsid w:val="00DF340E"/>
    <w:rsid w:val="00DF34D2"/>
    <w:rsid w:val="00DF356E"/>
    <w:rsid w:val="00DF35A7"/>
    <w:rsid w:val="00DF364D"/>
    <w:rsid w:val="00DF366C"/>
    <w:rsid w:val="00DF368F"/>
    <w:rsid w:val="00DF36A2"/>
    <w:rsid w:val="00DF37CA"/>
    <w:rsid w:val="00DF3837"/>
    <w:rsid w:val="00DF3863"/>
    <w:rsid w:val="00DF394C"/>
    <w:rsid w:val="00DF39BC"/>
    <w:rsid w:val="00DF3A7C"/>
    <w:rsid w:val="00DF3B54"/>
    <w:rsid w:val="00DF3B92"/>
    <w:rsid w:val="00DF3BBA"/>
    <w:rsid w:val="00DF3C1F"/>
    <w:rsid w:val="00DF3D8B"/>
    <w:rsid w:val="00DF3E09"/>
    <w:rsid w:val="00DF3ED4"/>
    <w:rsid w:val="00DF3FE4"/>
    <w:rsid w:val="00DF41CA"/>
    <w:rsid w:val="00DF41F5"/>
    <w:rsid w:val="00DF42CB"/>
    <w:rsid w:val="00DF43CD"/>
    <w:rsid w:val="00DF43F4"/>
    <w:rsid w:val="00DF43FB"/>
    <w:rsid w:val="00DF449C"/>
    <w:rsid w:val="00DF4540"/>
    <w:rsid w:val="00DF4657"/>
    <w:rsid w:val="00DF47E3"/>
    <w:rsid w:val="00DF48A7"/>
    <w:rsid w:val="00DF48DB"/>
    <w:rsid w:val="00DF48E3"/>
    <w:rsid w:val="00DF4AE2"/>
    <w:rsid w:val="00DF4B92"/>
    <w:rsid w:val="00DF4BA5"/>
    <w:rsid w:val="00DF4BA6"/>
    <w:rsid w:val="00DF4C61"/>
    <w:rsid w:val="00DF4D2A"/>
    <w:rsid w:val="00DF4D3E"/>
    <w:rsid w:val="00DF4D5C"/>
    <w:rsid w:val="00DF4D74"/>
    <w:rsid w:val="00DF4DBB"/>
    <w:rsid w:val="00DF4E1A"/>
    <w:rsid w:val="00DF4E70"/>
    <w:rsid w:val="00DF4E8B"/>
    <w:rsid w:val="00DF4FDD"/>
    <w:rsid w:val="00DF4FFB"/>
    <w:rsid w:val="00DF5054"/>
    <w:rsid w:val="00DF51DC"/>
    <w:rsid w:val="00DF5318"/>
    <w:rsid w:val="00DF5377"/>
    <w:rsid w:val="00DF541F"/>
    <w:rsid w:val="00DF5481"/>
    <w:rsid w:val="00DF54A3"/>
    <w:rsid w:val="00DF5514"/>
    <w:rsid w:val="00DF5552"/>
    <w:rsid w:val="00DF555C"/>
    <w:rsid w:val="00DF5579"/>
    <w:rsid w:val="00DF5702"/>
    <w:rsid w:val="00DF576B"/>
    <w:rsid w:val="00DF5839"/>
    <w:rsid w:val="00DF5841"/>
    <w:rsid w:val="00DF5963"/>
    <w:rsid w:val="00DF59DE"/>
    <w:rsid w:val="00DF5A52"/>
    <w:rsid w:val="00DF5AAE"/>
    <w:rsid w:val="00DF5B69"/>
    <w:rsid w:val="00DF5BD4"/>
    <w:rsid w:val="00DF5BEB"/>
    <w:rsid w:val="00DF5C8F"/>
    <w:rsid w:val="00DF5CA2"/>
    <w:rsid w:val="00DF5CEC"/>
    <w:rsid w:val="00DF5E7E"/>
    <w:rsid w:val="00DF5EF4"/>
    <w:rsid w:val="00DF5F07"/>
    <w:rsid w:val="00DF5F08"/>
    <w:rsid w:val="00DF5F2E"/>
    <w:rsid w:val="00DF5FA9"/>
    <w:rsid w:val="00DF6087"/>
    <w:rsid w:val="00DF60AD"/>
    <w:rsid w:val="00DF61C5"/>
    <w:rsid w:val="00DF61D8"/>
    <w:rsid w:val="00DF61F9"/>
    <w:rsid w:val="00DF61FB"/>
    <w:rsid w:val="00DF623B"/>
    <w:rsid w:val="00DF62C6"/>
    <w:rsid w:val="00DF62D9"/>
    <w:rsid w:val="00DF62E3"/>
    <w:rsid w:val="00DF63A5"/>
    <w:rsid w:val="00DF6483"/>
    <w:rsid w:val="00DF6515"/>
    <w:rsid w:val="00DF6538"/>
    <w:rsid w:val="00DF664F"/>
    <w:rsid w:val="00DF6696"/>
    <w:rsid w:val="00DF672F"/>
    <w:rsid w:val="00DF6734"/>
    <w:rsid w:val="00DF6745"/>
    <w:rsid w:val="00DF6765"/>
    <w:rsid w:val="00DF676A"/>
    <w:rsid w:val="00DF6794"/>
    <w:rsid w:val="00DF67F1"/>
    <w:rsid w:val="00DF6830"/>
    <w:rsid w:val="00DF685E"/>
    <w:rsid w:val="00DF6967"/>
    <w:rsid w:val="00DF69BC"/>
    <w:rsid w:val="00DF6A32"/>
    <w:rsid w:val="00DF6AC2"/>
    <w:rsid w:val="00DF6AD5"/>
    <w:rsid w:val="00DF6BBC"/>
    <w:rsid w:val="00DF6BDF"/>
    <w:rsid w:val="00DF6C61"/>
    <w:rsid w:val="00DF6C65"/>
    <w:rsid w:val="00DF6C77"/>
    <w:rsid w:val="00DF6DF3"/>
    <w:rsid w:val="00DF6F61"/>
    <w:rsid w:val="00DF6FD1"/>
    <w:rsid w:val="00DF700A"/>
    <w:rsid w:val="00DF7035"/>
    <w:rsid w:val="00DF70BB"/>
    <w:rsid w:val="00DF70BE"/>
    <w:rsid w:val="00DF712A"/>
    <w:rsid w:val="00DF7146"/>
    <w:rsid w:val="00DF716C"/>
    <w:rsid w:val="00DF7237"/>
    <w:rsid w:val="00DF7250"/>
    <w:rsid w:val="00DF731D"/>
    <w:rsid w:val="00DF73F8"/>
    <w:rsid w:val="00DF7464"/>
    <w:rsid w:val="00DF7523"/>
    <w:rsid w:val="00DF7557"/>
    <w:rsid w:val="00DF773E"/>
    <w:rsid w:val="00DF779F"/>
    <w:rsid w:val="00DF7846"/>
    <w:rsid w:val="00DF7873"/>
    <w:rsid w:val="00DF78A0"/>
    <w:rsid w:val="00DF7A45"/>
    <w:rsid w:val="00DF7A8F"/>
    <w:rsid w:val="00DF7A9E"/>
    <w:rsid w:val="00DF7AC3"/>
    <w:rsid w:val="00DF7C08"/>
    <w:rsid w:val="00DF7C34"/>
    <w:rsid w:val="00DF7DF2"/>
    <w:rsid w:val="00DF7E56"/>
    <w:rsid w:val="00DF7F9D"/>
    <w:rsid w:val="00E00039"/>
    <w:rsid w:val="00E000AF"/>
    <w:rsid w:val="00E000D3"/>
    <w:rsid w:val="00E0013E"/>
    <w:rsid w:val="00E00157"/>
    <w:rsid w:val="00E00186"/>
    <w:rsid w:val="00E001E2"/>
    <w:rsid w:val="00E001FE"/>
    <w:rsid w:val="00E0033B"/>
    <w:rsid w:val="00E0034B"/>
    <w:rsid w:val="00E003AF"/>
    <w:rsid w:val="00E0042A"/>
    <w:rsid w:val="00E00431"/>
    <w:rsid w:val="00E0044C"/>
    <w:rsid w:val="00E0047A"/>
    <w:rsid w:val="00E004AA"/>
    <w:rsid w:val="00E004C0"/>
    <w:rsid w:val="00E004F4"/>
    <w:rsid w:val="00E0057A"/>
    <w:rsid w:val="00E00591"/>
    <w:rsid w:val="00E005A0"/>
    <w:rsid w:val="00E0067F"/>
    <w:rsid w:val="00E006AF"/>
    <w:rsid w:val="00E00745"/>
    <w:rsid w:val="00E0094E"/>
    <w:rsid w:val="00E009B1"/>
    <w:rsid w:val="00E009B9"/>
    <w:rsid w:val="00E009DC"/>
    <w:rsid w:val="00E00A51"/>
    <w:rsid w:val="00E00A79"/>
    <w:rsid w:val="00E00A8E"/>
    <w:rsid w:val="00E00B07"/>
    <w:rsid w:val="00E00B6D"/>
    <w:rsid w:val="00E00B7E"/>
    <w:rsid w:val="00E00C95"/>
    <w:rsid w:val="00E00D91"/>
    <w:rsid w:val="00E00DB1"/>
    <w:rsid w:val="00E00E3D"/>
    <w:rsid w:val="00E00F0F"/>
    <w:rsid w:val="00E010A2"/>
    <w:rsid w:val="00E0120A"/>
    <w:rsid w:val="00E01247"/>
    <w:rsid w:val="00E01280"/>
    <w:rsid w:val="00E01299"/>
    <w:rsid w:val="00E012DC"/>
    <w:rsid w:val="00E01394"/>
    <w:rsid w:val="00E01488"/>
    <w:rsid w:val="00E01597"/>
    <w:rsid w:val="00E0162C"/>
    <w:rsid w:val="00E01696"/>
    <w:rsid w:val="00E01698"/>
    <w:rsid w:val="00E016E3"/>
    <w:rsid w:val="00E017B6"/>
    <w:rsid w:val="00E018B5"/>
    <w:rsid w:val="00E018FE"/>
    <w:rsid w:val="00E0192D"/>
    <w:rsid w:val="00E019BB"/>
    <w:rsid w:val="00E019D6"/>
    <w:rsid w:val="00E019FF"/>
    <w:rsid w:val="00E01AB9"/>
    <w:rsid w:val="00E01ABB"/>
    <w:rsid w:val="00E01ABC"/>
    <w:rsid w:val="00E01AC4"/>
    <w:rsid w:val="00E01B37"/>
    <w:rsid w:val="00E01B62"/>
    <w:rsid w:val="00E01C06"/>
    <w:rsid w:val="00E01DB8"/>
    <w:rsid w:val="00E01E35"/>
    <w:rsid w:val="00E01EA2"/>
    <w:rsid w:val="00E01F54"/>
    <w:rsid w:val="00E01F58"/>
    <w:rsid w:val="00E01FBE"/>
    <w:rsid w:val="00E0203D"/>
    <w:rsid w:val="00E020A2"/>
    <w:rsid w:val="00E020BB"/>
    <w:rsid w:val="00E0219F"/>
    <w:rsid w:val="00E021A4"/>
    <w:rsid w:val="00E0222B"/>
    <w:rsid w:val="00E023F2"/>
    <w:rsid w:val="00E02437"/>
    <w:rsid w:val="00E02479"/>
    <w:rsid w:val="00E0266C"/>
    <w:rsid w:val="00E02675"/>
    <w:rsid w:val="00E02695"/>
    <w:rsid w:val="00E026CB"/>
    <w:rsid w:val="00E026FD"/>
    <w:rsid w:val="00E02725"/>
    <w:rsid w:val="00E0275D"/>
    <w:rsid w:val="00E02774"/>
    <w:rsid w:val="00E028A8"/>
    <w:rsid w:val="00E0292B"/>
    <w:rsid w:val="00E02938"/>
    <w:rsid w:val="00E029A1"/>
    <w:rsid w:val="00E02A0B"/>
    <w:rsid w:val="00E02A5F"/>
    <w:rsid w:val="00E02AAC"/>
    <w:rsid w:val="00E02B10"/>
    <w:rsid w:val="00E02B18"/>
    <w:rsid w:val="00E02BBA"/>
    <w:rsid w:val="00E02CED"/>
    <w:rsid w:val="00E02D00"/>
    <w:rsid w:val="00E02E19"/>
    <w:rsid w:val="00E02EA1"/>
    <w:rsid w:val="00E02EB7"/>
    <w:rsid w:val="00E02ED9"/>
    <w:rsid w:val="00E02F4C"/>
    <w:rsid w:val="00E02FF6"/>
    <w:rsid w:val="00E0312D"/>
    <w:rsid w:val="00E03179"/>
    <w:rsid w:val="00E0318D"/>
    <w:rsid w:val="00E031BC"/>
    <w:rsid w:val="00E031D7"/>
    <w:rsid w:val="00E03323"/>
    <w:rsid w:val="00E03328"/>
    <w:rsid w:val="00E034B6"/>
    <w:rsid w:val="00E0365C"/>
    <w:rsid w:val="00E036D1"/>
    <w:rsid w:val="00E037D3"/>
    <w:rsid w:val="00E038A4"/>
    <w:rsid w:val="00E03928"/>
    <w:rsid w:val="00E03934"/>
    <w:rsid w:val="00E0397F"/>
    <w:rsid w:val="00E03A4C"/>
    <w:rsid w:val="00E03B0D"/>
    <w:rsid w:val="00E03D4C"/>
    <w:rsid w:val="00E03D54"/>
    <w:rsid w:val="00E03D9B"/>
    <w:rsid w:val="00E03DE1"/>
    <w:rsid w:val="00E03EB5"/>
    <w:rsid w:val="00E03EC8"/>
    <w:rsid w:val="00E03ED9"/>
    <w:rsid w:val="00E03F2F"/>
    <w:rsid w:val="00E03FCD"/>
    <w:rsid w:val="00E0406E"/>
    <w:rsid w:val="00E04078"/>
    <w:rsid w:val="00E040C3"/>
    <w:rsid w:val="00E04119"/>
    <w:rsid w:val="00E0419A"/>
    <w:rsid w:val="00E0438A"/>
    <w:rsid w:val="00E043C6"/>
    <w:rsid w:val="00E0441A"/>
    <w:rsid w:val="00E04425"/>
    <w:rsid w:val="00E044CA"/>
    <w:rsid w:val="00E045B5"/>
    <w:rsid w:val="00E0469E"/>
    <w:rsid w:val="00E04711"/>
    <w:rsid w:val="00E0480E"/>
    <w:rsid w:val="00E0484F"/>
    <w:rsid w:val="00E04898"/>
    <w:rsid w:val="00E04A50"/>
    <w:rsid w:val="00E04AD0"/>
    <w:rsid w:val="00E04B64"/>
    <w:rsid w:val="00E04B86"/>
    <w:rsid w:val="00E04BAA"/>
    <w:rsid w:val="00E04BE7"/>
    <w:rsid w:val="00E04CB8"/>
    <w:rsid w:val="00E04D6F"/>
    <w:rsid w:val="00E04DE9"/>
    <w:rsid w:val="00E04DFD"/>
    <w:rsid w:val="00E04E7F"/>
    <w:rsid w:val="00E04F18"/>
    <w:rsid w:val="00E04F89"/>
    <w:rsid w:val="00E05062"/>
    <w:rsid w:val="00E05163"/>
    <w:rsid w:val="00E0516A"/>
    <w:rsid w:val="00E05336"/>
    <w:rsid w:val="00E0534B"/>
    <w:rsid w:val="00E05419"/>
    <w:rsid w:val="00E054C0"/>
    <w:rsid w:val="00E054FA"/>
    <w:rsid w:val="00E05539"/>
    <w:rsid w:val="00E055A8"/>
    <w:rsid w:val="00E055D9"/>
    <w:rsid w:val="00E0562B"/>
    <w:rsid w:val="00E0568E"/>
    <w:rsid w:val="00E056D2"/>
    <w:rsid w:val="00E057CC"/>
    <w:rsid w:val="00E057ED"/>
    <w:rsid w:val="00E0590D"/>
    <w:rsid w:val="00E059B2"/>
    <w:rsid w:val="00E059CF"/>
    <w:rsid w:val="00E05A11"/>
    <w:rsid w:val="00E05A7E"/>
    <w:rsid w:val="00E05B06"/>
    <w:rsid w:val="00E05B77"/>
    <w:rsid w:val="00E05BA2"/>
    <w:rsid w:val="00E05C0B"/>
    <w:rsid w:val="00E05C47"/>
    <w:rsid w:val="00E05CEC"/>
    <w:rsid w:val="00E05E50"/>
    <w:rsid w:val="00E05EA4"/>
    <w:rsid w:val="00E05ECB"/>
    <w:rsid w:val="00E05F08"/>
    <w:rsid w:val="00E05F1F"/>
    <w:rsid w:val="00E05F3E"/>
    <w:rsid w:val="00E05F4C"/>
    <w:rsid w:val="00E05FB0"/>
    <w:rsid w:val="00E06027"/>
    <w:rsid w:val="00E061A8"/>
    <w:rsid w:val="00E0637B"/>
    <w:rsid w:val="00E06388"/>
    <w:rsid w:val="00E06780"/>
    <w:rsid w:val="00E067E6"/>
    <w:rsid w:val="00E0681F"/>
    <w:rsid w:val="00E0695F"/>
    <w:rsid w:val="00E06B1D"/>
    <w:rsid w:val="00E06BFC"/>
    <w:rsid w:val="00E06C1D"/>
    <w:rsid w:val="00E06C3C"/>
    <w:rsid w:val="00E06CAA"/>
    <w:rsid w:val="00E06CF1"/>
    <w:rsid w:val="00E06D17"/>
    <w:rsid w:val="00E06D74"/>
    <w:rsid w:val="00E06DEF"/>
    <w:rsid w:val="00E06E74"/>
    <w:rsid w:val="00E06F02"/>
    <w:rsid w:val="00E06FB8"/>
    <w:rsid w:val="00E07022"/>
    <w:rsid w:val="00E07027"/>
    <w:rsid w:val="00E07081"/>
    <w:rsid w:val="00E0725F"/>
    <w:rsid w:val="00E07272"/>
    <w:rsid w:val="00E07322"/>
    <w:rsid w:val="00E0750A"/>
    <w:rsid w:val="00E0752F"/>
    <w:rsid w:val="00E07626"/>
    <w:rsid w:val="00E07633"/>
    <w:rsid w:val="00E07733"/>
    <w:rsid w:val="00E0775D"/>
    <w:rsid w:val="00E0783D"/>
    <w:rsid w:val="00E07846"/>
    <w:rsid w:val="00E078A9"/>
    <w:rsid w:val="00E078DE"/>
    <w:rsid w:val="00E078EF"/>
    <w:rsid w:val="00E079F1"/>
    <w:rsid w:val="00E07A90"/>
    <w:rsid w:val="00E07ACB"/>
    <w:rsid w:val="00E07AED"/>
    <w:rsid w:val="00E07B8E"/>
    <w:rsid w:val="00E07BD5"/>
    <w:rsid w:val="00E07BFB"/>
    <w:rsid w:val="00E07C7E"/>
    <w:rsid w:val="00E07C8C"/>
    <w:rsid w:val="00E07CAC"/>
    <w:rsid w:val="00E07CCB"/>
    <w:rsid w:val="00E07CCE"/>
    <w:rsid w:val="00E07CD2"/>
    <w:rsid w:val="00E07D09"/>
    <w:rsid w:val="00E07DB2"/>
    <w:rsid w:val="00E07E20"/>
    <w:rsid w:val="00E07E8E"/>
    <w:rsid w:val="00E07E91"/>
    <w:rsid w:val="00E07F21"/>
    <w:rsid w:val="00E07F3A"/>
    <w:rsid w:val="00E07FB5"/>
    <w:rsid w:val="00E07FE8"/>
    <w:rsid w:val="00E1001B"/>
    <w:rsid w:val="00E100EA"/>
    <w:rsid w:val="00E10172"/>
    <w:rsid w:val="00E101C6"/>
    <w:rsid w:val="00E10229"/>
    <w:rsid w:val="00E10232"/>
    <w:rsid w:val="00E102B6"/>
    <w:rsid w:val="00E104D0"/>
    <w:rsid w:val="00E104D3"/>
    <w:rsid w:val="00E105E7"/>
    <w:rsid w:val="00E106BB"/>
    <w:rsid w:val="00E106D1"/>
    <w:rsid w:val="00E106D6"/>
    <w:rsid w:val="00E106DD"/>
    <w:rsid w:val="00E10718"/>
    <w:rsid w:val="00E10733"/>
    <w:rsid w:val="00E10771"/>
    <w:rsid w:val="00E108BE"/>
    <w:rsid w:val="00E1093C"/>
    <w:rsid w:val="00E10981"/>
    <w:rsid w:val="00E1098F"/>
    <w:rsid w:val="00E109A1"/>
    <w:rsid w:val="00E10B1F"/>
    <w:rsid w:val="00E10C10"/>
    <w:rsid w:val="00E10C38"/>
    <w:rsid w:val="00E10C4D"/>
    <w:rsid w:val="00E10CFB"/>
    <w:rsid w:val="00E10DAE"/>
    <w:rsid w:val="00E10ED9"/>
    <w:rsid w:val="00E10F23"/>
    <w:rsid w:val="00E10FCA"/>
    <w:rsid w:val="00E10FFA"/>
    <w:rsid w:val="00E1101B"/>
    <w:rsid w:val="00E110C3"/>
    <w:rsid w:val="00E111B7"/>
    <w:rsid w:val="00E11357"/>
    <w:rsid w:val="00E11413"/>
    <w:rsid w:val="00E11445"/>
    <w:rsid w:val="00E11457"/>
    <w:rsid w:val="00E114B5"/>
    <w:rsid w:val="00E11518"/>
    <w:rsid w:val="00E11569"/>
    <w:rsid w:val="00E11632"/>
    <w:rsid w:val="00E11795"/>
    <w:rsid w:val="00E11839"/>
    <w:rsid w:val="00E118B0"/>
    <w:rsid w:val="00E11924"/>
    <w:rsid w:val="00E1195C"/>
    <w:rsid w:val="00E11999"/>
    <w:rsid w:val="00E11A83"/>
    <w:rsid w:val="00E11AD3"/>
    <w:rsid w:val="00E11B79"/>
    <w:rsid w:val="00E11C46"/>
    <w:rsid w:val="00E11E11"/>
    <w:rsid w:val="00E11EE5"/>
    <w:rsid w:val="00E11FE4"/>
    <w:rsid w:val="00E11FF6"/>
    <w:rsid w:val="00E1204F"/>
    <w:rsid w:val="00E12185"/>
    <w:rsid w:val="00E121E5"/>
    <w:rsid w:val="00E121F2"/>
    <w:rsid w:val="00E12200"/>
    <w:rsid w:val="00E12204"/>
    <w:rsid w:val="00E12245"/>
    <w:rsid w:val="00E12262"/>
    <w:rsid w:val="00E1246A"/>
    <w:rsid w:val="00E12488"/>
    <w:rsid w:val="00E125E1"/>
    <w:rsid w:val="00E12602"/>
    <w:rsid w:val="00E1260E"/>
    <w:rsid w:val="00E12657"/>
    <w:rsid w:val="00E12984"/>
    <w:rsid w:val="00E129B9"/>
    <w:rsid w:val="00E12A8D"/>
    <w:rsid w:val="00E12BAD"/>
    <w:rsid w:val="00E12BC0"/>
    <w:rsid w:val="00E12C00"/>
    <w:rsid w:val="00E12CCE"/>
    <w:rsid w:val="00E12D89"/>
    <w:rsid w:val="00E12DFD"/>
    <w:rsid w:val="00E12F6F"/>
    <w:rsid w:val="00E12FA9"/>
    <w:rsid w:val="00E12FD6"/>
    <w:rsid w:val="00E13053"/>
    <w:rsid w:val="00E130DE"/>
    <w:rsid w:val="00E130EB"/>
    <w:rsid w:val="00E131AA"/>
    <w:rsid w:val="00E131BC"/>
    <w:rsid w:val="00E131FD"/>
    <w:rsid w:val="00E13204"/>
    <w:rsid w:val="00E1320A"/>
    <w:rsid w:val="00E1322E"/>
    <w:rsid w:val="00E1323F"/>
    <w:rsid w:val="00E13247"/>
    <w:rsid w:val="00E13275"/>
    <w:rsid w:val="00E133F3"/>
    <w:rsid w:val="00E13478"/>
    <w:rsid w:val="00E13510"/>
    <w:rsid w:val="00E13562"/>
    <w:rsid w:val="00E135D3"/>
    <w:rsid w:val="00E1382C"/>
    <w:rsid w:val="00E13951"/>
    <w:rsid w:val="00E139AE"/>
    <w:rsid w:val="00E139EB"/>
    <w:rsid w:val="00E13A89"/>
    <w:rsid w:val="00E13A9F"/>
    <w:rsid w:val="00E13ADE"/>
    <w:rsid w:val="00E13B70"/>
    <w:rsid w:val="00E13BCE"/>
    <w:rsid w:val="00E13BF7"/>
    <w:rsid w:val="00E13CB2"/>
    <w:rsid w:val="00E13CD9"/>
    <w:rsid w:val="00E13D28"/>
    <w:rsid w:val="00E13D2F"/>
    <w:rsid w:val="00E13E15"/>
    <w:rsid w:val="00E13E2C"/>
    <w:rsid w:val="00E13E6E"/>
    <w:rsid w:val="00E13E87"/>
    <w:rsid w:val="00E13EAD"/>
    <w:rsid w:val="00E13EB0"/>
    <w:rsid w:val="00E13ECB"/>
    <w:rsid w:val="00E13F1E"/>
    <w:rsid w:val="00E13F21"/>
    <w:rsid w:val="00E13FAF"/>
    <w:rsid w:val="00E14001"/>
    <w:rsid w:val="00E141EA"/>
    <w:rsid w:val="00E14209"/>
    <w:rsid w:val="00E14235"/>
    <w:rsid w:val="00E1425D"/>
    <w:rsid w:val="00E1427B"/>
    <w:rsid w:val="00E1429A"/>
    <w:rsid w:val="00E1429F"/>
    <w:rsid w:val="00E143DE"/>
    <w:rsid w:val="00E14424"/>
    <w:rsid w:val="00E14446"/>
    <w:rsid w:val="00E1445B"/>
    <w:rsid w:val="00E1455D"/>
    <w:rsid w:val="00E1458C"/>
    <w:rsid w:val="00E145A1"/>
    <w:rsid w:val="00E1465F"/>
    <w:rsid w:val="00E14700"/>
    <w:rsid w:val="00E14767"/>
    <w:rsid w:val="00E147BA"/>
    <w:rsid w:val="00E14810"/>
    <w:rsid w:val="00E1487D"/>
    <w:rsid w:val="00E148E1"/>
    <w:rsid w:val="00E14982"/>
    <w:rsid w:val="00E14A64"/>
    <w:rsid w:val="00E14B5D"/>
    <w:rsid w:val="00E14B77"/>
    <w:rsid w:val="00E14BD9"/>
    <w:rsid w:val="00E14BF2"/>
    <w:rsid w:val="00E14C06"/>
    <w:rsid w:val="00E14C5A"/>
    <w:rsid w:val="00E14C5B"/>
    <w:rsid w:val="00E14D31"/>
    <w:rsid w:val="00E14D6B"/>
    <w:rsid w:val="00E14D72"/>
    <w:rsid w:val="00E14D90"/>
    <w:rsid w:val="00E14DA4"/>
    <w:rsid w:val="00E14DF3"/>
    <w:rsid w:val="00E14F40"/>
    <w:rsid w:val="00E14F93"/>
    <w:rsid w:val="00E14FD8"/>
    <w:rsid w:val="00E1508F"/>
    <w:rsid w:val="00E15148"/>
    <w:rsid w:val="00E15228"/>
    <w:rsid w:val="00E1525C"/>
    <w:rsid w:val="00E152B9"/>
    <w:rsid w:val="00E1535E"/>
    <w:rsid w:val="00E15579"/>
    <w:rsid w:val="00E15746"/>
    <w:rsid w:val="00E1575A"/>
    <w:rsid w:val="00E15800"/>
    <w:rsid w:val="00E15835"/>
    <w:rsid w:val="00E1585E"/>
    <w:rsid w:val="00E15867"/>
    <w:rsid w:val="00E158E0"/>
    <w:rsid w:val="00E158F1"/>
    <w:rsid w:val="00E15919"/>
    <w:rsid w:val="00E159A1"/>
    <w:rsid w:val="00E15A44"/>
    <w:rsid w:val="00E15B9C"/>
    <w:rsid w:val="00E15CBC"/>
    <w:rsid w:val="00E15CE0"/>
    <w:rsid w:val="00E15DC3"/>
    <w:rsid w:val="00E15DEB"/>
    <w:rsid w:val="00E15DF8"/>
    <w:rsid w:val="00E15E88"/>
    <w:rsid w:val="00E15E9D"/>
    <w:rsid w:val="00E15F4A"/>
    <w:rsid w:val="00E15F50"/>
    <w:rsid w:val="00E15F56"/>
    <w:rsid w:val="00E15F62"/>
    <w:rsid w:val="00E15F99"/>
    <w:rsid w:val="00E16190"/>
    <w:rsid w:val="00E16264"/>
    <w:rsid w:val="00E16288"/>
    <w:rsid w:val="00E162CD"/>
    <w:rsid w:val="00E16358"/>
    <w:rsid w:val="00E163E2"/>
    <w:rsid w:val="00E16480"/>
    <w:rsid w:val="00E1655B"/>
    <w:rsid w:val="00E167C5"/>
    <w:rsid w:val="00E167D2"/>
    <w:rsid w:val="00E16891"/>
    <w:rsid w:val="00E168C0"/>
    <w:rsid w:val="00E16902"/>
    <w:rsid w:val="00E16936"/>
    <w:rsid w:val="00E169C8"/>
    <w:rsid w:val="00E16A4A"/>
    <w:rsid w:val="00E16B6F"/>
    <w:rsid w:val="00E16BCD"/>
    <w:rsid w:val="00E16CF5"/>
    <w:rsid w:val="00E16DFF"/>
    <w:rsid w:val="00E16E36"/>
    <w:rsid w:val="00E16E4C"/>
    <w:rsid w:val="00E16ED5"/>
    <w:rsid w:val="00E16F16"/>
    <w:rsid w:val="00E1700F"/>
    <w:rsid w:val="00E170DF"/>
    <w:rsid w:val="00E17208"/>
    <w:rsid w:val="00E1726B"/>
    <w:rsid w:val="00E17310"/>
    <w:rsid w:val="00E17346"/>
    <w:rsid w:val="00E173B2"/>
    <w:rsid w:val="00E17489"/>
    <w:rsid w:val="00E174BD"/>
    <w:rsid w:val="00E174C3"/>
    <w:rsid w:val="00E17586"/>
    <w:rsid w:val="00E1759E"/>
    <w:rsid w:val="00E175F9"/>
    <w:rsid w:val="00E17617"/>
    <w:rsid w:val="00E17878"/>
    <w:rsid w:val="00E178D0"/>
    <w:rsid w:val="00E17903"/>
    <w:rsid w:val="00E1793B"/>
    <w:rsid w:val="00E17988"/>
    <w:rsid w:val="00E179D0"/>
    <w:rsid w:val="00E17AED"/>
    <w:rsid w:val="00E17B2B"/>
    <w:rsid w:val="00E17BEF"/>
    <w:rsid w:val="00E17BF9"/>
    <w:rsid w:val="00E17C0D"/>
    <w:rsid w:val="00E17C8B"/>
    <w:rsid w:val="00E17CCE"/>
    <w:rsid w:val="00E17DB3"/>
    <w:rsid w:val="00E17E1F"/>
    <w:rsid w:val="00E17E6D"/>
    <w:rsid w:val="00E17E79"/>
    <w:rsid w:val="00E17EBF"/>
    <w:rsid w:val="00E17FA7"/>
    <w:rsid w:val="00E20046"/>
    <w:rsid w:val="00E20143"/>
    <w:rsid w:val="00E2016B"/>
    <w:rsid w:val="00E20189"/>
    <w:rsid w:val="00E20262"/>
    <w:rsid w:val="00E20324"/>
    <w:rsid w:val="00E20339"/>
    <w:rsid w:val="00E20354"/>
    <w:rsid w:val="00E20355"/>
    <w:rsid w:val="00E203E1"/>
    <w:rsid w:val="00E204E1"/>
    <w:rsid w:val="00E20535"/>
    <w:rsid w:val="00E205B1"/>
    <w:rsid w:val="00E205D3"/>
    <w:rsid w:val="00E206A4"/>
    <w:rsid w:val="00E20724"/>
    <w:rsid w:val="00E2074D"/>
    <w:rsid w:val="00E2074E"/>
    <w:rsid w:val="00E207A0"/>
    <w:rsid w:val="00E208E4"/>
    <w:rsid w:val="00E208E6"/>
    <w:rsid w:val="00E209F2"/>
    <w:rsid w:val="00E20B99"/>
    <w:rsid w:val="00E20BAD"/>
    <w:rsid w:val="00E20C8E"/>
    <w:rsid w:val="00E20D1B"/>
    <w:rsid w:val="00E20D9B"/>
    <w:rsid w:val="00E20E41"/>
    <w:rsid w:val="00E20E6B"/>
    <w:rsid w:val="00E20E8A"/>
    <w:rsid w:val="00E20EC1"/>
    <w:rsid w:val="00E20F0C"/>
    <w:rsid w:val="00E20F0F"/>
    <w:rsid w:val="00E20F77"/>
    <w:rsid w:val="00E20F7E"/>
    <w:rsid w:val="00E21074"/>
    <w:rsid w:val="00E210B2"/>
    <w:rsid w:val="00E2113E"/>
    <w:rsid w:val="00E212A1"/>
    <w:rsid w:val="00E212CE"/>
    <w:rsid w:val="00E212F8"/>
    <w:rsid w:val="00E21316"/>
    <w:rsid w:val="00E213EF"/>
    <w:rsid w:val="00E21426"/>
    <w:rsid w:val="00E2155E"/>
    <w:rsid w:val="00E2161E"/>
    <w:rsid w:val="00E2162A"/>
    <w:rsid w:val="00E21665"/>
    <w:rsid w:val="00E216A8"/>
    <w:rsid w:val="00E21718"/>
    <w:rsid w:val="00E2180F"/>
    <w:rsid w:val="00E2183F"/>
    <w:rsid w:val="00E219A5"/>
    <w:rsid w:val="00E21A59"/>
    <w:rsid w:val="00E21ABC"/>
    <w:rsid w:val="00E21ACE"/>
    <w:rsid w:val="00E21BE9"/>
    <w:rsid w:val="00E21CB4"/>
    <w:rsid w:val="00E21D1A"/>
    <w:rsid w:val="00E21D2F"/>
    <w:rsid w:val="00E21D39"/>
    <w:rsid w:val="00E21DB7"/>
    <w:rsid w:val="00E21E9B"/>
    <w:rsid w:val="00E21F69"/>
    <w:rsid w:val="00E2207B"/>
    <w:rsid w:val="00E22099"/>
    <w:rsid w:val="00E220AB"/>
    <w:rsid w:val="00E221D1"/>
    <w:rsid w:val="00E222B0"/>
    <w:rsid w:val="00E222B5"/>
    <w:rsid w:val="00E222DB"/>
    <w:rsid w:val="00E222E8"/>
    <w:rsid w:val="00E223FC"/>
    <w:rsid w:val="00E22472"/>
    <w:rsid w:val="00E2252B"/>
    <w:rsid w:val="00E2253A"/>
    <w:rsid w:val="00E2257B"/>
    <w:rsid w:val="00E225BE"/>
    <w:rsid w:val="00E22627"/>
    <w:rsid w:val="00E226F1"/>
    <w:rsid w:val="00E2288C"/>
    <w:rsid w:val="00E2289A"/>
    <w:rsid w:val="00E228C7"/>
    <w:rsid w:val="00E229A9"/>
    <w:rsid w:val="00E22C31"/>
    <w:rsid w:val="00E22C35"/>
    <w:rsid w:val="00E22C4C"/>
    <w:rsid w:val="00E22C6B"/>
    <w:rsid w:val="00E22D51"/>
    <w:rsid w:val="00E22D5C"/>
    <w:rsid w:val="00E22DE1"/>
    <w:rsid w:val="00E22E17"/>
    <w:rsid w:val="00E22F46"/>
    <w:rsid w:val="00E22F73"/>
    <w:rsid w:val="00E22FAA"/>
    <w:rsid w:val="00E23041"/>
    <w:rsid w:val="00E23108"/>
    <w:rsid w:val="00E2313A"/>
    <w:rsid w:val="00E23165"/>
    <w:rsid w:val="00E232A2"/>
    <w:rsid w:val="00E23451"/>
    <w:rsid w:val="00E23474"/>
    <w:rsid w:val="00E234E6"/>
    <w:rsid w:val="00E235AF"/>
    <w:rsid w:val="00E23690"/>
    <w:rsid w:val="00E23693"/>
    <w:rsid w:val="00E23737"/>
    <w:rsid w:val="00E237DA"/>
    <w:rsid w:val="00E238A1"/>
    <w:rsid w:val="00E238AF"/>
    <w:rsid w:val="00E23957"/>
    <w:rsid w:val="00E2396E"/>
    <w:rsid w:val="00E23AB4"/>
    <w:rsid w:val="00E23CB2"/>
    <w:rsid w:val="00E23F52"/>
    <w:rsid w:val="00E23FCA"/>
    <w:rsid w:val="00E23FFB"/>
    <w:rsid w:val="00E240A4"/>
    <w:rsid w:val="00E240A5"/>
    <w:rsid w:val="00E24113"/>
    <w:rsid w:val="00E24150"/>
    <w:rsid w:val="00E241FE"/>
    <w:rsid w:val="00E24219"/>
    <w:rsid w:val="00E2427C"/>
    <w:rsid w:val="00E2427E"/>
    <w:rsid w:val="00E242B3"/>
    <w:rsid w:val="00E242DD"/>
    <w:rsid w:val="00E24485"/>
    <w:rsid w:val="00E244FE"/>
    <w:rsid w:val="00E2463E"/>
    <w:rsid w:val="00E24644"/>
    <w:rsid w:val="00E2464F"/>
    <w:rsid w:val="00E24670"/>
    <w:rsid w:val="00E24686"/>
    <w:rsid w:val="00E246EC"/>
    <w:rsid w:val="00E2478E"/>
    <w:rsid w:val="00E247A4"/>
    <w:rsid w:val="00E247DE"/>
    <w:rsid w:val="00E24820"/>
    <w:rsid w:val="00E24854"/>
    <w:rsid w:val="00E248F3"/>
    <w:rsid w:val="00E24921"/>
    <w:rsid w:val="00E2493B"/>
    <w:rsid w:val="00E24999"/>
    <w:rsid w:val="00E24A82"/>
    <w:rsid w:val="00E24A91"/>
    <w:rsid w:val="00E24AC0"/>
    <w:rsid w:val="00E24B75"/>
    <w:rsid w:val="00E24B8A"/>
    <w:rsid w:val="00E24BBA"/>
    <w:rsid w:val="00E24C0D"/>
    <w:rsid w:val="00E24C3B"/>
    <w:rsid w:val="00E24CFC"/>
    <w:rsid w:val="00E24D81"/>
    <w:rsid w:val="00E24E5E"/>
    <w:rsid w:val="00E24E9B"/>
    <w:rsid w:val="00E24E9F"/>
    <w:rsid w:val="00E24F58"/>
    <w:rsid w:val="00E24F73"/>
    <w:rsid w:val="00E24FAC"/>
    <w:rsid w:val="00E250D2"/>
    <w:rsid w:val="00E2526E"/>
    <w:rsid w:val="00E253DB"/>
    <w:rsid w:val="00E25413"/>
    <w:rsid w:val="00E25427"/>
    <w:rsid w:val="00E25478"/>
    <w:rsid w:val="00E254A8"/>
    <w:rsid w:val="00E254D4"/>
    <w:rsid w:val="00E254E2"/>
    <w:rsid w:val="00E25518"/>
    <w:rsid w:val="00E2558A"/>
    <w:rsid w:val="00E255C2"/>
    <w:rsid w:val="00E255FC"/>
    <w:rsid w:val="00E25682"/>
    <w:rsid w:val="00E2568F"/>
    <w:rsid w:val="00E256FC"/>
    <w:rsid w:val="00E2574C"/>
    <w:rsid w:val="00E25750"/>
    <w:rsid w:val="00E257D2"/>
    <w:rsid w:val="00E2583D"/>
    <w:rsid w:val="00E258B0"/>
    <w:rsid w:val="00E258C9"/>
    <w:rsid w:val="00E258E4"/>
    <w:rsid w:val="00E25A97"/>
    <w:rsid w:val="00E25B34"/>
    <w:rsid w:val="00E25B3E"/>
    <w:rsid w:val="00E25BA3"/>
    <w:rsid w:val="00E25BEA"/>
    <w:rsid w:val="00E25C0F"/>
    <w:rsid w:val="00E25C7D"/>
    <w:rsid w:val="00E25C8E"/>
    <w:rsid w:val="00E25D35"/>
    <w:rsid w:val="00E25D6A"/>
    <w:rsid w:val="00E25FA0"/>
    <w:rsid w:val="00E2605A"/>
    <w:rsid w:val="00E2619A"/>
    <w:rsid w:val="00E261DA"/>
    <w:rsid w:val="00E262E7"/>
    <w:rsid w:val="00E26358"/>
    <w:rsid w:val="00E2640B"/>
    <w:rsid w:val="00E2640C"/>
    <w:rsid w:val="00E264C2"/>
    <w:rsid w:val="00E264CE"/>
    <w:rsid w:val="00E26620"/>
    <w:rsid w:val="00E26621"/>
    <w:rsid w:val="00E2664F"/>
    <w:rsid w:val="00E2666F"/>
    <w:rsid w:val="00E266A4"/>
    <w:rsid w:val="00E26747"/>
    <w:rsid w:val="00E26870"/>
    <w:rsid w:val="00E26894"/>
    <w:rsid w:val="00E26974"/>
    <w:rsid w:val="00E269D8"/>
    <w:rsid w:val="00E269EF"/>
    <w:rsid w:val="00E26B75"/>
    <w:rsid w:val="00E26C68"/>
    <w:rsid w:val="00E26C6A"/>
    <w:rsid w:val="00E26C7D"/>
    <w:rsid w:val="00E26C96"/>
    <w:rsid w:val="00E26E1F"/>
    <w:rsid w:val="00E26EE5"/>
    <w:rsid w:val="00E26EEC"/>
    <w:rsid w:val="00E26FCF"/>
    <w:rsid w:val="00E272A0"/>
    <w:rsid w:val="00E272B4"/>
    <w:rsid w:val="00E27351"/>
    <w:rsid w:val="00E2744B"/>
    <w:rsid w:val="00E274CF"/>
    <w:rsid w:val="00E274D0"/>
    <w:rsid w:val="00E2754E"/>
    <w:rsid w:val="00E27572"/>
    <w:rsid w:val="00E275AE"/>
    <w:rsid w:val="00E27679"/>
    <w:rsid w:val="00E27699"/>
    <w:rsid w:val="00E27713"/>
    <w:rsid w:val="00E27717"/>
    <w:rsid w:val="00E2775E"/>
    <w:rsid w:val="00E27815"/>
    <w:rsid w:val="00E2784D"/>
    <w:rsid w:val="00E2785B"/>
    <w:rsid w:val="00E2788E"/>
    <w:rsid w:val="00E2790A"/>
    <w:rsid w:val="00E27927"/>
    <w:rsid w:val="00E27942"/>
    <w:rsid w:val="00E2797F"/>
    <w:rsid w:val="00E27A95"/>
    <w:rsid w:val="00E27AD4"/>
    <w:rsid w:val="00E27B0A"/>
    <w:rsid w:val="00E27B2F"/>
    <w:rsid w:val="00E27BA4"/>
    <w:rsid w:val="00E27BF5"/>
    <w:rsid w:val="00E27DAF"/>
    <w:rsid w:val="00E27E14"/>
    <w:rsid w:val="00E27E9F"/>
    <w:rsid w:val="00E27EED"/>
    <w:rsid w:val="00E27F36"/>
    <w:rsid w:val="00E27F3B"/>
    <w:rsid w:val="00E27FC8"/>
    <w:rsid w:val="00E3002E"/>
    <w:rsid w:val="00E30080"/>
    <w:rsid w:val="00E3013C"/>
    <w:rsid w:val="00E302C4"/>
    <w:rsid w:val="00E303E9"/>
    <w:rsid w:val="00E30477"/>
    <w:rsid w:val="00E304A4"/>
    <w:rsid w:val="00E304D3"/>
    <w:rsid w:val="00E304D5"/>
    <w:rsid w:val="00E304F0"/>
    <w:rsid w:val="00E30574"/>
    <w:rsid w:val="00E3058C"/>
    <w:rsid w:val="00E30796"/>
    <w:rsid w:val="00E30894"/>
    <w:rsid w:val="00E308E3"/>
    <w:rsid w:val="00E30953"/>
    <w:rsid w:val="00E30999"/>
    <w:rsid w:val="00E30A0B"/>
    <w:rsid w:val="00E30AEE"/>
    <w:rsid w:val="00E30B60"/>
    <w:rsid w:val="00E30CC4"/>
    <w:rsid w:val="00E30CD7"/>
    <w:rsid w:val="00E30D11"/>
    <w:rsid w:val="00E30D3D"/>
    <w:rsid w:val="00E30DC4"/>
    <w:rsid w:val="00E30DE3"/>
    <w:rsid w:val="00E30DEE"/>
    <w:rsid w:val="00E30E14"/>
    <w:rsid w:val="00E30E28"/>
    <w:rsid w:val="00E30ECC"/>
    <w:rsid w:val="00E30F48"/>
    <w:rsid w:val="00E31018"/>
    <w:rsid w:val="00E310F2"/>
    <w:rsid w:val="00E31197"/>
    <w:rsid w:val="00E311E3"/>
    <w:rsid w:val="00E311FA"/>
    <w:rsid w:val="00E312BA"/>
    <w:rsid w:val="00E313CA"/>
    <w:rsid w:val="00E314FC"/>
    <w:rsid w:val="00E315E8"/>
    <w:rsid w:val="00E315EC"/>
    <w:rsid w:val="00E31747"/>
    <w:rsid w:val="00E3180E"/>
    <w:rsid w:val="00E31810"/>
    <w:rsid w:val="00E31855"/>
    <w:rsid w:val="00E31898"/>
    <w:rsid w:val="00E318EA"/>
    <w:rsid w:val="00E3195C"/>
    <w:rsid w:val="00E31A02"/>
    <w:rsid w:val="00E31A44"/>
    <w:rsid w:val="00E31B08"/>
    <w:rsid w:val="00E31B81"/>
    <w:rsid w:val="00E31BF5"/>
    <w:rsid w:val="00E31C72"/>
    <w:rsid w:val="00E31CB9"/>
    <w:rsid w:val="00E31D7C"/>
    <w:rsid w:val="00E31DA7"/>
    <w:rsid w:val="00E31EE4"/>
    <w:rsid w:val="00E31F45"/>
    <w:rsid w:val="00E3203A"/>
    <w:rsid w:val="00E32040"/>
    <w:rsid w:val="00E32119"/>
    <w:rsid w:val="00E32131"/>
    <w:rsid w:val="00E321C3"/>
    <w:rsid w:val="00E321E1"/>
    <w:rsid w:val="00E32262"/>
    <w:rsid w:val="00E32364"/>
    <w:rsid w:val="00E3238D"/>
    <w:rsid w:val="00E325A4"/>
    <w:rsid w:val="00E325EA"/>
    <w:rsid w:val="00E32810"/>
    <w:rsid w:val="00E3283B"/>
    <w:rsid w:val="00E32859"/>
    <w:rsid w:val="00E32898"/>
    <w:rsid w:val="00E328DC"/>
    <w:rsid w:val="00E32925"/>
    <w:rsid w:val="00E329C2"/>
    <w:rsid w:val="00E32A09"/>
    <w:rsid w:val="00E32A6A"/>
    <w:rsid w:val="00E32B03"/>
    <w:rsid w:val="00E32B52"/>
    <w:rsid w:val="00E32CB3"/>
    <w:rsid w:val="00E32D66"/>
    <w:rsid w:val="00E32DFA"/>
    <w:rsid w:val="00E32E0F"/>
    <w:rsid w:val="00E32E64"/>
    <w:rsid w:val="00E32F22"/>
    <w:rsid w:val="00E32F84"/>
    <w:rsid w:val="00E32FC4"/>
    <w:rsid w:val="00E32FFF"/>
    <w:rsid w:val="00E3310B"/>
    <w:rsid w:val="00E33151"/>
    <w:rsid w:val="00E333CC"/>
    <w:rsid w:val="00E33403"/>
    <w:rsid w:val="00E33429"/>
    <w:rsid w:val="00E3347A"/>
    <w:rsid w:val="00E334B5"/>
    <w:rsid w:val="00E3352D"/>
    <w:rsid w:val="00E33549"/>
    <w:rsid w:val="00E3361D"/>
    <w:rsid w:val="00E33682"/>
    <w:rsid w:val="00E3371D"/>
    <w:rsid w:val="00E337C5"/>
    <w:rsid w:val="00E33958"/>
    <w:rsid w:val="00E339D6"/>
    <w:rsid w:val="00E33A0F"/>
    <w:rsid w:val="00E33A1F"/>
    <w:rsid w:val="00E33A7B"/>
    <w:rsid w:val="00E33ADB"/>
    <w:rsid w:val="00E33BE5"/>
    <w:rsid w:val="00E33C36"/>
    <w:rsid w:val="00E33C64"/>
    <w:rsid w:val="00E33C86"/>
    <w:rsid w:val="00E33CA9"/>
    <w:rsid w:val="00E33CF8"/>
    <w:rsid w:val="00E33D16"/>
    <w:rsid w:val="00E33D76"/>
    <w:rsid w:val="00E33DEE"/>
    <w:rsid w:val="00E33E60"/>
    <w:rsid w:val="00E33EB7"/>
    <w:rsid w:val="00E33F28"/>
    <w:rsid w:val="00E33F52"/>
    <w:rsid w:val="00E33F9C"/>
    <w:rsid w:val="00E33FB3"/>
    <w:rsid w:val="00E33FE5"/>
    <w:rsid w:val="00E3412B"/>
    <w:rsid w:val="00E342BB"/>
    <w:rsid w:val="00E343B6"/>
    <w:rsid w:val="00E343E2"/>
    <w:rsid w:val="00E343E7"/>
    <w:rsid w:val="00E34447"/>
    <w:rsid w:val="00E34572"/>
    <w:rsid w:val="00E34586"/>
    <w:rsid w:val="00E3464E"/>
    <w:rsid w:val="00E346A0"/>
    <w:rsid w:val="00E346E8"/>
    <w:rsid w:val="00E3477A"/>
    <w:rsid w:val="00E347C8"/>
    <w:rsid w:val="00E3482F"/>
    <w:rsid w:val="00E3485E"/>
    <w:rsid w:val="00E34921"/>
    <w:rsid w:val="00E349A7"/>
    <w:rsid w:val="00E349D6"/>
    <w:rsid w:val="00E34A10"/>
    <w:rsid w:val="00E34B41"/>
    <w:rsid w:val="00E34BB4"/>
    <w:rsid w:val="00E34D0F"/>
    <w:rsid w:val="00E34D51"/>
    <w:rsid w:val="00E34D59"/>
    <w:rsid w:val="00E34DA6"/>
    <w:rsid w:val="00E34DC8"/>
    <w:rsid w:val="00E34DC9"/>
    <w:rsid w:val="00E34DF0"/>
    <w:rsid w:val="00E34E15"/>
    <w:rsid w:val="00E34E50"/>
    <w:rsid w:val="00E34E66"/>
    <w:rsid w:val="00E34EA7"/>
    <w:rsid w:val="00E34ECD"/>
    <w:rsid w:val="00E34FC8"/>
    <w:rsid w:val="00E3503E"/>
    <w:rsid w:val="00E350B5"/>
    <w:rsid w:val="00E350E8"/>
    <w:rsid w:val="00E3510D"/>
    <w:rsid w:val="00E3530A"/>
    <w:rsid w:val="00E353D3"/>
    <w:rsid w:val="00E354BC"/>
    <w:rsid w:val="00E3559F"/>
    <w:rsid w:val="00E355D9"/>
    <w:rsid w:val="00E3566B"/>
    <w:rsid w:val="00E356AF"/>
    <w:rsid w:val="00E356F4"/>
    <w:rsid w:val="00E3574A"/>
    <w:rsid w:val="00E357E8"/>
    <w:rsid w:val="00E35869"/>
    <w:rsid w:val="00E35956"/>
    <w:rsid w:val="00E35A66"/>
    <w:rsid w:val="00E35AB9"/>
    <w:rsid w:val="00E35B70"/>
    <w:rsid w:val="00E35C2F"/>
    <w:rsid w:val="00E35CB9"/>
    <w:rsid w:val="00E35CBB"/>
    <w:rsid w:val="00E35CD2"/>
    <w:rsid w:val="00E35D2F"/>
    <w:rsid w:val="00E35D79"/>
    <w:rsid w:val="00E35EB0"/>
    <w:rsid w:val="00E35F46"/>
    <w:rsid w:val="00E3606D"/>
    <w:rsid w:val="00E3615B"/>
    <w:rsid w:val="00E361F8"/>
    <w:rsid w:val="00E3620A"/>
    <w:rsid w:val="00E36266"/>
    <w:rsid w:val="00E36292"/>
    <w:rsid w:val="00E3629D"/>
    <w:rsid w:val="00E362A4"/>
    <w:rsid w:val="00E36426"/>
    <w:rsid w:val="00E3646D"/>
    <w:rsid w:val="00E3648D"/>
    <w:rsid w:val="00E36529"/>
    <w:rsid w:val="00E365FA"/>
    <w:rsid w:val="00E3670C"/>
    <w:rsid w:val="00E36753"/>
    <w:rsid w:val="00E367D7"/>
    <w:rsid w:val="00E36805"/>
    <w:rsid w:val="00E36806"/>
    <w:rsid w:val="00E36854"/>
    <w:rsid w:val="00E36860"/>
    <w:rsid w:val="00E368B0"/>
    <w:rsid w:val="00E368DD"/>
    <w:rsid w:val="00E36909"/>
    <w:rsid w:val="00E36944"/>
    <w:rsid w:val="00E36A70"/>
    <w:rsid w:val="00E36B52"/>
    <w:rsid w:val="00E36BA4"/>
    <w:rsid w:val="00E36BAF"/>
    <w:rsid w:val="00E36C09"/>
    <w:rsid w:val="00E36C19"/>
    <w:rsid w:val="00E36C7A"/>
    <w:rsid w:val="00E36CA4"/>
    <w:rsid w:val="00E36E31"/>
    <w:rsid w:val="00E36EBF"/>
    <w:rsid w:val="00E36F39"/>
    <w:rsid w:val="00E36F5A"/>
    <w:rsid w:val="00E36F82"/>
    <w:rsid w:val="00E36F96"/>
    <w:rsid w:val="00E3703E"/>
    <w:rsid w:val="00E37048"/>
    <w:rsid w:val="00E37116"/>
    <w:rsid w:val="00E371FF"/>
    <w:rsid w:val="00E373B7"/>
    <w:rsid w:val="00E37418"/>
    <w:rsid w:val="00E3745B"/>
    <w:rsid w:val="00E374E7"/>
    <w:rsid w:val="00E374FA"/>
    <w:rsid w:val="00E37616"/>
    <w:rsid w:val="00E376CD"/>
    <w:rsid w:val="00E377B9"/>
    <w:rsid w:val="00E37817"/>
    <w:rsid w:val="00E37820"/>
    <w:rsid w:val="00E37922"/>
    <w:rsid w:val="00E37984"/>
    <w:rsid w:val="00E379AE"/>
    <w:rsid w:val="00E37A50"/>
    <w:rsid w:val="00E37A5E"/>
    <w:rsid w:val="00E37A6A"/>
    <w:rsid w:val="00E37AF2"/>
    <w:rsid w:val="00E37B66"/>
    <w:rsid w:val="00E37BB9"/>
    <w:rsid w:val="00E37C14"/>
    <w:rsid w:val="00E37D51"/>
    <w:rsid w:val="00E37E3B"/>
    <w:rsid w:val="00E40064"/>
    <w:rsid w:val="00E400BE"/>
    <w:rsid w:val="00E40114"/>
    <w:rsid w:val="00E40150"/>
    <w:rsid w:val="00E401D7"/>
    <w:rsid w:val="00E4025E"/>
    <w:rsid w:val="00E402DD"/>
    <w:rsid w:val="00E40321"/>
    <w:rsid w:val="00E40350"/>
    <w:rsid w:val="00E4036E"/>
    <w:rsid w:val="00E4046A"/>
    <w:rsid w:val="00E40477"/>
    <w:rsid w:val="00E405BB"/>
    <w:rsid w:val="00E406DB"/>
    <w:rsid w:val="00E406E3"/>
    <w:rsid w:val="00E4073F"/>
    <w:rsid w:val="00E4076B"/>
    <w:rsid w:val="00E40844"/>
    <w:rsid w:val="00E40847"/>
    <w:rsid w:val="00E40852"/>
    <w:rsid w:val="00E40870"/>
    <w:rsid w:val="00E40871"/>
    <w:rsid w:val="00E408B6"/>
    <w:rsid w:val="00E408C3"/>
    <w:rsid w:val="00E408CB"/>
    <w:rsid w:val="00E40999"/>
    <w:rsid w:val="00E40A58"/>
    <w:rsid w:val="00E40A65"/>
    <w:rsid w:val="00E40B2F"/>
    <w:rsid w:val="00E40BE2"/>
    <w:rsid w:val="00E40C94"/>
    <w:rsid w:val="00E40E09"/>
    <w:rsid w:val="00E40F16"/>
    <w:rsid w:val="00E40F9C"/>
    <w:rsid w:val="00E40F9E"/>
    <w:rsid w:val="00E40FF7"/>
    <w:rsid w:val="00E4102E"/>
    <w:rsid w:val="00E41041"/>
    <w:rsid w:val="00E4107C"/>
    <w:rsid w:val="00E41102"/>
    <w:rsid w:val="00E41156"/>
    <w:rsid w:val="00E411B2"/>
    <w:rsid w:val="00E41200"/>
    <w:rsid w:val="00E41257"/>
    <w:rsid w:val="00E412CE"/>
    <w:rsid w:val="00E412CF"/>
    <w:rsid w:val="00E41322"/>
    <w:rsid w:val="00E41350"/>
    <w:rsid w:val="00E41359"/>
    <w:rsid w:val="00E41410"/>
    <w:rsid w:val="00E4156C"/>
    <w:rsid w:val="00E415AB"/>
    <w:rsid w:val="00E416D3"/>
    <w:rsid w:val="00E417BF"/>
    <w:rsid w:val="00E417E8"/>
    <w:rsid w:val="00E417FF"/>
    <w:rsid w:val="00E418DF"/>
    <w:rsid w:val="00E4191C"/>
    <w:rsid w:val="00E4196C"/>
    <w:rsid w:val="00E4198E"/>
    <w:rsid w:val="00E419CE"/>
    <w:rsid w:val="00E41A16"/>
    <w:rsid w:val="00E41A93"/>
    <w:rsid w:val="00E41AB0"/>
    <w:rsid w:val="00E41B07"/>
    <w:rsid w:val="00E41B30"/>
    <w:rsid w:val="00E41B91"/>
    <w:rsid w:val="00E41C5F"/>
    <w:rsid w:val="00E41CB4"/>
    <w:rsid w:val="00E41CE5"/>
    <w:rsid w:val="00E41D76"/>
    <w:rsid w:val="00E41DD2"/>
    <w:rsid w:val="00E41E84"/>
    <w:rsid w:val="00E41E9C"/>
    <w:rsid w:val="00E41EAF"/>
    <w:rsid w:val="00E41F81"/>
    <w:rsid w:val="00E41FCD"/>
    <w:rsid w:val="00E41FFD"/>
    <w:rsid w:val="00E42065"/>
    <w:rsid w:val="00E42074"/>
    <w:rsid w:val="00E42163"/>
    <w:rsid w:val="00E42245"/>
    <w:rsid w:val="00E422BF"/>
    <w:rsid w:val="00E422D5"/>
    <w:rsid w:val="00E4230A"/>
    <w:rsid w:val="00E4233B"/>
    <w:rsid w:val="00E423A6"/>
    <w:rsid w:val="00E423B3"/>
    <w:rsid w:val="00E423CA"/>
    <w:rsid w:val="00E423E2"/>
    <w:rsid w:val="00E4244D"/>
    <w:rsid w:val="00E42560"/>
    <w:rsid w:val="00E425B3"/>
    <w:rsid w:val="00E42704"/>
    <w:rsid w:val="00E42731"/>
    <w:rsid w:val="00E42782"/>
    <w:rsid w:val="00E427A6"/>
    <w:rsid w:val="00E42827"/>
    <w:rsid w:val="00E4286E"/>
    <w:rsid w:val="00E4288B"/>
    <w:rsid w:val="00E4289D"/>
    <w:rsid w:val="00E428AF"/>
    <w:rsid w:val="00E428D5"/>
    <w:rsid w:val="00E4296B"/>
    <w:rsid w:val="00E429FF"/>
    <w:rsid w:val="00E42B05"/>
    <w:rsid w:val="00E42B7F"/>
    <w:rsid w:val="00E42C3C"/>
    <w:rsid w:val="00E42C8B"/>
    <w:rsid w:val="00E42D21"/>
    <w:rsid w:val="00E42DA6"/>
    <w:rsid w:val="00E42E7E"/>
    <w:rsid w:val="00E42EAB"/>
    <w:rsid w:val="00E42F10"/>
    <w:rsid w:val="00E42FB8"/>
    <w:rsid w:val="00E43036"/>
    <w:rsid w:val="00E43068"/>
    <w:rsid w:val="00E43215"/>
    <w:rsid w:val="00E4322A"/>
    <w:rsid w:val="00E43345"/>
    <w:rsid w:val="00E43437"/>
    <w:rsid w:val="00E43439"/>
    <w:rsid w:val="00E4345D"/>
    <w:rsid w:val="00E434B4"/>
    <w:rsid w:val="00E434CA"/>
    <w:rsid w:val="00E435EE"/>
    <w:rsid w:val="00E4366D"/>
    <w:rsid w:val="00E436BE"/>
    <w:rsid w:val="00E437B1"/>
    <w:rsid w:val="00E4385F"/>
    <w:rsid w:val="00E438B1"/>
    <w:rsid w:val="00E43ACE"/>
    <w:rsid w:val="00E43B3D"/>
    <w:rsid w:val="00E43B80"/>
    <w:rsid w:val="00E43C0E"/>
    <w:rsid w:val="00E43C21"/>
    <w:rsid w:val="00E43C37"/>
    <w:rsid w:val="00E43D59"/>
    <w:rsid w:val="00E43D6E"/>
    <w:rsid w:val="00E43D74"/>
    <w:rsid w:val="00E43DFB"/>
    <w:rsid w:val="00E43E5C"/>
    <w:rsid w:val="00E43F3A"/>
    <w:rsid w:val="00E43F9A"/>
    <w:rsid w:val="00E44169"/>
    <w:rsid w:val="00E44257"/>
    <w:rsid w:val="00E44270"/>
    <w:rsid w:val="00E442A5"/>
    <w:rsid w:val="00E442BC"/>
    <w:rsid w:val="00E44393"/>
    <w:rsid w:val="00E443E6"/>
    <w:rsid w:val="00E44449"/>
    <w:rsid w:val="00E4449F"/>
    <w:rsid w:val="00E444A3"/>
    <w:rsid w:val="00E444E7"/>
    <w:rsid w:val="00E4458A"/>
    <w:rsid w:val="00E445B4"/>
    <w:rsid w:val="00E446D0"/>
    <w:rsid w:val="00E4474A"/>
    <w:rsid w:val="00E44785"/>
    <w:rsid w:val="00E44841"/>
    <w:rsid w:val="00E4486F"/>
    <w:rsid w:val="00E44948"/>
    <w:rsid w:val="00E44958"/>
    <w:rsid w:val="00E44A33"/>
    <w:rsid w:val="00E44ACF"/>
    <w:rsid w:val="00E44B96"/>
    <w:rsid w:val="00E44B97"/>
    <w:rsid w:val="00E44BEA"/>
    <w:rsid w:val="00E44C26"/>
    <w:rsid w:val="00E44C2A"/>
    <w:rsid w:val="00E44C38"/>
    <w:rsid w:val="00E44D67"/>
    <w:rsid w:val="00E44DE9"/>
    <w:rsid w:val="00E44DF8"/>
    <w:rsid w:val="00E44E05"/>
    <w:rsid w:val="00E44E71"/>
    <w:rsid w:val="00E44ECE"/>
    <w:rsid w:val="00E44F32"/>
    <w:rsid w:val="00E45004"/>
    <w:rsid w:val="00E450E9"/>
    <w:rsid w:val="00E4513A"/>
    <w:rsid w:val="00E45162"/>
    <w:rsid w:val="00E451B9"/>
    <w:rsid w:val="00E4520F"/>
    <w:rsid w:val="00E452FD"/>
    <w:rsid w:val="00E4531D"/>
    <w:rsid w:val="00E45350"/>
    <w:rsid w:val="00E4537F"/>
    <w:rsid w:val="00E45442"/>
    <w:rsid w:val="00E4547F"/>
    <w:rsid w:val="00E4550D"/>
    <w:rsid w:val="00E45558"/>
    <w:rsid w:val="00E455DC"/>
    <w:rsid w:val="00E455F8"/>
    <w:rsid w:val="00E4561C"/>
    <w:rsid w:val="00E45675"/>
    <w:rsid w:val="00E4567F"/>
    <w:rsid w:val="00E45690"/>
    <w:rsid w:val="00E4569D"/>
    <w:rsid w:val="00E457C7"/>
    <w:rsid w:val="00E457E9"/>
    <w:rsid w:val="00E45809"/>
    <w:rsid w:val="00E45816"/>
    <w:rsid w:val="00E45899"/>
    <w:rsid w:val="00E458CF"/>
    <w:rsid w:val="00E45A3E"/>
    <w:rsid w:val="00E45A92"/>
    <w:rsid w:val="00E45B33"/>
    <w:rsid w:val="00E45BC4"/>
    <w:rsid w:val="00E45BFA"/>
    <w:rsid w:val="00E45C87"/>
    <w:rsid w:val="00E45C9C"/>
    <w:rsid w:val="00E45CEF"/>
    <w:rsid w:val="00E45D62"/>
    <w:rsid w:val="00E45DE6"/>
    <w:rsid w:val="00E45E0E"/>
    <w:rsid w:val="00E45F0E"/>
    <w:rsid w:val="00E45FAD"/>
    <w:rsid w:val="00E4606A"/>
    <w:rsid w:val="00E46073"/>
    <w:rsid w:val="00E46075"/>
    <w:rsid w:val="00E46086"/>
    <w:rsid w:val="00E460C2"/>
    <w:rsid w:val="00E46224"/>
    <w:rsid w:val="00E46396"/>
    <w:rsid w:val="00E46399"/>
    <w:rsid w:val="00E4639B"/>
    <w:rsid w:val="00E463AC"/>
    <w:rsid w:val="00E46415"/>
    <w:rsid w:val="00E4653E"/>
    <w:rsid w:val="00E4655D"/>
    <w:rsid w:val="00E46723"/>
    <w:rsid w:val="00E467F9"/>
    <w:rsid w:val="00E4686E"/>
    <w:rsid w:val="00E4696E"/>
    <w:rsid w:val="00E46983"/>
    <w:rsid w:val="00E46B66"/>
    <w:rsid w:val="00E46B96"/>
    <w:rsid w:val="00E46D5E"/>
    <w:rsid w:val="00E46D71"/>
    <w:rsid w:val="00E46E70"/>
    <w:rsid w:val="00E46FC5"/>
    <w:rsid w:val="00E470E5"/>
    <w:rsid w:val="00E4712D"/>
    <w:rsid w:val="00E47188"/>
    <w:rsid w:val="00E471CD"/>
    <w:rsid w:val="00E47287"/>
    <w:rsid w:val="00E47316"/>
    <w:rsid w:val="00E473AE"/>
    <w:rsid w:val="00E473F7"/>
    <w:rsid w:val="00E4742D"/>
    <w:rsid w:val="00E474BA"/>
    <w:rsid w:val="00E47716"/>
    <w:rsid w:val="00E4776A"/>
    <w:rsid w:val="00E477BD"/>
    <w:rsid w:val="00E477E7"/>
    <w:rsid w:val="00E47826"/>
    <w:rsid w:val="00E47869"/>
    <w:rsid w:val="00E47872"/>
    <w:rsid w:val="00E47885"/>
    <w:rsid w:val="00E478AE"/>
    <w:rsid w:val="00E479C8"/>
    <w:rsid w:val="00E47A2F"/>
    <w:rsid w:val="00E47A86"/>
    <w:rsid w:val="00E47B33"/>
    <w:rsid w:val="00E47B55"/>
    <w:rsid w:val="00E47B84"/>
    <w:rsid w:val="00E47D01"/>
    <w:rsid w:val="00E47D6F"/>
    <w:rsid w:val="00E47D7A"/>
    <w:rsid w:val="00E47DAE"/>
    <w:rsid w:val="00E47DB0"/>
    <w:rsid w:val="00E47E34"/>
    <w:rsid w:val="00E47EFB"/>
    <w:rsid w:val="00E50007"/>
    <w:rsid w:val="00E50100"/>
    <w:rsid w:val="00E501CE"/>
    <w:rsid w:val="00E50356"/>
    <w:rsid w:val="00E50379"/>
    <w:rsid w:val="00E503E7"/>
    <w:rsid w:val="00E50542"/>
    <w:rsid w:val="00E50572"/>
    <w:rsid w:val="00E50578"/>
    <w:rsid w:val="00E50660"/>
    <w:rsid w:val="00E506B2"/>
    <w:rsid w:val="00E506EA"/>
    <w:rsid w:val="00E506EB"/>
    <w:rsid w:val="00E5073B"/>
    <w:rsid w:val="00E50841"/>
    <w:rsid w:val="00E50885"/>
    <w:rsid w:val="00E508A0"/>
    <w:rsid w:val="00E508B7"/>
    <w:rsid w:val="00E50920"/>
    <w:rsid w:val="00E50A2D"/>
    <w:rsid w:val="00E50A44"/>
    <w:rsid w:val="00E50A58"/>
    <w:rsid w:val="00E50C71"/>
    <w:rsid w:val="00E50CFB"/>
    <w:rsid w:val="00E50D97"/>
    <w:rsid w:val="00E50D9E"/>
    <w:rsid w:val="00E50E14"/>
    <w:rsid w:val="00E50E4A"/>
    <w:rsid w:val="00E50E7C"/>
    <w:rsid w:val="00E50EB9"/>
    <w:rsid w:val="00E50F5D"/>
    <w:rsid w:val="00E5123F"/>
    <w:rsid w:val="00E5125A"/>
    <w:rsid w:val="00E512E3"/>
    <w:rsid w:val="00E51302"/>
    <w:rsid w:val="00E513FE"/>
    <w:rsid w:val="00E5147C"/>
    <w:rsid w:val="00E5147F"/>
    <w:rsid w:val="00E5150D"/>
    <w:rsid w:val="00E51545"/>
    <w:rsid w:val="00E515D6"/>
    <w:rsid w:val="00E51710"/>
    <w:rsid w:val="00E5173B"/>
    <w:rsid w:val="00E51769"/>
    <w:rsid w:val="00E51813"/>
    <w:rsid w:val="00E51A5D"/>
    <w:rsid w:val="00E51A84"/>
    <w:rsid w:val="00E51A8E"/>
    <w:rsid w:val="00E51B05"/>
    <w:rsid w:val="00E51B20"/>
    <w:rsid w:val="00E51B57"/>
    <w:rsid w:val="00E51B90"/>
    <w:rsid w:val="00E51BBC"/>
    <w:rsid w:val="00E51BC7"/>
    <w:rsid w:val="00E51C0F"/>
    <w:rsid w:val="00E51C2E"/>
    <w:rsid w:val="00E51CE1"/>
    <w:rsid w:val="00E51D98"/>
    <w:rsid w:val="00E51D9D"/>
    <w:rsid w:val="00E51D9E"/>
    <w:rsid w:val="00E51E3D"/>
    <w:rsid w:val="00E51EA5"/>
    <w:rsid w:val="00E51EEE"/>
    <w:rsid w:val="00E51F44"/>
    <w:rsid w:val="00E520A6"/>
    <w:rsid w:val="00E5210C"/>
    <w:rsid w:val="00E52152"/>
    <w:rsid w:val="00E52191"/>
    <w:rsid w:val="00E52192"/>
    <w:rsid w:val="00E521B2"/>
    <w:rsid w:val="00E5223B"/>
    <w:rsid w:val="00E52254"/>
    <w:rsid w:val="00E52275"/>
    <w:rsid w:val="00E522B6"/>
    <w:rsid w:val="00E522E8"/>
    <w:rsid w:val="00E5233B"/>
    <w:rsid w:val="00E52351"/>
    <w:rsid w:val="00E523C6"/>
    <w:rsid w:val="00E523C8"/>
    <w:rsid w:val="00E52406"/>
    <w:rsid w:val="00E52416"/>
    <w:rsid w:val="00E52460"/>
    <w:rsid w:val="00E524B6"/>
    <w:rsid w:val="00E52516"/>
    <w:rsid w:val="00E525E3"/>
    <w:rsid w:val="00E525E9"/>
    <w:rsid w:val="00E5261A"/>
    <w:rsid w:val="00E526AF"/>
    <w:rsid w:val="00E527B0"/>
    <w:rsid w:val="00E52857"/>
    <w:rsid w:val="00E5297C"/>
    <w:rsid w:val="00E5298C"/>
    <w:rsid w:val="00E529CE"/>
    <w:rsid w:val="00E52BC8"/>
    <w:rsid w:val="00E52CCA"/>
    <w:rsid w:val="00E52CED"/>
    <w:rsid w:val="00E52D18"/>
    <w:rsid w:val="00E52E58"/>
    <w:rsid w:val="00E52E62"/>
    <w:rsid w:val="00E52EA6"/>
    <w:rsid w:val="00E52ED8"/>
    <w:rsid w:val="00E52F1D"/>
    <w:rsid w:val="00E5307B"/>
    <w:rsid w:val="00E530FF"/>
    <w:rsid w:val="00E5341D"/>
    <w:rsid w:val="00E53440"/>
    <w:rsid w:val="00E53621"/>
    <w:rsid w:val="00E53684"/>
    <w:rsid w:val="00E536AA"/>
    <w:rsid w:val="00E537D1"/>
    <w:rsid w:val="00E537E8"/>
    <w:rsid w:val="00E53882"/>
    <w:rsid w:val="00E5388E"/>
    <w:rsid w:val="00E538CE"/>
    <w:rsid w:val="00E539EC"/>
    <w:rsid w:val="00E53A03"/>
    <w:rsid w:val="00E53A24"/>
    <w:rsid w:val="00E53A7D"/>
    <w:rsid w:val="00E53AF7"/>
    <w:rsid w:val="00E53B64"/>
    <w:rsid w:val="00E53C7D"/>
    <w:rsid w:val="00E53ECE"/>
    <w:rsid w:val="00E53F1E"/>
    <w:rsid w:val="00E53F3B"/>
    <w:rsid w:val="00E53F54"/>
    <w:rsid w:val="00E53F57"/>
    <w:rsid w:val="00E53FFA"/>
    <w:rsid w:val="00E54027"/>
    <w:rsid w:val="00E54150"/>
    <w:rsid w:val="00E542DD"/>
    <w:rsid w:val="00E5435B"/>
    <w:rsid w:val="00E54393"/>
    <w:rsid w:val="00E543A3"/>
    <w:rsid w:val="00E54445"/>
    <w:rsid w:val="00E5449E"/>
    <w:rsid w:val="00E54526"/>
    <w:rsid w:val="00E54571"/>
    <w:rsid w:val="00E54654"/>
    <w:rsid w:val="00E546E1"/>
    <w:rsid w:val="00E547A1"/>
    <w:rsid w:val="00E54851"/>
    <w:rsid w:val="00E548E4"/>
    <w:rsid w:val="00E548EC"/>
    <w:rsid w:val="00E54919"/>
    <w:rsid w:val="00E5491F"/>
    <w:rsid w:val="00E54A0D"/>
    <w:rsid w:val="00E54A10"/>
    <w:rsid w:val="00E54A21"/>
    <w:rsid w:val="00E54ABF"/>
    <w:rsid w:val="00E54B26"/>
    <w:rsid w:val="00E54C48"/>
    <w:rsid w:val="00E54C9F"/>
    <w:rsid w:val="00E54CCE"/>
    <w:rsid w:val="00E54E35"/>
    <w:rsid w:val="00E54E5E"/>
    <w:rsid w:val="00E54EB3"/>
    <w:rsid w:val="00E54EDB"/>
    <w:rsid w:val="00E54F01"/>
    <w:rsid w:val="00E54F86"/>
    <w:rsid w:val="00E55079"/>
    <w:rsid w:val="00E550BB"/>
    <w:rsid w:val="00E551A3"/>
    <w:rsid w:val="00E551D4"/>
    <w:rsid w:val="00E5521A"/>
    <w:rsid w:val="00E55243"/>
    <w:rsid w:val="00E55294"/>
    <w:rsid w:val="00E552BB"/>
    <w:rsid w:val="00E55305"/>
    <w:rsid w:val="00E55328"/>
    <w:rsid w:val="00E553BC"/>
    <w:rsid w:val="00E553E1"/>
    <w:rsid w:val="00E55462"/>
    <w:rsid w:val="00E554C4"/>
    <w:rsid w:val="00E55561"/>
    <w:rsid w:val="00E55620"/>
    <w:rsid w:val="00E5563A"/>
    <w:rsid w:val="00E5564F"/>
    <w:rsid w:val="00E556AB"/>
    <w:rsid w:val="00E556EB"/>
    <w:rsid w:val="00E55793"/>
    <w:rsid w:val="00E557F2"/>
    <w:rsid w:val="00E55873"/>
    <w:rsid w:val="00E5589D"/>
    <w:rsid w:val="00E558FA"/>
    <w:rsid w:val="00E559E8"/>
    <w:rsid w:val="00E55AA2"/>
    <w:rsid w:val="00E55AC8"/>
    <w:rsid w:val="00E55AEF"/>
    <w:rsid w:val="00E55B09"/>
    <w:rsid w:val="00E55B53"/>
    <w:rsid w:val="00E55BE4"/>
    <w:rsid w:val="00E55BED"/>
    <w:rsid w:val="00E55C07"/>
    <w:rsid w:val="00E55C20"/>
    <w:rsid w:val="00E55C22"/>
    <w:rsid w:val="00E55C6E"/>
    <w:rsid w:val="00E55D77"/>
    <w:rsid w:val="00E55DFA"/>
    <w:rsid w:val="00E55E9D"/>
    <w:rsid w:val="00E55EDE"/>
    <w:rsid w:val="00E55FCD"/>
    <w:rsid w:val="00E5604F"/>
    <w:rsid w:val="00E5615A"/>
    <w:rsid w:val="00E561BB"/>
    <w:rsid w:val="00E561C6"/>
    <w:rsid w:val="00E561CA"/>
    <w:rsid w:val="00E562F3"/>
    <w:rsid w:val="00E56372"/>
    <w:rsid w:val="00E563A3"/>
    <w:rsid w:val="00E563F9"/>
    <w:rsid w:val="00E564AE"/>
    <w:rsid w:val="00E5659E"/>
    <w:rsid w:val="00E565EE"/>
    <w:rsid w:val="00E567A3"/>
    <w:rsid w:val="00E567BA"/>
    <w:rsid w:val="00E567E6"/>
    <w:rsid w:val="00E568B2"/>
    <w:rsid w:val="00E5690A"/>
    <w:rsid w:val="00E5690F"/>
    <w:rsid w:val="00E56971"/>
    <w:rsid w:val="00E56999"/>
    <w:rsid w:val="00E569B4"/>
    <w:rsid w:val="00E569E7"/>
    <w:rsid w:val="00E56A3F"/>
    <w:rsid w:val="00E56B2F"/>
    <w:rsid w:val="00E56B46"/>
    <w:rsid w:val="00E56BC4"/>
    <w:rsid w:val="00E56C41"/>
    <w:rsid w:val="00E56C44"/>
    <w:rsid w:val="00E56CCE"/>
    <w:rsid w:val="00E56CD6"/>
    <w:rsid w:val="00E56D1F"/>
    <w:rsid w:val="00E56E9C"/>
    <w:rsid w:val="00E56EE7"/>
    <w:rsid w:val="00E56FE6"/>
    <w:rsid w:val="00E56FF2"/>
    <w:rsid w:val="00E57077"/>
    <w:rsid w:val="00E57134"/>
    <w:rsid w:val="00E5719C"/>
    <w:rsid w:val="00E57248"/>
    <w:rsid w:val="00E57284"/>
    <w:rsid w:val="00E57321"/>
    <w:rsid w:val="00E573A5"/>
    <w:rsid w:val="00E573A9"/>
    <w:rsid w:val="00E573D3"/>
    <w:rsid w:val="00E57414"/>
    <w:rsid w:val="00E5745A"/>
    <w:rsid w:val="00E5750E"/>
    <w:rsid w:val="00E57571"/>
    <w:rsid w:val="00E57604"/>
    <w:rsid w:val="00E57618"/>
    <w:rsid w:val="00E5767A"/>
    <w:rsid w:val="00E576CB"/>
    <w:rsid w:val="00E576EE"/>
    <w:rsid w:val="00E57767"/>
    <w:rsid w:val="00E5777C"/>
    <w:rsid w:val="00E577D6"/>
    <w:rsid w:val="00E57A8A"/>
    <w:rsid w:val="00E57B06"/>
    <w:rsid w:val="00E57B56"/>
    <w:rsid w:val="00E57BC7"/>
    <w:rsid w:val="00E57BCE"/>
    <w:rsid w:val="00E57BF3"/>
    <w:rsid w:val="00E57C37"/>
    <w:rsid w:val="00E57C73"/>
    <w:rsid w:val="00E57D21"/>
    <w:rsid w:val="00E57D80"/>
    <w:rsid w:val="00E57E0F"/>
    <w:rsid w:val="00E57E3A"/>
    <w:rsid w:val="00E57F9F"/>
    <w:rsid w:val="00E57FAD"/>
    <w:rsid w:val="00E60047"/>
    <w:rsid w:val="00E6004F"/>
    <w:rsid w:val="00E60060"/>
    <w:rsid w:val="00E600C7"/>
    <w:rsid w:val="00E60101"/>
    <w:rsid w:val="00E60139"/>
    <w:rsid w:val="00E60186"/>
    <w:rsid w:val="00E601A6"/>
    <w:rsid w:val="00E60233"/>
    <w:rsid w:val="00E602BB"/>
    <w:rsid w:val="00E60324"/>
    <w:rsid w:val="00E6038D"/>
    <w:rsid w:val="00E603FD"/>
    <w:rsid w:val="00E60515"/>
    <w:rsid w:val="00E60532"/>
    <w:rsid w:val="00E605C5"/>
    <w:rsid w:val="00E605E1"/>
    <w:rsid w:val="00E608A9"/>
    <w:rsid w:val="00E60910"/>
    <w:rsid w:val="00E60982"/>
    <w:rsid w:val="00E609A0"/>
    <w:rsid w:val="00E609FF"/>
    <w:rsid w:val="00E60B65"/>
    <w:rsid w:val="00E60BA6"/>
    <w:rsid w:val="00E60BD2"/>
    <w:rsid w:val="00E60C01"/>
    <w:rsid w:val="00E60C67"/>
    <w:rsid w:val="00E60C8A"/>
    <w:rsid w:val="00E60D24"/>
    <w:rsid w:val="00E60D67"/>
    <w:rsid w:val="00E60E35"/>
    <w:rsid w:val="00E60E7D"/>
    <w:rsid w:val="00E60E7F"/>
    <w:rsid w:val="00E60ED7"/>
    <w:rsid w:val="00E60FF0"/>
    <w:rsid w:val="00E60FF6"/>
    <w:rsid w:val="00E6105F"/>
    <w:rsid w:val="00E611BF"/>
    <w:rsid w:val="00E612A5"/>
    <w:rsid w:val="00E613A7"/>
    <w:rsid w:val="00E613EB"/>
    <w:rsid w:val="00E61484"/>
    <w:rsid w:val="00E61575"/>
    <w:rsid w:val="00E6157A"/>
    <w:rsid w:val="00E615E9"/>
    <w:rsid w:val="00E616A4"/>
    <w:rsid w:val="00E61844"/>
    <w:rsid w:val="00E618A5"/>
    <w:rsid w:val="00E618CB"/>
    <w:rsid w:val="00E61A88"/>
    <w:rsid w:val="00E61ABB"/>
    <w:rsid w:val="00E61B0C"/>
    <w:rsid w:val="00E61BBF"/>
    <w:rsid w:val="00E61BDE"/>
    <w:rsid w:val="00E61C51"/>
    <w:rsid w:val="00E61C74"/>
    <w:rsid w:val="00E61CD0"/>
    <w:rsid w:val="00E61CE5"/>
    <w:rsid w:val="00E61CE6"/>
    <w:rsid w:val="00E61F2E"/>
    <w:rsid w:val="00E61F84"/>
    <w:rsid w:val="00E620B7"/>
    <w:rsid w:val="00E620D2"/>
    <w:rsid w:val="00E6215B"/>
    <w:rsid w:val="00E62169"/>
    <w:rsid w:val="00E622B8"/>
    <w:rsid w:val="00E6237E"/>
    <w:rsid w:val="00E624B2"/>
    <w:rsid w:val="00E624D5"/>
    <w:rsid w:val="00E62769"/>
    <w:rsid w:val="00E6279E"/>
    <w:rsid w:val="00E62852"/>
    <w:rsid w:val="00E629E5"/>
    <w:rsid w:val="00E62A26"/>
    <w:rsid w:val="00E62A46"/>
    <w:rsid w:val="00E62A52"/>
    <w:rsid w:val="00E62A9A"/>
    <w:rsid w:val="00E62AF3"/>
    <w:rsid w:val="00E62B43"/>
    <w:rsid w:val="00E62C8A"/>
    <w:rsid w:val="00E62D28"/>
    <w:rsid w:val="00E62D8B"/>
    <w:rsid w:val="00E62DA5"/>
    <w:rsid w:val="00E62E1F"/>
    <w:rsid w:val="00E62ED7"/>
    <w:rsid w:val="00E62F17"/>
    <w:rsid w:val="00E62F61"/>
    <w:rsid w:val="00E62FDD"/>
    <w:rsid w:val="00E62FDE"/>
    <w:rsid w:val="00E62FF2"/>
    <w:rsid w:val="00E63037"/>
    <w:rsid w:val="00E6314A"/>
    <w:rsid w:val="00E632BE"/>
    <w:rsid w:val="00E63371"/>
    <w:rsid w:val="00E63398"/>
    <w:rsid w:val="00E633A0"/>
    <w:rsid w:val="00E633E1"/>
    <w:rsid w:val="00E633EE"/>
    <w:rsid w:val="00E6351C"/>
    <w:rsid w:val="00E6354B"/>
    <w:rsid w:val="00E63558"/>
    <w:rsid w:val="00E63713"/>
    <w:rsid w:val="00E63729"/>
    <w:rsid w:val="00E6372F"/>
    <w:rsid w:val="00E637DF"/>
    <w:rsid w:val="00E6381E"/>
    <w:rsid w:val="00E639C2"/>
    <w:rsid w:val="00E63A05"/>
    <w:rsid w:val="00E63C32"/>
    <w:rsid w:val="00E63C3E"/>
    <w:rsid w:val="00E63C75"/>
    <w:rsid w:val="00E63C96"/>
    <w:rsid w:val="00E63D4A"/>
    <w:rsid w:val="00E63D98"/>
    <w:rsid w:val="00E63E62"/>
    <w:rsid w:val="00E63F5A"/>
    <w:rsid w:val="00E63FB3"/>
    <w:rsid w:val="00E63FD6"/>
    <w:rsid w:val="00E6408E"/>
    <w:rsid w:val="00E6414B"/>
    <w:rsid w:val="00E64157"/>
    <w:rsid w:val="00E64211"/>
    <w:rsid w:val="00E64369"/>
    <w:rsid w:val="00E6439E"/>
    <w:rsid w:val="00E643D0"/>
    <w:rsid w:val="00E64442"/>
    <w:rsid w:val="00E6447D"/>
    <w:rsid w:val="00E64520"/>
    <w:rsid w:val="00E645F8"/>
    <w:rsid w:val="00E64621"/>
    <w:rsid w:val="00E64636"/>
    <w:rsid w:val="00E646EC"/>
    <w:rsid w:val="00E64706"/>
    <w:rsid w:val="00E6470D"/>
    <w:rsid w:val="00E647AB"/>
    <w:rsid w:val="00E6480B"/>
    <w:rsid w:val="00E64A2E"/>
    <w:rsid w:val="00E64B58"/>
    <w:rsid w:val="00E64B92"/>
    <w:rsid w:val="00E64C44"/>
    <w:rsid w:val="00E64D07"/>
    <w:rsid w:val="00E64D8D"/>
    <w:rsid w:val="00E64DB7"/>
    <w:rsid w:val="00E64E01"/>
    <w:rsid w:val="00E64E30"/>
    <w:rsid w:val="00E64E45"/>
    <w:rsid w:val="00E64E6C"/>
    <w:rsid w:val="00E64EE3"/>
    <w:rsid w:val="00E64F96"/>
    <w:rsid w:val="00E6505C"/>
    <w:rsid w:val="00E650D6"/>
    <w:rsid w:val="00E65276"/>
    <w:rsid w:val="00E6527B"/>
    <w:rsid w:val="00E652A7"/>
    <w:rsid w:val="00E652DD"/>
    <w:rsid w:val="00E65333"/>
    <w:rsid w:val="00E65415"/>
    <w:rsid w:val="00E65447"/>
    <w:rsid w:val="00E654C6"/>
    <w:rsid w:val="00E6562A"/>
    <w:rsid w:val="00E6569E"/>
    <w:rsid w:val="00E656AA"/>
    <w:rsid w:val="00E656E2"/>
    <w:rsid w:val="00E657F7"/>
    <w:rsid w:val="00E658AF"/>
    <w:rsid w:val="00E65977"/>
    <w:rsid w:val="00E659BB"/>
    <w:rsid w:val="00E659D1"/>
    <w:rsid w:val="00E65A70"/>
    <w:rsid w:val="00E65BB8"/>
    <w:rsid w:val="00E65BFB"/>
    <w:rsid w:val="00E65C87"/>
    <w:rsid w:val="00E65C96"/>
    <w:rsid w:val="00E65DC4"/>
    <w:rsid w:val="00E65DDD"/>
    <w:rsid w:val="00E65F27"/>
    <w:rsid w:val="00E65FD9"/>
    <w:rsid w:val="00E66017"/>
    <w:rsid w:val="00E6602E"/>
    <w:rsid w:val="00E660B6"/>
    <w:rsid w:val="00E66117"/>
    <w:rsid w:val="00E6612B"/>
    <w:rsid w:val="00E6619B"/>
    <w:rsid w:val="00E661D4"/>
    <w:rsid w:val="00E661EC"/>
    <w:rsid w:val="00E6638E"/>
    <w:rsid w:val="00E663B6"/>
    <w:rsid w:val="00E66435"/>
    <w:rsid w:val="00E66489"/>
    <w:rsid w:val="00E66543"/>
    <w:rsid w:val="00E6661F"/>
    <w:rsid w:val="00E666FA"/>
    <w:rsid w:val="00E667CD"/>
    <w:rsid w:val="00E667E6"/>
    <w:rsid w:val="00E66803"/>
    <w:rsid w:val="00E6682A"/>
    <w:rsid w:val="00E66863"/>
    <w:rsid w:val="00E66867"/>
    <w:rsid w:val="00E6687D"/>
    <w:rsid w:val="00E6688F"/>
    <w:rsid w:val="00E66895"/>
    <w:rsid w:val="00E66967"/>
    <w:rsid w:val="00E669DA"/>
    <w:rsid w:val="00E66A29"/>
    <w:rsid w:val="00E66B3D"/>
    <w:rsid w:val="00E66B61"/>
    <w:rsid w:val="00E66B65"/>
    <w:rsid w:val="00E66CD9"/>
    <w:rsid w:val="00E66D2F"/>
    <w:rsid w:val="00E66EA9"/>
    <w:rsid w:val="00E66F50"/>
    <w:rsid w:val="00E66F7D"/>
    <w:rsid w:val="00E66F83"/>
    <w:rsid w:val="00E66FBB"/>
    <w:rsid w:val="00E670F1"/>
    <w:rsid w:val="00E67261"/>
    <w:rsid w:val="00E672AB"/>
    <w:rsid w:val="00E672B1"/>
    <w:rsid w:val="00E6735B"/>
    <w:rsid w:val="00E67368"/>
    <w:rsid w:val="00E6738C"/>
    <w:rsid w:val="00E673A9"/>
    <w:rsid w:val="00E67481"/>
    <w:rsid w:val="00E674D3"/>
    <w:rsid w:val="00E674FD"/>
    <w:rsid w:val="00E67579"/>
    <w:rsid w:val="00E676D6"/>
    <w:rsid w:val="00E6776D"/>
    <w:rsid w:val="00E67895"/>
    <w:rsid w:val="00E678FA"/>
    <w:rsid w:val="00E6791E"/>
    <w:rsid w:val="00E67979"/>
    <w:rsid w:val="00E67A4E"/>
    <w:rsid w:val="00E67A76"/>
    <w:rsid w:val="00E67A86"/>
    <w:rsid w:val="00E67AF9"/>
    <w:rsid w:val="00E67B00"/>
    <w:rsid w:val="00E67B04"/>
    <w:rsid w:val="00E67BC5"/>
    <w:rsid w:val="00E67C46"/>
    <w:rsid w:val="00E67D0F"/>
    <w:rsid w:val="00E67F8D"/>
    <w:rsid w:val="00E7017C"/>
    <w:rsid w:val="00E70274"/>
    <w:rsid w:val="00E70289"/>
    <w:rsid w:val="00E70369"/>
    <w:rsid w:val="00E7042D"/>
    <w:rsid w:val="00E70453"/>
    <w:rsid w:val="00E7050F"/>
    <w:rsid w:val="00E7053A"/>
    <w:rsid w:val="00E705DE"/>
    <w:rsid w:val="00E707C4"/>
    <w:rsid w:val="00E7081E"/>
    <w:rsid w:val="00E708D9"/>
    <w:rsid w:val="00E708F2"/>
    <w:rsid w:val="00E709D2"/>
    <w:rsid w:val="00E70AE7"/>
    <w:rsid w:val="00E70B83"/>
    <w:rsid w:val="00E70BF6"/>
    <w:rsid w:val="00E70C05"/>
    <w:rsid w:val="00E70C5F"/>
    <w:rsid w:val="00E70C8C"/>
    <w:rsid w:val="00E70CB4"/>
    <w:rsid w:val="00E70D45"/>
    <w:rsid w:val="00E70D8D"/>
    <w:rsid w:val="00E70D9E"/>
    <w:rsid w:val="00E70E04"/>
    <w:rsid w:val="00E70E4E"/>
    <w:rsid w:val="00E70F19"/>
    <w:rsid w:val="00E71082"/>
    <w:rsid w:val="00E71164"/>
    <w:rsid w:val="00E711D7"/>
    <w:rsid w:val="00E711E4"/>
    <w:rsid w:val="00E71211"/>
    <w:rsid w:val="00E7123D"/>
    <w:rsid w:val="00E71270"/>
    <w:rsid w:val="00E712F4"/>
    <w:rsid w:val="00E7135B"/>
    <w:rsid w:val="00E7148E"/>
    <w:rsid w:val="00E714BE"/>
    <w:rsid w:val="00E71558"/>
    <w:rsid w:val="00E715C9"/>
    <w:rsid w:val="00E715D7"/>
    <w:rsid w:val="00E715EC"/>
    <w:rsid w:val="00E7164F"/>
    <w:rsid w:val="00E71764"/>
    <w:rsid w:val="00E71848"/>
    <w:rsid w:val="00E71965"/>
    <w:rsid w:val="00E7199F"/>
    <w:rsid w:val="00E71AD8"/>
    <w:rsid w:val="00E71B3C"/>
    <w:rsid w:val="00E71BC3"/>
    <w:rsid w:val="00E71C3F"/>
    <w:rsid w:val="00E71C91"/>
    <w:rsid w:val="00E71D19"/>
    <w:rsid w:val="00E71D50"/>
    <w:rsid w:val="00E71D9F"/>
    <w:rsid w:val="00E72030"/>
    <w:rsid w:val="00E72051"/>
    <w:rsid w:val="00E720C4"/>
    <w:rsid w:val="00E7212D"/>
    <w:rsid w:val="00E722CE"/>
    <w:rsid w:val="00E722F7"/>
    <w:rsid w:val="00E72364"/>
    <w:rsid w:val="00E723B1"/>
    <w:rsid w:val="00E72424"/>
    <w:rsid w:val="00E72437"/>
    <w:rsid w:val="00E72457"/>
    <w:rsid w:val="00E72498"/>
    <w:rsid w:val="00E724FE"/>
    <w:rsid w:val="00E72548"/>
    <w:rsid w:val="00E7263C"/>
    <w:rsid w:val="00E7265E"/>
    <w:rsid w:val="00E7266D"/>
    <w:rsid w:val="00E726CE"/>
    <w:rsid w:val="00E728FA"/>
    <w:rsid w:val="00E7290F"/>
    <w:rsid w:val="00E72949"/>
    <w:rsid w:val="00E729B2"/>
    <w:rsid w:val="00E729D9"/>
    <w:rsid w:val="00E72A29"/>
    <w:rsid w:val="00E72A51"/>
    <w:rsid w:val="00E72A81"/>
    <w:rsid w:val="00E72AB6"/>
    <w:rsid w:val="00E72ACA"/>
    <w:rsid w:val="00E72B0B"/>
    <w:rsid w:val="00E72CBF"/>
    <w:rsid w:val="00E72CE7"/>
    <w:rsid w:val="00E72D8C"/>
    <w:rsid w:val="00E72D99"/>
    <w:rsid w:val="00E72DE0"/>
    <w:rsid w:val="00E72E09"/>
    <w:rsid w:val="00E72EE2"/>
    <w:rsid w:val="00E72F4A"/>
    <w:rsid w:val="00E72F66"/>
    <w:rsid w:val="00E730B8"/>
    <w:rsid w:val="00E7312A"/>
    <w:rsid w:val="00E7317B"/>
    <w:rsid w:val="00E7325E"/>
    <w:rsid w:val="00E732D9"/>
    <w:rsid w:val="00E732FE"/>
    <w:rsid w:val="00E73304"/>
    <w:rsid w:val="00E733E0"/>
    <w:rsid w:val="00E7344C"/>
    <w:rsid w:val="00E7345A"/>
    <w:rsid w:val="00E7347B"/>
    <w:rsid w:val="00E73494"/>
    <w:rsid w:val="00E734B3"/>
    <w:rsid w:val="00E734C0"/>
    <w:rsid w:val="00E734CB"/>
    <w:rsid w:val="00E734FE"/>
    <w:rsid w:val="00E73560"/>
    <w:rsid w:val="00E73670"/>
    <w:rsid w:val="00E73697"/>
    <w:rsid w:val="00E7369E"/>
    <w:rsid w:val="00E736BA"/>
    <w:rsid w:val="00E739C0"/>
    <w:rsid w:val="00E73AAC"/>
    <w:rsid w:val="00E73B18"/>
    <w:rsid w:val="00E73B66"/>
    <w:rsid w:val="00E73BB5"/>
    <w:rsid w:val="00E73C0A"/>
    <w:rsid w:val="00E73C94"/>
    <w:rsid w:val="00E73C9D"/>
    <w:rsid w:val="00E73CEF"/>
    <w:rsid w:val="00E73D0C"/>
    <w:rsid w:val="00E73D21"/>
    <w:rsid w:val="00E73DC3"/>
    <w:rsid w:val="00E73E52"/>
    <w:rsid w:val="00E73E5D"/>
    <w:rsid w:val="00E73E79"/>
    <w:rsid w:val="00E73EB5"/>
    <w:rsid w:val="00E73F2F"/>
    <w:rsid w:val="00E73FC2"/>
    <w:rsid w:val="00E74071"/>
    <w:rsid w:val="00E740A1"/>
    <w:rsid w:val="00E740C9"/>
    <w:rsid w:val="00E740E7"/>
    <w:rsid w:val="00E74103"/>
    <w:rsid w:val="00E74116"/>
    <w:rsid w:val="00E741B4"/>
    <w:rsid w:val="00E7432C"/>
    <w:rsid w:val="00E74452"/>
    <w:rsid w:val="00E744B9"/>
    <w:rsid w:val="00E74539"/>
    <w:rsid w:val="00E74576"/>
    <w:rsid w:val="00E74580"/>
    <w:rsid w:val="00E745D7"/>
    <w:rsid w:val="00E745E0"/>
    <w:rsid w:val="00E74658"/>
    <w:rsid w:val="00E746C9"/>
    <w:rsid w:val="00E74757"/>
    <w:rsid w:val="00E747A4"/>
    <w:rsid w:val="00E747E0"/>
    <w:rsid w:val="00E748E1"/>
    <w:rsid w:val="00E7492B"/>
    <w:rsid w:val="00E74963"/>
    <w:rsid w:val="00E74988"/>
    <w:rsid w:val="00E749A1"/>
    <w:rsid w:val="00E74ADE"/>
    <w:rsid w:val="00E74B2F"/>
    <w:rsid w:val="00E74C7C"/>
    <w:rsid w:val="00E74C82"/>
    <w:rsid w:val="00E74CEC"/>
    <w:rsid w:val="00E74CF3"/>
    <w:rsid w:val="00E74D48"/>
    <w:rsid w:val="00E74D81"/>
    <w:rsid w:val="00E74DFB"/>
    <w:rsid w:val="00E74E26"/>
    <w:rsid w:val="00E74E55"/>
    <w:rsid w:val="00E74EC1"/>
    <w:rsid w:val="00E74F62"/>
    <w:rsid w:val="00E7500D"/>
    <w:rsid w:val="00E75019"/>
    <w:rsid w:val="00E75101"/>
    <w:rsid w:val="00E75176"/>
    <w:rsid w:val="00E7519A"/>
    <w:rsid w:val="00E751B6"/>
    <w:rsid w:val="00E75272"/>
    <w:rsid w:val="00E75289"/>
    <w:rsid w:val="00E7528F"/>
    <w:rsid w:val="00E75290"/>
    <w:rsid w:val="00E752C0"/>
    <w:rsid w:val="00E753A3"/>
    <w:rsid w:val="00E7541B"/>
    <w:rsid w:val="00E754D5"/>
    <w:rsid w:val="00E75644"/>
    <w:rsid w:val="00E75675"/>
    <w:rsid w:val="00E756C0"/>
    <w:rsid w:val="00E7574D"/>
    <w:rsid w:val="00E75819"/>
    <w:rsid w:val="00E7585A"/>
    <w:rsid w:val="00E75869"/>
    <w:rsid w:val="00E7586A"/>
    <w:rsid w:val="00E75940"/>
    <w:rsid w:val="00E75A89"/>
    <w:rsid w:val="00E75C4A"/>
    <w:rsid w:val="00E75CB7"/>
    <w:rsid w:val="00E75D48"/>
    <w:rsid w:val="00E75F07"/>
    <w:rsid w:val="00E75F83"/>
    <w:rsid w:val="00E7602F"/>
    <w:rsid w:val="00E76063"/>
    <w:rsid w:val="00E760D4"/>
    <w:rsid w:val="00E760DE"/>
    <w:rsid w:val="00E761C3"/>
    <w:rsid w:val="00E76214"/>
    <w:rsid w:val="00E76239"/>
    <w:rsid w:val="00E76321"/>
    <w:rsid w:val="00E7637B"/>
    <w:rsid w:val="00E763B3"/>
    <w:rsid w:val="00E76400"/>
    <w:rsid w:val="00E7646A"/>
    <w:rsid w:val="00E76540"/>
    <w:rsid w:val="00E76685"/>
    <w:rsid w:val="00E766FE"/>
    <w:rsid w:val="00E76731"/>
    <w:rsid w:val="00E767DA"/>
    <w:rsid w:val="00E7682B"/>
    <w:rsid w:val="00E769B2"/>
    <w:rsid w:val="00E76A36"/>
    <w:rsid w:val="00E76B1C"/>
    <w:rsid w:val="00E76BF5"/>
    <w:rsid w:val="00E76C09"/>
    <w:rsid w:val="00E76C98"/>
    <w:rsid w:val="00E76D1C"/>
    <w:rsid w:val="00E76D8E"/>
    <w:rsid w:val="00E76DD9"/>
    <w:rsid w:val="00E76FDC"/>
    <w:rsid w:val="00E7704E"/>
    <w:rsid w:val="00E770D3"/>
    <w:rsid w:val="00E773D8"/>
    <w:rsid w:val="00E773F1"/>
    <w:rsid w:val="00E77425"/>
    <w:rsid w:val="00E77441"/>
    <w:rsid w:val="00E77551"/>
    <w:rsid w:val="00E775EA"/>
    <w:rsid w:val="00E77663"/>
    <w:rsid w:val="00E776DE"/>
    <w:rsid w:val="00E77709"/>
    <w:rsid w:val="00E7779F"/>
    <w:rsid w:val="00E777B5"/>
    <w:rsid w:val="00E77B54"/>
    <w:rsid w:val="00E77D45"/>
    <w:rsid w:val="00E77D8A"/>
    <w:rsid w:val="00E77DDC"/>
    <w:rsid w:val="00E77E20"/>
    <w:rsid w:val="00E77E35"/>
    <w:rsid w:val="00E77E6F"/>
    <w:rsid w:val="00E77E82"/>
    <w:rsid w:val="00E77E92"/>
    <w:rsid w:val="00E77EDC"/>
    <w:rsid w:val="00E77F2A"/>
    <w:rsid w:val="00E77F9A"/>
    <w:rsid w:val="00E8007C"/>
    <w:rsid w:val="00E800EA"/>
    <w:rsid w:val="00E80124"/>
    <w:rsid w:val="00E801CA"/>
    <w:rsid w:val="00E8023F"/>
    <w:rsid w:val="00E802D3"/>
    <w:rsid w:val="00E80384"/>
    <w:rsid w:val="00E8044A"/>
    <w:rsid w:val="00E80537"/>
    <w:rsid w:val="00E805D3"/>
    <w:rsid w:val="00E805F9"/>
    <w:rsid w:val="00E8063B"/>
    <w:rsid w:val="00E80652"/>
    <w:rsid w:val="00E80685"/>
    <w:rsid w:val="00E806D1"/>
    <w:rsid w:val="00E80719"/>
    <w:rsid w:val="00E807DD"/>
    <w:rsid w:val="00E80937"/>
    <w:rsid w:val="00E8093A"/>
    <w:rsid w:val="00E80B32"/>
    <w:rsid w:val="00E80C0C"/>
    <w:rsid w:val="00E80C64"/>
    <w:rsid w:val="00E80DB7"/>
    <w:rsid w:val="00E80DDF"/>
    <w:rsid w:val="00E80E7F"/>
    <w:rsid w:val="00E80EDB"/>
    <w:rsid w:val="00E80F5A"/>
    <w:rsid w:val="00E80FFD"/>
    <w:rsid w:val="00E810AE"/>
    <w:rsid w:val="00E81157"/>
    <w:rsid w:val="00E811CD"/>
    <w:rsid w:val="00E81264"/>
    <w:rsid w:val="00E812A3"/>
    <w:rsid w:val="00E812F5"/>
    <w:rsid w:val="00E81302"/>
    <w:rsid w:val="00E81358"/>
    <w:rsid w:val="00E8136A"/>
    <w:rsid w:val="00E81472"/>
    <w:rsid w:val="00E81504"/>
    <w:rsid w:val="00E815E1"/>
    <w:rsid w:val="00E81611"/>
    <w:rsid w:val="00E8163E"/>
    <w:rsid w:val="00E816B7"/>
    <w:rsid w:val="00E81732"/>
    <w:rsid w:val="00E817C1"/>
    <w:rsid w:val="00E8181A"/>
    <w:rsid w:val="00E8195A"/>
    <w:rsid w:val="00E81B44"/>
    <w:rsid w:val="00E81CE4"/>
    <w:rsid w:val="00E81D60"/>
    <w:rsid w:val="00E81D78"/>
    <w:rsid w:val="00E81EE2"/>
    <w:rsid w:val="00E81F3B"/>
    <w:rsid w:val="00E81F4B"/>
    <w:rsid w:val="00E81FD9"/>
    <w:rsid w:val="00E82172"/>
    <w:rsid w:val="00E821F4"/>
    <w:rsid w:val="00E82225"/>
    <w:rsid w:val="00E8228A"/>
    <w:rsid w:val="00E822CB"/>
    <w:rsid w:val="00E8239A"/>
    <w:rsid w:val="00E823A1"/>
    <w:rsid w:val="00E824E1"/>
    <w:rsid w:val="00E82595"/>
    <w:rsid w:val="00E825DC"/>
    <w:rsid w:val="00E82607"/>
    <w:rsid w:val="00E826EC"/>
    <w:rsid w:val="00E826FE"/>
    <w:rsid w:val="00E8276B"/>
    <w:rsid w:val="00E82816"/>
    <w:rsid w:val="00E828D4"/>
    <w:rsid w:val="00E82917"/>
    <w:rsid w:val="00E829C3"/>
    <w:rsid w:val="00E82B2B"/>
    <w:rsid w:val="00E82C9B"/>
    <w:rsid w:val="00E82CAC"/>
    <w:rsid w:val="00E82CF3"/>
    <w:rsid w:val="00E82D23"/>
    <w:rsid w:val="00E82D8A"/>
    <w:rsid w:val="00E82DD6"/>
    <w:rsid w:val="00E82DDA"/>
    <w:rsid w:val="00E82E57"/>
    <w:rsid w:val="00E82E61"/>
    <w:rsid w:val="00E82EB7"/>
    <w:rsid w:val="00E82ED7"/>
    <w:rsid w:val="00E82FD3"/>
    <w:rsid w:val="00E830C7"/>
    <w:rsid w:val="00E830DC"/>
    <w:rsid w:val="00E830F3"/>
    <w:rsid w:val="00E83153"/>
    <w:rsid w:val="00E831E6"/>
    <w:rsid w:val="00E8331B"/>
    <w:rsid w:val="00E8333E"/>
    <w:rsid w:val="00E83390"/>
    <w:rsid w:val="00E8347E"/>
    <w:rsid w:val="00E8355C"/>
    <w:rsid w:val="00E8360A"/>
    <w:rsid w:val="00E8392E"/>
    <w:rsid w:val="00E83949"/>
    <w:rsid w:val="00E83AE4"/>
    <w:rsid w:val="00E83BD3"/>
    <w:rsid w:val="00E83C95"/>
    <w:rsid w:val="00E83C96"/>
    <w:rsid w:val="00E83DAC"/>
    <w:rsid w:val="00E83DF9"/>
    <w:rsid w:val="00E83E35"/>
    <w:rsid w:val="00E83E60"/>
    <w:rsid w:val="00E83EF8"/>
    <w:rsid w:val="00E83F5D"/>
    <w:rsid w:val="00E83F72"/>
    <w:rsid w:val="00E83F99"/>
    <w:rsid w:val="00E83FC4"/>
    <w:rsid w:val="00E83FFE"/>
    <w:rsid w:val="00E8400A"/>
    <w:rsid w:val="00E840D0"/>
    <w:rsid w:val="00E84174"/>
    <w:rsid w:val="00E841AC"/>
    <w:rsid w:val="00E841C0"/>
    <w:rsid w:val="00E84252"/>
    <w:rsid w:val="00E84268"/>
    <w:rsid w:val="00E842EA"/>
    <w:rsid w:val="00E8432D"/>
    <w:rsid w:val="00E84474"/>
    <w:rsid w:val="00E844BE"/>
    <w:rsid w:val="00E844EB"/>
    <w:rsid w:val="00E84613"/>
    <w:rsid w:val="00E84622"/>
    <w:rsid w:val="00E8481C"/>
    <w:rsid w:val="00E84945"/>
    <w:rsid w:val="00E84970"/>
    <w:rsid w:val="00E849AB"/>
    <w:rsid w:val="00E849B2"/>
    <w:rsid w:val="00E84A33"/>
    <w:rsid w:val="00E84A6E"/>
    <w:rsid w:val="00E84B48"/>
    <w:rsid w:val="00E84CD9"/>
    <w:rsid w:val="00E84D17"/>
    <w:rsid w:val="00E84D5B"/>
    <w:rsid w:val="00E84DF4"/>
    <w:rsid w:val="00E84DFF"/>
    <w:rsid w:val="00E84E02"/>
    <w:rsid w:val="00E84E3A"/>
    <w:rsid w:val="00E84E6D"/>
    <w:rsid w:val="00E8512B"/>
    <w:rsid w:val="00E851C6"/>
    <w:rsid w:val="00E8521E"/>
    <w:rsid w:val="00E8537C"/>
    <w:rsid w:val="00E85396"/>
    <w:rsid w:val="00E8539C"/>
    <w:rsid w:val="00E8547F"/>
    <w:rsid w:val="00E854FB"/>
    <w:rsid w:val="00E85503"/>
    <w:rsid w:val="00E8551E"/>
    <w:rsid w:val="00E85536"/>
    <w:rsid w:val="00E85575"/>
    <w:rsid w:val="00E85660"/>
    <w:rsid w:val="00E856F4"/>
    <w:rsid w:val="00E8577D"/>
    <w:rsid w:val="00E857B9"/>
    <w:rsid w:val="00E857E2"/>
    <w:rsid w:val="00E8584A"/>
    <w:rsid w:val="00E8585D"/>
    <w:rsid w:val="00E8591D"/>
    <w:rsid w:val="00E8592C"/>
    <w:rsid w:val="00E85932"/>
    <w:rsid w:val="00E85938"/>
    <w:rsid w:val="00E85971"/>
    <w:rsid w:val="00E859BE"/>
    <w:rsid w:val="00E859FD"/>
    <w:rsid w:val="00E85A79"/>
    <w:rsid w:val="00E85ACC"/>
    <w:rsid w:val="00E85AFE"/>
    <w:rsid w:val="00E85B74"/>
    <w:rsid w:val="00E85BA6"/>
    <w:rsid w:val="00E85BC9"/>
    <w:rsid w:val="00E85C1F"/>
    <w:rsid w:val="00E85C45"/>
    <w:rsid w:val="00E85CAC"/>
    <w:rsid w:val="00E85CE0"/>
    <w:rsid w:val="00E85DB3"/>
    <w:rsid w:val="00E85DD3"/>
    <w:rsid w:val="00E85E08"/>
    <w:rsid w:val="00E85E7E"/>
    <w:rsid w:val="00E85F45"/>
    <w:rsid w:val="00E85F79"/>
    <w:rsid w:val="00E8610F"/>
    <w:rsid w:val="00E861DC"/>
    <w:rsid w:val="00E86235"/>
    <w:rsid w:val="00E862A0"/>
    <w:rsid w:val="00E862A3"/>
    <w:rsid w:val="00E862C2"/>
    <w:rsid w:val="00E862C3"/>
    <w:rsid w:val="00E8640D"/>
    <w:rsid w:val="00E8644B"/>
    <w:rsid w:val="00E864E7"/>
    <w:rsid w:val="00E86508"/>
    <w:rsid w:val="00E8654A"/>
    <w:rsid w:val="00E86679"/>
    <w:rsid w:val="00E86686"/>
    <w:rsid w:val="00E866A7"/>
    <w:rsid w:val="00E866B7"/>
    <w:rsid w:val="00E866D9"/>
    <w:rsid w:val="00E8671C"/>
    <w:rsid w:val="00E86732"/>
    <w:rsid w:val="00E86770"/>
    <w:rsid w:val="00E867C1"/>
    <w:rsid w:val="00E8683B"/>
    <w:rsid w:val="00E8687D"/>
    <w:rsid w:val="00E8688E"/>
    <w:rsid w:val="00E86BE7"/>
    <w:rsid w:val="00E86C65"/>
    <w:rsid w:val="00E86DF5"/>
    <w:rsid w:val="00E86DFA"/>
    <w:rsid w:val="00E86F5E"/>
    <w:rsid w:val="00E86FC2"/>
    <w:rsid w:val="00E8703B"/>
    <w:rsid w:val="00E8703D"/>
    <w:rsid w:val="00E870B0"/>
    <w:rsid w:val="00E87165"/>
    <w:rsid w:val="00E8716B"/>
    <w:rsid w:val="00E871F1"/>
    <w:rsid w:val="00E87299"/>
    <w:rsid w:val="00E872AB"/>
    <w:rsid w:val="00E87440"/>
    <w:rsid w:val="00E8746F"/>
    <w:rsid w:val="00E8763F"/>
    <w:rsid w:val="00E8764F"/>
    <w:rsid w:val="00E8770E"/>
    <w:rsid w:val="00E877E2"/>
    <w:rsid w:val="00E8792B"/>
    <w:rsid w:val="00E87996"/>
    <w:rsid w:val="00E879A4"/>
    <w:rsid w:val="00E879CC"/>
    <w:rsid w:val="00E87A0B"/>
    <w:rsid w:val="00E87A11"/>
    <w:rsid w:val="00E87C61"/>
    <w:rsid w:val="00E87CF9"/>
    <w:rsid w:val="00E87DC3"/>
    <w:rsid w:val="00E87E30"/>
    <w:rsid w:val="00E87E65"/>
    <w:rsid w:val="00E87FD9"/>
    <w:rsid w:val="00E901D8"/>
    <w:rsid w:val="00E90212"/>
    <w:rsid w:val="00E9027A"/>
    <w:rsid w:val="00E90284"/>
    <w:rsid w:val="00E902A8"/>
    <w:rsid w:val="00E902B0"/>
    <w:rsid w:val="00E902E8"/>
    <w:rsid w:val="00E9032E"/>
    <w:rsid w:val="00E90341"/>
    <w:rsid w:val="00E90382"/>
    <w:rsid w:val="00E903C7"/>
    <w:rsid w:val="00E903E3"/>
    <w:rsid w:val="00E90436"/>
    <w:rsid w:val="00E90452"/>
    <w:rsid w:val="00E904D3"/>
    <w:rsid w:val="00E90663"/>
    <w:rsid w:val="00E9068A"/>
    <w:rsid w:val="00E90799"/>
    <w:rsid w:val="00E907F3"/>
    <w:rsid w:val="00E90931"/>
    <w:rsid w:val="00E9094C"/>
    <w:rsid w:val="00E90A19"/>
    <w:rsid w:val="00E90A86"/>
    <w:rsid w:val="00E90BB1"/>
    <w:rsid w:val="00E90BC7"/>
    <w:rsid w:val="00E90BFC"/>
    <w:rsid w:val="00E90C00"/>
    <w:rsid w:val="00E90C58"/>
    <w:rsid w:val="00E90CD7"/>
    <w:rsid w:val="00E90CFB"/>
    <w:rsid w:val="00E90D1B"/>
    <w:rsid w:val="00E90DB5"/>
    <w:rsid w:val="00E90DEF"/>
    <w:rsid w:val="00E90E87"/>
    <w:rsid w:val="00E90F64"/>
    <w:rsid w:val="00E90F6E"/>
    <w:rsid w:val="00E91196"/>
    <w:rsid w:val="00E91232"/>
    <w:rsid w:val="00E91239"/>
    <w:rsid w:val="00E9124A"/>
    <w:rsid w:val="00E912EE"/>
    <w:rsid w:val="00E91364"/>
    <w:rsid w:val="00E91388"/>
    <w:rsid w:val="00E91396"/>
    <w:rsid w:val="00E913F8"/>
    <w:rsid w:val="00E91435"/>
    <w:rsid w:val="00E9146F"/>
    <w:rsid w:val="00E915FA"/>
    <w:rsid w:val="00E91640"/>
    <w:rsid w:val="00E917EE"/>
    <w:rsid w:val="00E918C2"/>
    <w:rsid w:val="00E918C9"/>
    <w:rsid w:val="00E91929"/>
    <w:rsid w:val="00E91953"/>
    <w:rsid w:val="00E91A2F"/>
    <w:rsid w:val="00E91A77"/>
    <w:rsid w:val="00E91BB2"/>
    <w:rsid w:val="00E91BF6"/>
    <w:rsid w:val="00E91CB2"/>
    <w:rsid w:val="00E91DD1"/>
    <w:rsid w:val="00E91E31"/>
    <w:rsid w:val="00E91E92"/>
    <w:rsid w:val="00E91ECE"/>
    <w:rsid w:val="00E91EEC"/>
    <w:rsid w:val="00E91F13"/>
    <w:rsid w:val="00E91F9E"/>
    <w:rsid w:val="00E9208C"/>
    <w:rsid w:val="00E920C6"/>
    <w:rsid w:val="00E920DB"/>
    <w:rsid w:val="00E92148"/>
    <w:rsid w:val="00E92298"/>
    <w:rsid w:val="00E922B8"/>
    <w:rsid w:val="00E922FB"/>
    <w:rsid w:val="00E92319"/>
    <w:rsid w:val="00E92326"/>
    <w:rsid w:val="00E9238E"/>
    <w:rsid w:val="00E92399"/>
    <w:rsid w:val="00E923C4"/>
    <w:rsid w:val="00E923DA"/>
    <w:rsid w:val="00E92438"/>
    <w:rsid w:val="00E92456"/>
    <w:rsid w:val="00E9245C"/>
    <w:rsid w:val="00E924E7"/>
    <w:rsid w:val="00E92508"/>
    <w:rsid w:val="00E92557"/>
    <w:rsid w:val="00E9260E"/>
    <w:rsid w:val="00E927B9"/>
    <w:rsid w:val="00E9287E"/>
    <w:rsid w:val="00E928E8"/>
    <w:rsid w:val="00E9292A"/>
    <w:rsid w:val="00E92960"/>
    <w:rsid w:val="00E9296B"/>
    <w:rsid w:val="00E92B0D"/>
    <w:rsid w:val="00E92B2B"/>
    <w:rsid w:val="00E92B44"/>
    <w:rsid w:val="00E92D67"/>
    <w:rsid w:val="00E92E08"/>
    <w:rsid w:val="00E92E48"/>
    <w:rsid w:val="00E92EF3"/>
    <w:rsid w:val="00E92F1A"/>
    <w:rsid w:val="00E92F38"/>
    <w:rsid w:val="00E92F5E"/>
    <w:rsid w:val="00E92F9C"/>
    <w:rsid w:val="00E93048"/>
    <w:rsid w:val="00E930A6"/>
    <w:rsid w:val="00E93175"/>
    <w:rsid w:val="00E93190"/>
    <w:rsid w:val="00E93225"/>
    <w:rsid w:val="00E93347"/>
    <w:rsid w:val="00E934CA"/>
    <w:rsid w:val="00E935A2"/>
    <w:rsid w:val="00E9367F"/>
    <w:rsid w:val="00E937D3"/>
    <w:rsid w:val="00E937E3"/>
    <w:rsid w:val="00E93855"/>
    <w:rsid w:val="00E93869"/>
    <w:rsid w:val="00E938CA"/>
    <w:rsid w:val="00E93979"/>
    <w:rsid w:val="00E93A41"/>
    <w:rsid w:val="00E93A95"/>
    <w:rsid w:val="00E93BB2"/>
    <w:rsid w:val="00E93BE9"/>
    <w:rsid w:val="00E93C0D"/>
    <w:rsid w:val="00E93D0F"/>
    <w:rsid w:val="00E93D41"/>
    <w:rsid w:val="00E93D54"/>
    <w:rsid w:val="00E93E2D"/>
    <w:rsid w:val="00E93EDB"/>
    <w:rsid w:val="00E93F51"/>
    <w:rsid w:val="00E93F5A"/>
    <w:rsid w:val="00E93F7F"/>
    <w:rsid w:val="00E93FCC"/>
    <w:rsid w:val="00E94060"/>
    <w:rsid w:val="00E94176"/>
    <w:rsid w:val="00E941E6"/>
    <w:rsid w:val="00E94278"/>
    <w:rsid w:val="00E94352"/>
    <w:rsid w:val="00E94369"/>
    <w:rsid w:val="00E9436B"/>
    <w:rsid w:val="00E9449D"/>
    <w:rsid w:val="00E94504"/>
    <w:rsid w:val="00E94569"/>
    <w:rsid w:val="00E94815"/>
    <w:rsid w:val="00E948E2"/>
    <w:rsid w:val="00E94938"/>
    <w:rsid w:val="00E949D4"/>
    <w:rsid w:val="00E949FB"/>
    <w:rsid w:val="00E94A1C"/>
    <w:rsid w:val="00E94A7B"/>
    <w:rsid w:val="00E94B05"/>
    <w:rsid w:val="00E94BFD"/>
    <w:rsid w:val="00E94D54"/>
    <w:rsid w:val="00E94DBB"/>
    <w:rsid w:val="00E94E5A"/>
    <w:rsid w:val="00E94E7F"/>
    <w:rsid w:val="00E94EBE"/>
    <w:rsid w:val="00E94F22"/>
    <w:rsid w:val="00E94F74"/>
    <w:rsid w:val="00E94F78"/>
    <w:rsid w:val="00E94FF2"/>
    <w:rsid w:val="00E950D8"/>
    <w:rsid w:val="00E950E5"/>
    <w:rsid w:val="00E95135"/>
    <w:rsid w:val="00E95155"/>
    <w:rsid w:val="00E95161"/>
    <w:rsid w:val="00E95168"/>
    <w:rsid w:val="00E9523E"/>
    <w:rsid w:val="00E95268"/>
    <w:rsid w:val="00E95306"/>
    <w:rsid w:val="00E95321"/>
    <w:rsid w:val="00E9535C"/>
    <w:rsid w:val="00E9538A"/>
    <w:rsid w:val="00E953BC"/>
    <w:rsid w:val="00E9545D"/>
    <w:rsid w:val="00E954C9"/>
    <w:rsid w:val="00E955D3"/>
    <w:rsid w:val="00E955D4"/>
    <w:rsid w:val="00E955FC"/>
    <w:rsid w:val="00E95750"/>
    <w:rsid w:val="00E9583C"/>
    <w:rsid w:val="00E95879"/>
    <w:rsid w:val="00E9592C"/>
    <w:rsid w:val="00E9596A"/>
    <w:rsid w:val="00E95970"/>
    <w:rsid w:val="00E95991"/>
    <w:rsid w:val="00E95A09"/>
    <w:rsid w:val="00E95A1E"/>
    <w:rsid w:val="00E95A48"/>
    <w:rsid w:val="00E95AEA"/>
    <w:rsid w:val="00E95B31"/>
    <w:rsid w:val="00E95B4D"/>
    <w:rsid w:val="00E95BF9"/>
    <w:rsid w:val="00E95C0C"/>
    <w:rsid w:val="00E95C3D"/>
    <w:rsid w:val="00E95C43"/>
    <w:rsid w:val="00E95D22"/>
    <w:rsid w:val="00E95D80"/>
    <w:rsid w:val="00E95E48"/>
    <w:rsid w:val="00E95F06"/>
    <w:rsid w:val="00E95F62"/>
    <w:rsid w:val="00E95FB6"/>
    <w:rsid w:val="00E95FD2"/>
    <w:rsid w:val="00E96041"/>
    <w:rsid w:val="00E9609D"/>
    <w:rsid w:val="00E960BD"/>
    <w:rsid w:val="00E960F6"/>
    <w:rsid w:val="00E96157"/>
    <w:rsid w:val="00E961F5"/>
    <w:rsid w:val="00E9626B"/>
    <w:rsid w:val="00E963C2"/>
    <w:rsid w:val="00E963DA"/>
    <w:rsid w:val="00E96417"/>
    <w:rsid w:val="00E9641C"/>
    <w:rsid w:val="00E9649E"/>
    <w:rsid w:val="00E96566"/>
    <w:rsid w:val="00E96582"/>
    <w:rsid w:val="00E965E7"/>
    <w:rsid w:val="00E96713"/>
    <w:rsid w:val="00E9673B"/>
    <w:rsid w:val="00E96896"/>
    <w:rsid w:val="00E9695D"/>
    <w:rsid w:val="00E96975"/>
    <w:rsid w:val="00E9698A"/>
    <w:rsid w:val="00E969BD"/>
    <w:rsid w:val="00E969DE"/>
    <w:rsid w:val="00E96A77"/>
    <w:rsid w:val="00E96A90"/>
    <w:rsid w:val="00E96B04"/>
    <w:rsid w:val="00E96B0F"/>
    <w:rsid w:val="00E96B60"/>
    <w:rsid w:val="00E96BB7"/>
    <w:rsid w:val="00E96C09"/>
    <w:rsid w:val="00E96C19"/>
    <w:rsid w:val="00E96C35"/>
    <w:rsid w:val="00E96CAD"/>
    <w:rsid w:val="00E96CAF"/>
    <w:rsid w:val="00E96E04"/>
    <w:rsid w:val="00E96E1F"/>
    <w:rsid w:val="00E96E2A"/>
    <w:rsid w:val="00E96EEA"/>
    <w:rsid w:val="00E96EF4"/>
    <w:rsid w:val="00E9705B"/>
    <w:rsid w:val="00E971BF"/>
    <w:rsid w:val="00E972E4"/>
    <w:rsid w:val="00E972F2"/>
    <w:rsid w:val="00E973A1"/>
    <w:rsid w:val="00E973DA"/>
    <w:rsid w:val="00E973E2"/>
    <w:rsid w:val="00E974AA"/>
    <w:rsid w:val="00E974F1"/>
    <w:rsid w:val="00E975D0"/>
    <w:rsid w:val="00E976A8"/>
    <w:rsid w:val="00E976B5"/>
    <w:rsid w:val="00E97767"/>
    <w:rsid w:val="00E977B2"/>
    <w:rsid w:val="00E9782B"/>
    <w:rsid w:val="00E97949"/>
    <w:rsid w:val="00E9794E"/>
    <w:rsid w:val="00E97A65"/>
    <w:rsid w:val="00E97A7E"/>
    <w:rsid w:val="00E97B02"/>
    <w:rsid w:val="00E97B2A"/>
    <w:rsid w:val="00E97BB1"/>
    <w:rsid w:val="00E97BC4"/>
    <w:rsid w:val="00E97BE7"/>
    <w:rsid w:val="00E97C19"/>
    <w:rsid w:val="00E97C1B"/>
    <w:rsid w:val="00E97C58"/>
    <w:rsid w:val="00E97C93"/>
    <w:rsid w:val="00E97CE4"/>
    <w:rsid w:val="00E97CF1"/>
    <w:rsid w:val="00E97D8D"/>
    <w:rsid w:val="00E97DCB"/>
    <w:rsid w:val="00E97E40"/>
    <w:rsid w:val="00E97FE4"/>
    <w:rsid w:val="00EA00A6"/>
    <w:rsid w:val="00EA0124"/>
    <w:rsid w:val="00EA017F"/>
    <w:rsid w:val="00EA03E8"/>
    <w:rsid w:val="00EA043C"/>
    <w:rsid w:val="00EA0466"/>
    <w:rsid w:val="00EA0473"/>
    <w:rsid w:val="00EA05E5"/>
    <w:rsid w:val="00EA06A8"/>
    <w:rsid w:val="00EA07A2"/>
    <w:rsid w:val="00EA07DA"/>
    <w:rsid w:val="00EA0823"/>
    <w:rsid w:val="00EA08C9"/>
    <w:rsid w:val="00EA093F"/>
    <w:rsid w:val="00EA0940"/>
    <w:rsid w:val="00EA09D3"/>
    <w:rsid w:val="00EA09EA"/>
    <w:rsid w:val="00EA0A23"/>
    <w:rsid w:val="00EA0AF2"/>
    <w:rsid w:val="00EA0B18"/>
    <w:rsid w:val="00EA0B4D"/>
    <w:rsid w:val="00EA0BBE"/>
    <w:rsid w:val="00EA0BF6"/>
    <w:rsid w:val="00EA0C3F"/>
    <w:rsid w:val="00EA0D4F"/>
    <w:rsid w:val="00EA0DA0"/>
    <w:rsid w:val="00EA0E47"/>
    <w:rsid w:val="00EA0E82"/>
    <w:rsid w:val="00EA0EE9"/>
    <w:rsid w:val="00EA0F10"/>
    <w:rsid w:val="00EA1088"/>
    <w:rsid w:val="00EA138D"/>
    <w:rsid w:val="00EA142E"/>
    <w:rsid w:val="00EA146F"/>
    <w:rsid w:val="00EA150C"/>
    <w:rsid w:val="00EA1541"/>
    <w:rsid w:val="00EA159F"/>
    <w:rsid w:val="00EA1631"/>
    <w:rsid w:val="00EA168C"/>
    <w:rsid w:val="00EA1744"/>
    <w:rsid w:val="00EA1746"/>
    <w:rsid w:val="00EA18FF"/>
    <w:rsid w:val="00EA1955"/>
    <w:rsid w:val="00EA1A07"/>
    <w:rsid w:val="00EA1A09"/>
    <w:rsid w:val="00EA1AE8"/>
    <w:rsid w:val="00EA1BD1"/>
    <w:rsid w:val="00EA1C32"/>
    <w:rsid w:val="00EA1CF0"/>
    <w:rsid w:val="00EA1D4D"/>
    <w:rsid w:val="00EA1D6A"/>
    <w:rsid w:val="00EA1F3D"/>
    <w:rsid w:val="00EA205E"/>
    <w:rsid w:val="00EA2060"/>
    <w:rsid w:val="00EA2088"/>
    <w:rsid w:val="00EA20D3"/>
    <w:rsid w:val="00EA215D"/>
    <w:rsid w:val="00EA221E"/>
    <w:rsid w:val="00EA23AC"/>
    <w:rsid w:val="00EA23E9"/>
    <w:rsid w:val="00EA2400"/>
    <w:rsid w:val="00EA2402"/>
    <w:rsid w:val="00EA25A2"/>
    <w:rsid w:val="00EA25A8"/>
    <w:rsid w:val="00EA25B0"/>
    <w:rsid w:val="00EA264C"/>
    <w:rsid w:val="00EA276A"/>
    <w:rsid w:val="00EA27BB"/>
    <w:rsid w:val="00EA2818"/>
    <w:rsid w:val="00EA2847"/>
    <w:rsid w:val="00EA2885"/>
    <w:rsid w:val="00EA28F6"/>
    <w:rsid w:val="00EA28F9"/>
    <w:rsid w:val="00EA290A"/>
    <w:rsid w:val="00EA2A1F"/>
    <w:rsid w:val="00EA2A35"/>
    <w:rsid w:val="00EA2A4F"/>
    <w:rsid w:val="00EA2AA4"/>
    <w:rsid w:val="00EA2ADA"/>
    <w:rsid w:val="00EA2AF9"/>
    <w:rsid w:val="00EA2B6D"/>
    <w:rsid w:val="00EA2C4E"/>
    <w:rsid w:val="00EA2C84"/>
    <w:rsid w:val="00EA2C9B"/>
    <w:rsid w:val="00EA2CF0"/>
    <w:rsid w:val="00EA2D04"/>
    <w:rsid w:val="00EA2D6A"/>
    <w:rsid w:val="00EA2D79"/>
    <w:rsid w:val="00EA2DD0"/>
    <w:rsid w:val="00EA2E7D"/>
    <w:rsid w:val="00EA2EE0"/>
    <w:rsid w:val="00EA2F8E"/>
    <w:rsid w:val="00EA2FB4"/>
    <w:rsid w:val="00EA304C"/>
    <w:rsid w:val="00EA30B8"/>
    <w:rsid w:val="00EA3123"/>
    <w:rsid w:val="00EA31AF"/>
    <w:rsid w:val="00EA3206"/>
    <w:rsid w:val="00EA3248"/>
    <w:rsid w:val="00EA32FF"/>
    <w:rsid w:val="00EA3399"/>
    <w:rsid w:val="00EA33B5"/>
    <w:rsid w:val="00EA33C7"/>
    <w:rsid w:val="00EA348B"/>
    <w:rsid w:val="00EA34A9"/>
    <w:rsid w:val="00EA3519"/>
    <w:rsid w:val="00EA3525"/>
    <w:rsid w:val="00EA35C1"/>
    <w:rsid w:val="00EA3609"/>
    <w:rsid w:val="00EA3636"/>
    <w:rsid w:val="00EA372F"/>
    <w:rsid w:val="00EA3830"/>
    <w:rsid w:val="00EA3859"/>
    <w:rsid w:val="00EA388C"/>
    <w:rsid w:val="00EA38CF"/>
    <w:rsid w:val="00EA398A"/>
    <w:rsid w:val="00EA398F"/>
    <w:rsid w:val="00EA39BA"/>
    <w:rsid w:val="00EA39BC"/>
    <w:rsid w:val="00EA3A01"/>
    <w:rsid w:val="00EA3AA6"/>
    <w:rsid w:val="00EA3AF5"/>
    <w:rsid w:val="00EA3B5E"/>
    <w:rsid w:val="00EA3C31"/>
    <w:rsid w:val="00EA3DC5"/>
    <w:rsid w:val="00EA3F8E"/>
    <w:rsid w:val="00EA3F95"/>
    <w:rsid w:val="00EA3FA4"/>
    <w:rsid w:val="00EA4006"/>
    <w:rsid w:val="00EA408D"/>
    <w:rsid w:val="00EA40FF"/>
    <w:rsid w:val="00EA41A6"/>
    <w:rsid w:val="00EA431F"/>
    <w:rsid w:val="00EA43B2"/>
    <w:rsid w:val="00EA4471"/>
    <w:rsid w:val="00EA44CF"/>
    <w:rsid w:val="00EA4571"/>
    <w:rsid w:val="00EA45A3"/>
    <w:rsid w:val="00EA47D5"/>
    <w:rsid w:val="00EA47EC"/>
    <w:rsid w:val="00EA48A4"/>
    <w:rsid w:val="00EA48B7"/>
    <w:rsid w:val="00EA496E"/>
    <w:rsid w:val="00EA49B3"/>
    <w:rsid w:val="00EA4A21"/>
    <w:rsid w:val="00EA4A22"/>
    <w:rsid w:val="00EA4A63"/>
    <w:rsid w:val="00EA4ABE"/>
    <w:rsid w:val="00EA4B04"/>
    <w:rsid w:val="00EA4B23"/>
    <w:rsid w:val="00EA4B31"/>
    <w:rsid w:val="00EA4C42"/>
    <w:rsid w:val="00EA4C4A"/>
    <w:rsid w:val="00EA4D15"/>
    <w:rsid w:val="00EA4E31"/>
    <w:rsid w:val="00EA4E41"/>
    <w:rsid w:val="00EA4E89"/>
    <w:rsid w:val="00EA500C"/>
    <w:rsid w:val="00EA5042"/>
    <w:rsid w:val="00EA50B9"/>
    <w:rsid w:val="00EA517B"/>
    <w:rsid w:val="00EA5191"/>
    <w:rsid w:val="00EA51F3"/>
    <w:rsid w:val="00EA5214"/>
    <w:rsid w:val="00EA52AF"/>
    <w:rsid w:val="00EA52D3"/>
    <w:rsid w:val="00EA54DE"/>
    <w:rsid w:val="00EA556B"/>
    <w:rsid w:val="00EA55AD"/>
    <w:rsid w:val="00EA55E6"/>
    <w:rsid w:val="00EA569C"/>
    <w:rsid w:val="00EA56F7"/>
    <w:rsid w:val="00EA5702"/>
    <w:rsid w:val="00EA5848"/>
    <w:rsid w:val="00EA5877"/>
    <w:rsid w:val="00EA589B"/>
    <w:rsid w:val="00EA59C4"/>
    <w:rsid w:val="00EA59F3"/>
    <w:rsid w:val="00EA5A20"/>
    <w:rsid w:val="00EA5B3F"/>
    <w:rsid w:val="00EA5BDF"/>
    <w:rsid w:val="00EA5C44"/>
    <w:rsid w:val="00EA5C6F"/>
    <w:rsid w:val="00EA5CE9"/>
    <w:rsid w:val="00EA5CF8"/>
    <w:rsid w:val="00EA5E22"/>
    <w:rsid w:val="00EA5EC9"/>
    <w:rsid w:val="00EA5EE7"/>
    <w:rsid w:val="00EA5F20"/>
    <w:rsid w:val="00EA6004"/>
    <w:rsid w:val="00EA6005"/>
    <w:rsid w:val="00EA611E"/>
    <w:rsid w:val="00EA6125"/>
    <w:rsid w:val="00EA61C5"/>
    <w:rsid w:val="00EA6217"/>
    <w:rsid w:val="00EA632B"/>
    <w:rsid w:val="00EA63A3"/>
    <w:rsid w:val="00EA63B4"/>
    <w:rsid w:val="00EA63EE"/>
    <w:rsid w:val="00EA6441"/>
    <w:rsid w:val="00EA65FA"/>
    <w:rsid w:val="00EA66DB"/>
    <w:rsid w:val="00EA67F7"/>
    <w:rsid w:val="00EA6803"/>
    <w:rsid w:val="00EA6824"/>
    <w:rsid w:val="00EA6929"/>
    <w:rsid w:val="00EA6947"/>
    <w:rsid w:val="00EA69FA"/>
    <w:rsid w:val="00EA6A92"/>
    <w:rsid w:val="00EA6A95"/>
    <w:rsid w:val="00EA6AB2"/>
    <w:rsid w:val="00EA6AFB"/>
    <w:rsid w:val="00EA6B33"/>
    <w:rsid w:val="00EA6B75"/>
    <w:rsid w:val="00EA6BA6"/>
    <w:rsid w:val="00EA6C76"/>
    <w:rsid w:val="00EA6C79"/>
    <w:rsid w:val="00EA6D0E"/>
    <w:rsid w:val="00EA6D0F"/>
    <w:rsid w:val="00EA6D36"/>
    <w:rsid w:val="00EA6D56"/>
    <w:rsid w:val="00EA6D8B"/>
    <w:rsid w:val="00EA6E52"/>
    <w:rsid w:val="00EA6EB8"/>
    <w:rsid w:val="00EA6F29"/>
    <w:rsid w:val="00EA6F2E"/>
    <w:rsid w:val="00EA6F34"/>
    <w:rsid w:val="00EA7047"/>
    <w:rsid w:val="00EA706C"/>
    <w:rsid w:val="00EA70C9"/>
    <w:rsid w:val="00EA7214"/>
    <w:rsid w:val="00EA728B"/>
    <w:rsid w:val="00EA7327"/>
    <w:rsid w:val="00EA734E"/>
    <w:rsid w:val="00EA7456"/>
    <w:rsid w:val="00EA7458"/>
    <w:rsid w:val="00EA748A"/>
    <w:rsid w:val="00EA74D2"/>
    <w:rsid w:val="00EA74EB"/>
    <w:rsid w:val="00EA751B"/>
    <w:rsid w:val="00EA7523"/>
    <w:rsid w:val="00EA7538"/>
    <w:rsid w:val="00EA75F8"/>
    <w:rsid w:val="00EA7652"/>
    <w:rsid w:val="00EA77EC"/>
    <w:rsid w:val="00EA786B"/>
    <w:rsid w:val="00EA78C1"/>
    <w:rsid w:val="00EA78E2"/>
    <w:rsid w:val="00EA78F6"/>
    <w:rsid w:val="00EA79D2"/>
    <w:rsid w:val="00EA7B41"/>
    <w:rsid w:val="00EA7B95"/>
    <w:rsid w:val="00EA7BB1"/>
    <w:rsid w:val="00EA7C1D"/>
    <w:rsid w:val="00EA7C3D"/>
    <w:rsid w:val="00EA7C5A"/>
    <w:rsid w:val="00EA7C61"/>
    <w:rsid w:val="00EA7CB6"/>
    <w:rsid w:val="00EA7CDC"/>
    <w:rsid w:val="00EA7DC7"/>
    <w:rsid w:val="00EA7E26"/>
    <w:rsid w:val="00EA7E6B"/>
    <w:rsid w:val="00EA7EC6"/>
    <w:rsid w:val="00EA7F05"/>
    <w:rsid w:val="00EA7F48"/>
    <w:rsid w:val="00EA7FB4"/>
    <w:rsid w:val="00EA7FD4"/>
    <w:rsid w:val="00EB004B"/>
    <w:rsid w:val="00EB0094"/>
    <w:rsid w:val="00EB014C"/>
    <w:rsid w:val="00EB01C5"/>
    <w:rsid w:val="00EB01D7"/>
    <w:rsid w:val="00EB01FB"/>
    <w:rsid w:val="00EB020C"/>
    <w:rsid w:val="00EB0222"/>
    <w:rsid w:val="00EB0368"/>
    <w:rsid w:val="00EB0402"/>
    <w:rsid w:val="00EB0478"/>
    <w:rsid w:val="00EB04E9"/>
    <w:rsid w:val="00EB059F"/>
    <w:rsid w:val="00EB05A5"/>
    <w:rsid w:val="00EB05BC"/>
    <w:rsid w:val="00EB05EC"/>
    <w:rsid w:val="00EB05FA"/>
    <w:rsid w:val="00EB0673"/>
    <w:rsid w:val="00EB068A"/>
    <w:rsid w:val="00EB0759"/>
    <w:rsid w:val="00EB077F"/>
    <w:rsid w:val="00EB07A9"/>
    <w:rsid w:val="00EB07B8"/>
    <w:rsid w:val="00EB0913"/>
    <w:rsid w:val="00EB0924"/>
    <w:rsid w:val="00EB0A05"/>
    <w:rsid w:val="00EB0AF8"/>
    <w:rsid w:val="00EB0BE9"/>
    <w:rsid w:val="00EB0C2F"/>
    <w:rsid w:val="00EB0C74"/>
    <w:rsid w:val="00EB0CF0"/>
    <w:rsid w:val="00EB0D4E"/>
    <w:rsid w:val="00EB0DCA"/>
    <w:rsid w:val="00EB0E05"/>
    <w:rsid w:val="00EB0E19"/>
    <w:rsid w:val="00EB0E75"/>
    <w:rsid w:val="00EB0E86"/>
    <w:rsid w:val="00EB100C"/>
    <w:rsid w:val="00EB104C"/>
    <w:rsid w:val="00EB1072"/>
    <w:rsid w:val="00EB108C"/>
    <w:rsid w:val="00EB10F4"/>
    <w:rsid w:val="00EB1152"/>
    <w:rsid w:val="00EB1159"/>
    <w:rsid w:val="00EB11BF"/>
    <w:rsid w:val="00EB11CF"/>
    <w:rsid w:val="00EB12FD"/>
    <w:rsid w:val="00EB13B8"/>
    <w:rsid w:val="00EB13DB"/>
    <w:rsid w:val="00EB1533"/>
    <w:rsid w:val="00EB1553"/>
    <w:rsid w:val="00EB15CC"/>
    <w:rsid w:val="00EB161C"/>
    <w:rsid w:val="00EB16FD"/>
    <w:rsid w:val="00EB1781"/>
    <w:rsid w:val="00EB17F4"/>
    <w:rsid w:val="00EB1869"/>
    <w:rsid w:val="00EB1927"/>
    <w:rsid w:val="00EB192C"/>
    <w:rsid w:val="00EB19EB"/>
    <w:rsid w:val="00EB1AA3"/>
    <w:rsid w:val="00EB1B00"/>
    <w:rsid w:val="00EB1C52"/>
    <w:rsid w:val="00EB1DEC"/>
    <w:rsid w:val="00EB1DF2"/>
    <w:rsid w:val="00EB1DFE"/>
    <w:rsid w:val="00EB1E8E"/>
    <w:rsid w:val="00EB1F16"/>
    <w:rsid w:val="00EB1FD1"/>
    <w:rsid w:val="00EB2039"/>
    <w:rsid w:val="00EB20BC"/>
    <w:rsid w:val="00EB2111"/>
    <w:rsid w:val="00EB2125"/>
    <w:rsid w:val="00EB2184"/>
    <w:rsid w:val="00EB2239"/>
    <w:rsid w:val="00EB2242"/>
    <w:rsid w:val="00EB23AF"/>
    <w:rsid w:val="00EB2461"/>
    <w:rsid w:val="00EB2540"/>
    <w:rsid w:val="00EB25E0"/>
    <w:rsid w:val="00EB26CF"/>
    <w:rsid w:val="00EB271D"/>
    <w:rsid w:val="00EB27F1"/>
    <w:rsid w:val="00EB2881"/>
    <w:rsid w:val="00EB28CA"/>
    <w:rsid w:val="00EB28CF"/>
    <w:rsid w:val="00EB291F"/>
    <w:rsid w:val="00EB293A"/>
    <w:rsid w:val="00EB2980"/>
    <w:rsid w:val="00EB29F8"/>
    <w:rsid w:val="00EB2A4A"/>
    <w:rsid w:val="00EB2A53"/>
    <w:rsid w:val="00EB2AAD"/>
    <w:rsid w:val="00EB2AC2"/>
    <w:rsid w:val="00EB2AE6"/>
    <w:rsid w:val="00EB2BC5"/>
    <w:rsid w:val="00EB2C25"/>
    <w:rsid w:val="00EB2C31"/>
    <w:rsid w:val="00EB2C64"/>
    <w:rsid w:val="00EB2D41"/>
    <w:rsid w:val="00EB2D45"/>
    <w:rsid w:val="00EB2D6A"/>
    <w:rsid w:val="00EB2E84"/>
    <w:rsid w:val="00EB2E8C"/>
    <w:rsid w:val="00EB2EC7"/>
    <w:rsid w:val="00EB2EE4"/>
    <w:rsid w:val="00EB304A"/>
    <w:rsid w:val="00EB30C8"/>
    <w:rsid w:val="00EB323B"/>
    <w:rsid w:val="00EB3245"/>
    <w:rsid w:val="00EB326E"/>
    <w:rsid w:val="00EB32F3"/>
    <w:rsid w:val="00EB32F8"/>
    <w:rsid w:val="00EB3322"/>
    <w:rsid w:val="00EB3352"/>
    <w:rsid w:val="00EB3357"/>
    <w:rsid w:val="00EB3386"/>
    <w:rsid w:val="00EB33A9"/>
    <w:rsid w:val="00EB33C7"/>
    <w:rsid w:val="00EB33C9"/>
    <w:rsid w:val="00EB351A"/>
    <w:rsid w:val="00EB35D3"/>
    <w:rsid w:val="00EB3657"/>
    <w:rsid w:val="00EB376D"/>
    <w:rsid w:val="00EB377C"/>
    <w:rsid w:val="00EB377F"/>
    <w:rsid w:val="00EB37AF"/>
    <w:rsid w:val="00EB3812"/>
    <w:rsid w:val="00EB3865"/>
    <w:rsid w:val="00EB38EC"/>
    <w:rsid w:val="00EB39A3"/>
    <w:rsid w:val="00EB39A9"/>
    <w:rsid w:val="00EB39C9"/>
    <w:rsid w:val="00EB39EA"/>
    <w:rsid w:val="00EB3A2B"/>
    <w:rsid w:val="00EB3A44"/>
    <w:rsid w:val="00EB3A89"/>
    <w:rsid w:val="00EB3B2A"/>
    <w:rsid w:val="00EB3B6A"/>
    <w:rsid w:val="00EB3B73"/>
    <w:rsid w:val="00EB3C88"/>
    <w:rsid w:val="00EB3E04"/>
    <w:rsid w:val="00EB3E86"/>
    <w:rsid w:val="00EB3EFC"/>
    <w:rsid w:val="00EB40D5"/>
    <w:rsid w:val="00EB4140"/>
    <w:rsid w:val="00EB4183"/>
    <w:rsid w:val="00EB42E1"/>
    <w:rsid w:val="00EB4377"/>
    <w:rsid w:val="00EB43AE"/>
    <w:rsid w:val="00EB43B8"/>
    <w:rsid w:val="00EB44DF"/>
    <w:rsid w:val="00EB4594"/>
    <w:rsid w:val="00EB45CE"/>
    <w:rsid w:val="00EB45DB"/>
    <w:rsid w:val="00EB466D"/>
    <w:rsid w:val="00EB4717"/>
    <w:rsid w:val="00EB4718"/>
    <w:rsid w:val="00EB483C"/>
    <w:rsid w:val="00EB491F"/>
    <w:rsid w:val="00EB49AA"/>
    <w:rsid w:val="00EB49B8"/>
    <w:rsid w:val="00EB4A64"/>
    <w:rsid w:val="00EB4A83"/>
    <w:rsid w:val="00EB4A90"/>
    <w:rsid w:val="00EB4B0B"/>
    <w:rsid w:val="00EB4B87"/>
    <w:rsid w:val="00EB4BD3"/>
    <w:rsid w:val="00EB4C0D"/>
    <w:rsid w:val="00EB4C16"/>
    <w:rsid w:val="00EB4CAB"/>
    <w:rsid w:val="00EB4CE3"/>
    <w:rsid w:val="00EB4D75"/>
    <w:rsid w:val="00EB4D9B"/>
    <w:rsid w:val="00EB4DD2"/>
    <w:rsid w:val="00EB4DEC"/>
    <w:rsid w:val="00EB4E70"/>
    <w:rsid w:val="00EB4EE6"/>
    <w:rsid w:val="00EB4F01"/>
    <w:rsid w:val="00EB4F1B"/>
    <w:rsid w:val="00EB4F85"/>
    <w:rsid w:val="00EB4F91"/>
    <w:rsid w:val="00EB4FAA"/>
    <w:rsid w:val="00EB5194"/>
    <w:rsid w:val="00EB51AE"/>
    <w:rsid w:val="00EB52DD"/>
    <w:rsid w:val="00EB5364"/>
    <w:rsid w:val="00EB5451"/>
    <w:rsid w:val="00EB5455"/>
    <w:rsid w:val="00EB54E3"/>
    <w:rsid w:val="00EB55E2"/>
    <w:rsid w:val="00EB5765"/>
    <w:rsid w:val="00EB5783"/>
    <w:rsid w:val="00EB5860"/>
    <w:rsid w:val="00EB588E"/>
    <w:rsid w:val="00EB58CA"/>
    <w:rsid w:val="00EB5904"/>
    <w:rsid w:val="00EB591A"/>
    <w:rsid w:val="00EB5A0D"/>
    <w:rsid w:val="00EB5A2D"/>
    <w:rsid w:val="00EB5A34"/>
    <w:rsid w:val="00EB5A6A"/>
    <w:rsid w:val="00EB5B8C"/>
    <w:rsid w:val="00EB5BE2"/>
    <w:rsid w:val="00EB5C15"/>
    <w:rsid w:val="00EB5C89"/>
    <w:rsid w:val="00EB5CA3"/>
    <w:rsid w:val="00EB5CAE"/>
    <w:rsid w:val="00EB5CE7"/>
    <w:rsid w:val="00EB5E15"/>
    <w:rsid w:val="00EB5E92"/>
    <w:rsid w:val="00EB5F0F"/>
    <w:rsid w:val="00EB5F5C"/>
    <w:rsid w:val="00EB6008"/>
    <w:rsid w:val="00EB6024"/>
    <w:rsid w:val="00EB606B"/>
    <w:rsid w:val="00EB60F1"/>
    <w:rsid w:val="00EB611A"/>
    <w:rsid w:val="00EB6159"/>
    <w:rsid w:val="00EB6164"/>
    <w:rsid w:val="00EB616F"/>
    <w:rsid w:val="00EB6178"/>
    <w:rsid w:val="00EB61B1"/>
    <w:rsid w:val="00EB625E"/>
    <w:rsid w:val="00EB62F5"/>
    <w:rsid w:val="00EB6354"/>
    <w:rsid w:val="00EB6461"/>
    <w:rsid w:val="00EB6490"/>
    <w:rsid w:val="00EB64AC"/>
    <w:rsid w:val="00EB64C1"/>
    <w:rsid w:val="00EB64FF"/>
    <w:rsid w:val="00EB65AA"/>
    <w:rsid w:val="00EB6649"/>
    <w:rsid w:val="00EB6650"/>
    <w:rsid w:val="00EB6696"/>
    <w:rsid w:val="00EB671A"/>
    <w:rsid w:val="00EB6787"/>
    <w:rsid w:val="00EB6841"/>
    <w:rsid w:val="00EB686A"/>
    <w:rsid w:val="00EB6873"/>
    <w:rsid w:val="00EB6878"/>
    <w:rsid w:val="00EB6923"/>
    <w:rsid w:val="00EB6A3C"/>
    <w:rsid w:val="00EB6ACD"/>
    <w:rsid w:val="00EB6C5C"/>
    <w:rsid w:val="00EB6C8F"/>
    <w:rsid w:val="00EB6CC6"/>
    <w:rsid w:val="00EB6D98"/>
    <w:rsid w:val="00EB6DB3"/>
    <w:rsid w:val="00EB6DDD"/>
    <w:rsid w:val="00EB6DE4"/>
    <w:rsid w:val="00EB6E12"/>
    <w:rsid w:val="00EB6E97"/>
    <w:rsid w:val="00EB7017"/>
    <w:rsid w:val="00EB7052"/>
    <w:rsid w:val="00EB7072"/>
    <w:rsid w:val="00EB70DC"/>
    <w:rsid w:val="00EB70EA"/>
    <w:rsid w:val="00EB70FE"/>
    <w:rsid w:val="00EB71A6"/>
    <w:rsid w:val="00EB71BC"/>
    <w:rsid w:val="00EB720F"/>
    <w:rsid w:val="00EB7246"/>
    <w:rsid w:val="00EB7287"/>
    <w:rsid w:val="00EB72CB"/>
    <w:rsid w:val="00EB7397"/>
    <w:rsid w:val="00EB741A"/>
    <w:rsid w:val="00EB74A3"/>
    <w:rsid w:val="00EB7534"/>
    <w:rsid w:val="00EB7538"/>
    <w:rsid w:val="00EB760F"/>
    <w:rsid w:val="00EB761E"/>
    <w:rsid w:val="00EB766F"/>
    <w:rsid w:val="00EB76C6"/>
    <w:rsid w:val="00EB76DF"/>
    <w:rsid w:val="00EB78F4"/>
    <w:rsid w:val="00EB7903"/>
    <w:rsid w:val="00EB7950"/>
    <w:rsid w:val="00EB79A3"/>
    <w:rsid w:val="00EB79AC"/>
    <w:rsid w:val="00EB7AB8"/>
    <w:rsid w:val="00EB7C17"/>
    <w:rsid w:val="00EB7C8C"/>
    <w:rsid w:val="00EB7D2C"/>
    <w:rsid w:val="00EB7D4C"/>
    <w:rsid w:val="00EB7E3C"/>
    <w:rsid w:val="00EB7E44"/>
    <w:rsid w:val="00EC0020"/>
    <w:rsid w:val="00EC00AA"/>
    <w:rsid w:val="00EC00B3"/>
    <w:rsid w:val="00EC010C"/>
    <w:rsid w:val="00EC01AA"/>
    <w:rsid w:val="00EC01D8"/>
    <w:rsid w:val="00EC0276"/>
    <w:rsid w:val="00EC033D"/>
    <w:rsid w:val="00EC0355"/>
    <w:rsid w:val="00EC0439"/>
    <w:rsid w:val="00EC044B"/>
    <w:rsid w:val="00EC04A5"/>
    <w:rsid w:val="00EC0587"/>
    <w:rsid w:val="00EC05AC"/>
    <w:rsid w:val="00EC061B"/>
    <w:rsid w:val="00EC069F"/>
    <w:rsid w:val="00EC06A6"/>
    <w:rsid w:val="00EC06AD"/>
    <w:rsid w:val="00EC071E"/>
    <w:rsid w:val="00EC074B"/>
    <w:rsid w:val="00EC08AA"/>
    <w:rsid w:val="00EC0A8E"/>
    <w:rsid w:val="00EC0B38"/>
    <w:rsid w:val="00EC0B68"/>
    <w:rsid w:val="00EC0B85"/>
    <w:rsid w:val="00EC0BBC"/>
    <w:rsid w:val="00EC0BD6"/>
    <w:rsid w:val="00EC0BF7"/>
    <w:rsid w:val="00EC0CD4"/>
    <w:rsid w:val="00EC0DA6"/>
    <w:rsid w:val="00EC0E60"/>
    <w:rsid w:val="00EC0EE2"/>
    <w:rsid w:val="00EC0F60"/>
    <w:rsid w:val="00EC1056"/>
    <w:rsid w:val="00EC1079"/>
    <w:rsid w:val="00EC10B0"/>
    <w:rsid w:val="00EC110E"/>
    <w:rsid w:val="00EC1151"/>
    <w:rsid w:val="00EC11B3"/>
    <w:rsid w:val="00EC124D"/>
    <w:rsid w:val="00EC12B1"/>
    <w:rsid w:val="00EC12FF"/>
    <w:rsid w:val="00EC1333"/>
    <w:rsid w:val="00EC134B"/>
    <w:rsid w:val="00EC140F"/>
    <w:rsid w:val="00EC1481"/>
    <w:rsid w:val="00EC1673"/>
    <w:rsid w:val="00EC16E0"/>
    <w:rsid w:val="00EC1750"/>
    <w:rsid w:val="00EC188A"/>
    <w:rsid w:val="00EC18C1"/>
    <w:rsid w:val="00EC1950"/>
    <w:rsid w:val="00EC1995"/>
    <w:rsid w:val="00EC1A80"/>
    <w:rsid w:val="00EC1B02"/>
    <w:rsid w:val="00EC1B4F"/>
    <w:rsid w:val="00EC1C43"/>
    <w:rsid w:val="00EC1D5A"/>
    <w:rsid w:val="00EC1E0E"/>
    <w:rsid w:val="00EC1E47"/>
    <w:rsid w:val="00EC1E98"/>
    <w:rsid w:val="00EC1F2C"/>
    <w:rsid w:val="00EC2139"/>
    <w:rsid w:val="00EC228A"/>
    <w:rsid w:val="00EC22D0"/>
    <w:rsid w:val="00EC230F"/>
    <w:rsid w:val="00EC236D"/>
    <w:rsid w:val="00EC23AF"/>
    <w:rsid w:val="00EC23C6"/>
    <w:rsid w:val="00EC241B"/>
    <w:rsid w:val="00EC241C"/>
    <w:rsid w:val="00EC242D"/>
    <w:rsid w:val="00EC24D0"/>
    <w:rsid w:val="00EC24D2"/>
    <w:rsid w:val="00EC2521"/>
    <w:rsid w:val="00EC252C"/>
    <w:rsid w:val="00EC2546"/>
    <w:rsid w:val="00EC25E5"/>
    <w:rsid w:val="00EC26AE"/>
    <w:rsid w:val="00EC2712"/>
    <w:rsid w:val="00EC2759"/>
    <w:rsid w:val="00EC2798"/>
    <w:rsid w:val="00EC27B6"/>
    <w:rsid w:val="00EC27DE"/>
    <w:rsid w:val="00EC298A"/>
    <w:rsid w:val="00EC29C6"/>
    <w:rsid w:val="00EC29EA"/>
    <w:rsid w:val="00EC2A01"/>
    <w:rsid w:val="00EC2A94"/>
    <w:rsid w:val="00EC2A95"/>
    <w:rsid w:val="00EC2AA8"/>
    <w:rsid w:val="00EC2B27"/>
    <w:rsid w:val="00EC2B8E"/>
    <w:rsid w:val="00EC2C22"/>
    <w:rsid w:val="00EC2CA8"/>
    <w:rsid w:val="00EC2D99"/>
    <w:rsid w:val="00EC2DFD"/>
    <w:rsid w:val="00EC2E5A"/>
    <w:rsid w:val="00EC2E83"/>
    <w:rsid w:val="00EC2EB4"/>
    <w:rsid w:val="00EC2ED5"/>
    <w:rsid w:val="00EC2F17"/>
    <w:rsid w:val="00EC2F62"/>
    <w:rsid w:val="00EC2F87"/>
    <w:rsid w:val="00EC2FA6"/>
    <w:rsid w:val="00EC3020"/>
    <w:rsid w:val="00EC30E4"/>
    <w:rsid w:val="00EC319E"/>
    <w:rsid w:val="00EC31FB"/>
    <w:rsid w:val="00EC325E"/>
    <w:rsid w:val="00EC32B6"/>
    <w:rsid w:val="00EC3403"/>
    <w:rsid w:val="00EC3439"/>
    <w:rsid w:val="00EC345B"/>
    <w:rsid w:val="00EC34CE"/>
    <w:rsid w:val="00EC3825"/>
    <w:rsid w:val="00EC38FD"/>
    <w:rsid w:val="00EC3958"/>
    <w:rsid w:val="00EC39A0"/>
    <w:rsid w:val="00EC39E6"/>
    <w:rsid w:val="00EC39ED"/>
    <w:rsid w:val="00EC39F1"/>
    <w:rsid w:val="00EC39F3"/>
    <w:rsid w:val="00EC3A38"/>
    <w:rsid w:val="00EC3AAB"/>
    <w:rsid w:val="00EC3B06"/>
    <w:rsid w:val="00EC3C3E"/>
    <w:rsid w:val="00EC3C5D"/>
    <w:rsid w:val="00EC3D21"/>
    <w:rsid w:val="00EC3D9B"/>
    <w:rsid w:val="00EC3DA6"/>
    <w:rsid w:val="00EC3E1B"/>
    <w:rsid w:val="00EC3EAB"/>
    <w:rsid w:val="00EC3EF5"/>
    <w:rsid w:val="00EC3F0B"/>
    <w:rsid w:val="00EC3F2B"/>
    <w:rsid w:val="00EC410E"/>
    <w:rsid w:val="00EC42A4"/>
    <w:rsid w:val="00EC431B"/>
    <w:rsid w:val="00EC4395"/>
    <w:rsid w:val="00EC43CB"/>
    <w:rsid w:val="00EC4438"/>
    <w:rsid w:val="00EC4467"/>
    <w:rsid w:val="00EC44BF"/>
    <w:rsid w:val="00EC451F"/>
    <w:rsid w:val="00EC45D0"/>
    <w:rsid w:val="00EC4640"/>
    <w:rsid w:val="00EC4645"/>
    <w:rsid w:val="00EC4683"/>
    <w:rsid w:val="00EC46C0"/>
    <w:rsid w:val="00EC46E1"/>
    <w:rsid w:val="00EC472E"/>
    <w:rsid w:val="00EC47CD"/>
    <w:rsid w:val="00EC482F"/>
    <w:rsid w:val="00EC4834"/>
    <w:rsid w:val="00EC4870"/>
    <w:rsid w:val="00EC4931"/>
    <w:rsid w:val="00EC4965"/>
    <w:rsid w:val="00EC49FA"/>
    <w:rsid w:val="00EC4A65"/>
    <w:rsid w:val="00EC4AB4"/>
    <w:rsid w:val="00EC4AD4"/>
    <w:rsid w:val="00EC4B27"/>
    <w:rsid w:val="00EC4BA4"/>
    <w:rsid w:val="00EC4BEF"/>
    <w:rsid w:val="00EC4C67"/>
    <w:rsid w:val="00EC4C75"/>
    <w:rsid w:val="00EC4D43"/>
    <w:rsid w:val="00EC4D57"/>
    <w:rsid w:val="00EC4D8D"/>
    <w:rsid w:val="00EC4E35"/>
    <w:rsid w:val="00EC4E44"/>
    <w:rsid w:val="00EC4F0A"/>
    <w:rsid w:val="00EC4FB9"/>
    <w:rsid w:val="00EC4FD3"/>
    <w:rsid w:val="00EC503A"/>
    <w:rsid w:val="00EC50B7"/>
    <w:rsid w:val="00EC5102"/>
    <w:rsid w:val="00EC5120"/>
    <w:rsid w:val="00EC515A"/>
    <w:rsid w:val="00EC5228"/>
    <w:rsid w:val="00EC5238"/>
    <w:rsid w:val="00EC525E"/>
    <w:rsid w:val="00EC52B0"/>
    <w:rsid w:val="00EC52D0"/>
    <w:rsid w:val="00EC52E9"/>
    <w:rsid w:val="00EC537D"/>
    <w:rsid w:val="00EC53D3"/>
    <w:rsid w:val="00EC541E"/>
    <w:rsid w:val="00EC548B"/>
    <w:rsid w:val="00EC550C"/>
    <w:rsid w:val="00EC5589"/>
    <w:rsid w:val="00EC578A"/>
    <w:rsid w:val="00EC579D"/>
    <w:rsid w:val="00EC57C7"/>
    <w:rsid w:val="00EC5811"/>
    <w:rsid w:val="00EC58A9"/>
    <w:rsid w:val="00EC598D"/>
    <w:rsid w:val="00EC5A1E"/>
    <w:rsid w:val="00EC5B40"/>
    <w:rsid w:val="00EC5BDC"/>
    <w:rsid w:val="00EC5C01"/>
    <w:rsid w:val="00EC5C05"/>
    <w:rsid w:val="00EC5E52"/>
    <w:rsid w:val="00EC5EA5"/>
    <w:rsid w:val="00EC5F41"/>
    <w:rsid w:val="00EC5F46"/>
    <w:rsid w:val="00EC5F93"/>
    <w:rsid w:val="00EC5F9A"/>
    <w:rsid w:val="00EC601E"/>
    <w:rsid w:val="00EC602E"/>
    <w:rsid w:val="00EC6191"/>
    <w:rsid w:val="00EC621F"/>
    <w:rsid w:val="00EC6286"/>
    <w:rsid w:val="00EC634F"/>
    <w:rsid w:val="00EC6379"/>
    <w:rsid w:val="00EC6596"/>
    <w:rsid w:val="00EC65E6"/>
    <w:rsid w:val="00EC65E7"/>
    <w:rsid w:val="00EC6696"/>
    <w:rsid w:val="00EC66A8"/>
    <w:rsid w:val="00EC66C6"/>
    <w:rsid w:val="00EC66D1"/>
    <w:rsid w:val="00EC66EA"/>
    <w:rsid w:val="00EC6807"/>
    <w:rsid w:val="00EC682C"/>
    <w:rsid w:val="00EC68B2"/>
    <w:rsid w:val="00EC68E5"/>
    <w:rsid w:val="00EC6900"/>
    <w:rsid w:val="00EC6911"/>
    <w:rsid w:val="00EC6981"/>
    <w:rsid w:val="00EC698A"/>
    <w:rsid w:val="00EC6990"/>
    <w:rsid w:val="00EC69CC"/>
    <w:rsid w:val="00EC69D1"/>
    <w:rsid w:val="00EC69ED"/>
    <w:rsid w:val="00EC6B16"/>
    <w:rsid w:val="00EC6BED"/>
    <w:rsid w:val="00EC6C09"/>
    <w:rsid w:val="00EC6C8F"/>
    <w:rsid w:val="00EC6D22"/>
    <w:rsid w:val="00EC6D2D"/>
    <w:rsid w:val="00EC6DA4"/>
    <w:rsid w:val="00EC6DEF"/>
    <w:rsid w:val="00EC6E1E"/>
    <w:rsid w:val="00EC6E40"/>
    <w:rsid w:val="00EC6E7A"/>
    <w:rsid w:val="00EC6EB5"/>
    <w:rsid w:val="00EC6EDE"/>
    <w:rsid w:val="00EC6EFC"/>
    <w:rsid w:val="00EC6FBA"/>
    <w:rsid w:val="00EC6FD8"/>
    <w:rsid w:val="00EC7045"/>
    <w:rsid w:val="00EC70C3"/>
    <w:rsid w:val="00EC70E1"/>
    <w:rsid w:val="00EC7152"/>
    <w:rsid w:val="00EC7179"/>
    <w:rsid w:val="00EC717B"/>
    <w:rsid w:val="00EC71A9"/>
    <w:rsid w:val="00EC71F6"/>
    <w:rsid w:val="00EC7249"/>
    <w:rsid w:val="00EC72BE"/>
    <w:rsid w:val="00EC72C9"/>
    <w:rsid w:val="00EC72DB"/>
    <w:rsid w:val="00EC734D"/>
    <w:rsid w:val="00EC7372"/>
    <w:rsid w:val="00EC7382"/>
    <w:rsid w:val="00EC73D5"/>
    <w:rsid w:val="00EC742E"/>
    <w:rsid w:val="00EC748F"/>
    <w:rsid w:val="00EC75B0"/>
    <w:rsid w:val="00EC75B4"/>
    <w:rsid w:val="00EC7665"/>
    <w:rsid w:val="00EC7756"/>
    <w:rsid w:val="00EC7786"/>
    <w:rsid w:val="00EC781D"/>
    <w:rsid w:val="00EC781F"/>
    <w:rsid w:val="00EC78C1"/>
    <w:rsid w:val="00EC78C3"/>
    <w:rsid w:val="00EC78C4"/>
    <w:rsid w:val="00EC7A18"/>
    <w:rsid w:val="00EC7B0C"/>
    <w:rsid w:val="00EC7B96"/>
    <w:rsid w:val="00EC7B9F"/>
    <w:rsid w:val="00EC7C31"/>
    <w:rsid w:val="00EC7D17"/>
    <w:rsid w:val="00EC7E21"/>
    <w:rsid w:val="00EC7F1F"/>
    <w:rsid w:val="00EC7F27"/>
    <w:rsid w:val="00ED0046"/>
    <w:rsid w:val="00ED0105"/>
    <w:rsid w:val="00ED0166"/>
    <w:rsid w:val="00ED01D3"/>
    <w:rsid w:val="00ED032D"/>
    <w:rsid w:val="00ED052C"/>
    <w:rsid w:val="00ED059F"/>
    <w:rsid w:val="00ED0694"/>
    <w:rsid w:val="00ED077C"/>
    <w:rsid w:val="00ED0784"/>
    <w:rsid w:val="00ED078A"/>
    <w:rsid w:val="00ED079B"/>
    <w:rsid w:val="00ED07BB"/>
    <w:rsid w:val="00ED07C4"/>
    <w:rsid w:val="00ED0898"/>
    <w:rsid w:val="00ED08D6"/>
    <w:rsid w:val="00ED09F4"/>
    <w:rsid w:val="00ED09F9"/>
    <w:rsid w:val="00ED0A39"/>
    <w:rsid w:val="00ED0A63"/>
    <w:rsid w:val="00ED0C1A"/>
    <w:rsid w:val="00ED0C2F"/>
    <w:rsid w:val="00ED0C4A"/>
    <w:rsid w:val="00ED0C52"/>
    <w:rsid w:val="00ED0C9F"/>
    <w:rsid w:val="00ED0CF6"/>
    <w:rsid w:val="00ED0D16"/>
    <w:rsid w:val="00ED0D9C"/>
    <w:rsid w:val="00ED0E00"/>
    <w:rsid w:val="00ED0E1D"/>
    <w:rsid w:val="00ED0E7A"/>
    <w:rsid w:val="00ED0ED1"/>
    <w:rsid w:val="00ED0F1F"/>
    <w:rsid w:val="00ED0F9A"/>
    <w:rsid w:val="00ED10AE"/>
    <w:rsid w:val="00ED10D3"/>
    <w:rsid w:val="00ED10D7"/>
    <w:rsid w:val="00ED1173"/>
    <w:rsid w:val="00ED11D0"/>
    <w:rsid w:val="00ED1258"/>
    <w:rsid w:val="00ED1284"/>
    <w:rsid w:val="00ED12F3"/>
    <w:rsid w:val="00ED1319"/>
    <w:rsid w:val="00ED14C9"/>
    <w:rsid w:val="00ED14D9"/>
    <w:rsid w:val="00ED1500"/>
    <w:rsid w:val="00ED1526"/>
    <w:rsid w:val="00ED154B"/>
    <w:rsid w:val="00ED164B"/>
    <w:rsid w:val="00ED166A"/>
    <w:rsid w:val="00ED168D"/>
    <w:rsid w:val="00ED175C"/>
    <w:rsid w:val="00ED1839"/>
    <w:rsid w:val="00ED183D"/>
    <w:rsid w:val="00ED18C0"/>
    <w:rsid w:val="00ED195D"/>
    <w:rsid w:val="00ED1B27"/>
    <w:rsid w:val="00ED1B6F"/>
    <w:rsid w:val="00ED1BC5"/>
    <w:rsid w:val="00ED1BF2"/>
    <w:rsid w:val="00ED1BFC"/>
    <w:rsid w:val="00ED1CC1"/>
    <w:rsid w:val="00ED1DD8"/>
    <w:rsid w:val="00ED1E1C"/>
    <w:rsid w:val="00ED1E5C"/>
    <w:rsid w:val="00ED1E89"/>
    <w:rsid w:val="00ED1F73"/>
    <w:rsid w:val="00ED1FBE"/>
    <w:rsid w:val="00ED2021"/>
    <w:rsid w:val="00ED2076"/>
    <w:rsid w:val="00ED215E"/>
    <w:rsid w:val="00ED2255"/>
    <w:rsid w:val="00ED2270"/>
    <w:rsid w:val="00ED228A"/>
    <w:rsid w:val="00ED22E0"/>
    <w:rsid w:val="00ED22E9"/>
    <w:rsid w:val="00ED2455"/>
    <w:rsid w:val="00ED2469"/>
    <w:rsid w:val="00ED25A4"/>
    <w:rsid w:val="00ED25CB"/>
    <w:rsid w:val="00ED25EC"/>
    <w:rsid w:val="00ED2650"/>
    <w:rsid w:val="00ED266A"/>
    <w:rsid w:val="00ED2738"/>
    <w:rsid w:val="00ED279F"/>
    <w:rsid w:val="00ED2824"/>
    <w:rsid w:val="00ED28F8"/>
    <w:rsid w:val="00ED2A28"/>
    <w:rsid w:val="00ED2A58"/>
    <w:rsid w:val="00ED2A61"/>
    <w:rsid w:val="00ED2A8C"/>
    <w:rsid w:val="00ED2AB4"/>
    <w:rsid w:val="00ED2B17"/>
    <w:rsid w:val="00ED2B7B"/>
    <w:rsid w:val="00ED2BA6"/>
    <w:rsid w:val="00ED2C11"/>
    <w:rsid w:val="00ED2C48"/>
    <w:rsid w:val="00ED2C5A"/>
    <w:rsid w:val="00ED2CE9"/>
    <w:rsid w:val="00ED2D75"/>
    <w:rsid w:val="00ED2E26"/>
    <w:rsid w:val="00ED2E28"/>
    <w:rsid w:val="00ED2E49"/>
    <w:rsid w:val="00ED2EE8"/>
    <w:rsid w:val="00ED2F60"/>
    <w:rsid w:val="00ED2F67"/>
    <w:rsid w:val="00ED2FF5"/>
    <w:rsid w:val="00ED309B"/>
    <w:rsid w:val="00ED3124"/>
    <w:rsid w:val="00ED3143"/>
    <w:rsid w:val="00ED31D9"/>
    <w:rsid w:val="00ED3260"/>
    <w:rsid w:val="00ED326C"/>
    <w:rsid w:val="00ED3331"/>
    <w:rsid w:val="00ED3515"/>
    <w:rsid w:val="00ED367A"/>
    <w:rsid w:val="00ED3691"/>
    <w:rsid w:val="00ED36CE"/>
    <w:rsid w:val="00ED3855"/>
    <w:rsid w:val="00ED3936"/>
    <w:rsid w:val="00ED3A76"/>
    <w:rsid w:val="00ED3AA6"/>
    <w:rsid w:val="00ED3AFA"/>
    <w:rsid w:val="00ED3B46"/>
    <w:rsid w:val="00ED3B4C"/>
    <w:rsid w:val="00ED3C3E"/>
    <w:rsid w:val="00ED3CC8"/>
    <w:rsid w:val="00ED3CFB"/>
    <w:rsid w:val="00ED3D32"/>
    <w:rsid w:val="00ED3D67"/>
    <w:rsid w:val="00ED3D6F"/>
    <w:rsid w:val="00ED3E59"/>
    <w:rsid w:val="00ED3E76"/>
    <w:rsid w:val="00ED3F7C"/>
    <w:rsid w:val="00ED3FF5"/>
    <w:rsid w:val="00ED403D"/>
    <w:rsid w:val="00ED40A4"/>
    <w:rsid w:val="00ED425C"/>
    <w:rsid w:val="00ED42A1"/>
    <w:rsid w:val="00ED457E"/>
    <w:rsid w:val="00ED45D3"/>
    <w:rsid w:val="00ED45F4"/>
    <w:rsid w:val="00ED45FC"/>
    <w:rsid w:val="00ED47BB"/>
    <w:rsid w:val="00ED4824"/>
    <w:rsid w:val="00ED4955"/>
    <w:rsid w:val="00ED4956"/>
    <w:rsid w:val="00ED495E"/>
    <w:rsid w:val="00ED4964"/>
    <w:rsid w:val="00ED4A32"/>
    <w:rsid w:val="00ED4AEC"/>
    <w:rsid w:val="00ED4B12"/>
    <w:rsid w:val="00ED4B7E"/>
    <w:rsid w:val="00ED4C47"/>
    <w:rsid w:val="00ED4CA9"/>
    <w:rsid w:val="00ED4CB5"/>
    <w:rsid w:val="00ED4CD7"/>
    <w:rsid w:val="00ED4E6E"/>
    <w:rsid w:val="00ED4EE4"/>
    <w:rsid w:val="00ED4FD4"/>
    <w:rsid w:val="00ED4FED"/>
    <w:rsid w:val="00ED5062"/>
    <w:rsid w:val="00ED5127"/>
    <w:rsid w:val="00ED515E"/>
    <w:rsid w:val="00ED5176"/>
    <w:rsid w:val="00ED5195"/>
    <w:rsid w:val="00ED52C7"/>
    <w:rsid w:val="00ED52E9"/>
    <w:rsid w:val="00ED538D"/>
    <w:rsid w:val="00ED5410"/>
    <w:rsid w:val="00ED547F"/>
    <w:rsid w:val="00ED54EE"/>
    <w:rsid w:val="00ED5506"/>
    <w:rsid w:val="00ED5534"/>
    <w:rsid w:val="00ED5535"/>
    <w:rsid w:val="00ED5550"/>
    <w:rsid w:val="00ED5567"/>
    <w:rsid w:val="00ED558D"/>
    <w:rsid w:val="00ED5591"/>
    <w:rsid w:val="00ED56BC"/>
    <w:rsid w:val="00ED5818"/>
    <w:rsid w:val="00ED5880"/>
    <w:rsid w:val="00ED59F3"/>
    <w:rsid w:val="00ED5A20"/>
    <w:rsid w:val="00ED5A30"/>
    <w:rsid w:val="00ED5A50"/>
    <w:rsid w:val="00ED5B14"/>
    <w:rsid w:val="00ED5BD6"/>
    <w:rsid w:val="00ED5CCB"/>
    <w:rsid w:val="00ED5CE1"/>
    <w:rsid w:val="00ED5D27"/>
    <w:rsid w:val="00ED5D4A"/>
    <w:rsid w:val="00ED5DA7"/>
    <w:rsid w:val="00ED5E1E"/>
    <w:rsid w:val="00ED5E5F"/>
    <w:rsid w:val="00ED5EDC"/>
    <w:rsid w:val="00ED5EFA"/>
    <w:rsid w:val="00ED5F55"/>
    <w:rsid w:val="00ED5F62"/>
    <w:rsid w:val="00ED601C"/>
    <w:rsid w:val="00ED60E3"/>
    <w:rsid w:val="00ED6154"/>
    <w:rsid w:val="00ED6172"/>
    <w:rsid w:val="00ED6176"/>
    <w:rsid w:val="00ED6184"/>
    <w:rsid w:val="00ED61FE"/>
    <w:rsid w:val="00ED620D"/>
    <w:rsid w:val="00ED6251"/>
    <w:rsid w:val="00ED6254"/>
    <w:rsid w:val="00ED6289"/>
    <w:rsid w:val="00ED6299"/>
    <w:rsid w:val="00ED62DC"/>
    <w:rsid w:val="00ED634E"/>
    <w:rsid w:val="00ED65A8"/>
    <w:rsid w:val="00ED65AB"/>
    <w:rsid w:val="00ED65C0"/>
    <w:rsid w:val="00ED6605"/>
    <w:rsid w:val="00ED669D"/>
    <w:rsid w:val="00ED6730"/>
    <w:rsid w:val="00ED6744"/>
    <w:rsid w:val="00ED6758"/>
    <w:rsid w:val="00ED67A5"/>
    <w:rsid w:val="00ED6812"/>
    <w:rsid w:val="00ED683E"/>
    <w:rsid w:val="00ED6877"/>
    <w:rsid w:val="00ED688F"/>
    <w:rsid w:val="00ED68FF"/>
    <w:rsid w:val="00ED692D"/>
    <w:rsid w:val="00ED6934"/>
    <w:rsid w:val="00ED695C"/>
    <w:rsid w:val="00ED69BF"/>
    <w:rsid w:val="00ED6ACF"/>
    <w:rsid w:val="00ED6BD1"/>
    <w:rsid w:val="00ED6C42"/>
    <w:rsid w:val="00ED6C7E"/>
    <w:rsid w:val="00ED6CF1"/>
    <w:rsid w:val="00ED6CF5"/>
    <w:rsid w:val="00ED6E6B"/>
    <w:rsid w:val="00ED6F3F"/>
    <w:rsid w:val="00ED6FAA"/>
    <w:rsid w:val="00ED7004"/>
    <w:rsid w:val="00ED70B0"/>
    <w:rsid w:val="00ED70B5"/>
    <w:rsid w:val="00ED71F2"/>
    <w:rsid w:val="00ED725C"/>
    <w:rsid w:val="00ED73E2"/>
    <w:rsid w:val="00ED74FE"/>
    <w:rsid w:val="00ED751C"/>
    <w:rsid w:val="00ED7531"/>
    <w:rsid w:val="00ED7543"/>
    <w:rsid w:val="00ED7545"/>
    <w:rsid w:val="00ED760A"/>
    <w:rsid w:val="00ED76C6"/>
    <w:rsid w:val="00ED7735"/>
    <w:rsid w:val="00ED7764"/>
    <w:rsid w:val="00ED7766"/>
    <w:rsid w:val="00ED7773"/>
    <w:rsid w:val="00ED777D"/>
    <w:rsid w:val="00ED78C6"/>
    <w:rsid w:val="00ED791F"/>
    <w:rsid w:val="00ED79E5"/>
    <w:rsid w:val="00ED79FA"/>
    <w:rsid w:val="00ED7A0B"/>
    <w:rsid w:val="00ED7A21"/>
    <w:rsid w:val="00ED7A77"/>
    <w:rsid w:val="00ED7A88"/>
    <w:rsid w:val="00ED7B44"/>
    <w:rsid w:val="00ED7B4E"/>
    <w:rsid w:val="00ED7BE9"/>
    <w:rsid w:val="00ED7BEC"/>
    <w:rsid w:val="00ED7C15"/>
    <w:rsid w:val="00ED7CDC"/>
    <w:rsid w:val="00ED7CF5"/>
    <w:rsid w:val="00ED7D94"/>
    <w:rsid w:val="00ED7DE9"/>
    <w:rsid w:val="00ED7EAC"/>
    <w:rsid w:val="00ED7EC6"/>
    <w:rsid w:val="00ED7FC5"/>
    <w:rsid w:val="00ED7FDC"/>
    <w:rsid w:val="00ED7FE5"/>
    <w:rsid w:val="00ED7FEA"/>
    <w:rsid w:val="00EE004B"/>
    <w:rsid w:val="00EE0155"/>
    <w:rsid w:val="00EE0171"/>
    <w:rsid w:val="00EE01BC"/>
    <w:rsid w:val="00EE01D7"/>
    <w:rsid w:val="00EE0259"/>
    <w:rsid w:val="00EE029C"/>
    <w:rsid w:val="00EE0322"/>
    <w:rsid w:val="00EE0637"/>
    <w:rsid w:val="00EE067D"/>
    <w:rsid w:val="00EE068C"/>
    <w:rsid w:val="00EE0726"/>
    <w:rsid w:val="00EE08A0"/>
    <w:rsid w:val="00EE0937"/>
    <w:rsid w:val="00EE0B8C"/>
    <w:rsid w:val="00EE0BBE"/>
    <w:rsid w:val="00EE0C78"/>
    <w:rsid w:val="00EE0DDA"/>
    <w:rsid w:val="00EE0ED7"/>
    <w:rsid w:val="00EE0EF6"/>
    <w:rsid w:val="00EE0F28"/>
    <w:rsid w:val="00EE0F44"/>
    <w:rsid w:val="00EE0FEB"/>
    <w:rsid w:val="00EE100E"/>
    <w:rsid w:val="00EE10E5"/>
    <w:rsid w:val="00EE1342"/>
    <w:rsid w:val="00EE135F"/>
    <w:rsid w:val="00EE1447"/>
    <w:rsid w:val="00EE1459"/>
    <w:rsid w:val="00EE1517"/>
    <w:rsid w:val="00EE154E"/>
    <w:rsid w:val="00EE1594"/>
    <w:rsid w:val="00EE1734"/>
    <w:rsid w:val="00EE175E"/>
    <w:rsid w:val="00EE1761"/>
    <w:rsid w:val="00EE1784"/>
    <w:rsid w:val="00EE179A"/>
    <w:rsid w:val="00EE185C"/>
    <w:rsid w:val="00EE1890"/>
    <w:rsid w:val="00EE189B"/>
    <w:rsid w:val="00EE18CD"/>
    <w:rsid w:val="00EE1972"/>
    <w:rsid w:val="00EE19F6"/>
    <w:rsid w:val="00EE1A37"/>
    <w:rsid w:val="00EE1A89"/>
    <w:rsid w:val="00EE1ADA"/>
    <w:rsid w:val="00EE1BD8"/>
    <w:rsid w:val="00EE1BE3"/>
    <w:rsid w:val="00EE1BF1"/>
    <w:rsid w:val="00EE1D03"/>
    <w:rsid w:val="00EE1DB5"/>
    <w:rsid w:val="00EE1E5C"/>
    <w:rsid w:val="00EE1EB5"/>
    <w:rsid w:val="00EE1F18"/>
    <w:rsid w:val="00EE1FA3"/>
    <w:rsid w:val="00EE209A"/>
    <w:rsid w:val="00EE2103"/>
    <w:rsid w:val="00EE21C9"/>
    <w:rsid w:val="00EE22A1"/>
    <w:rsid w:val="00EE23F3"/>
    <w:rsid w:val="00EE23F8"/>
    <w:rsid w:val="00EE2430"/>
    <w:rsid w:val="00EE2478"/>
    <w:rsid w:val="00EE252F"/>
    <w:rsid w:val="00EE255D"/>
    <w:rsid w:val="00EE259C"/>
    <w:rsid w:val="00EE25F4"/>
    <w:rsid w:val="00EE27AB"/>
    <w:rsid w:val="00EE28AB"/>
    <w:rsid w:val="00EE28B5"/>
    <w:rsid w:val="00EE2926"/>
    <w:rsid w:val="00EE2A43"/>
    <w:rsid w:val="00EE2AC8"/>
    <w:rsid w:val="00EE2AD3"/>
    <w:rsid w:val="00EE2B53"/>
    <w:rsid w:val="00EE2B96"/>
    <w:rsid w:val="00EE2C88"/>
    <w:rsid w:val="00EE2C8E"/>
    <w:rsid w:val="00EE2C93"/>
    <w:rsid w:val="00EE2CE9"/>
    <w:rsid w:val="00EE2D51"/>
    <w:rsid w:val="00EE2DAE"/>
    <w:rsid w:val="00EE2DB9"/>
    <w:rsid w:val="00EE2E09"/>
    <w:rsid w:val="00EE2F4A"/>
    <w:rsid w:val="00EE2FB9"/>
    <w:rsid w:val="00EE2FBA"/>
    <w:rsid w:val="00EE303F"/>
    <w:rsid w:val="00EE315A"/>
    <w:rsid w:val="00EE31EF"/>
    <w:rsid w:val="00EE31F1"/>
    <w:rsid w:val="00EE31F4"/>
    <w:rsid w:val="00EE3207"/>
    <w:rsid w:val="00EE32D3"/>
    <w:rsid w:val="00EE32D7"/>
    <w:rsid w:val="00EE32E0"/>
    <w:rsid w:val="00EE32E1"/>
    <w:rsid w:val="00EE3310"/>
    <w:rsid w:val="00EE33A4"/>
    <w:rsid w:val="00EE33AB"/>
    <w:rsid w:val="00EE33EC"/>
    <w:rsid w:val="00EE346D"/>
    <w:rsid w:val="00EE3477"/>
    <w:rsid w:val="00EE351B"/>
    <w:rsid w:val="00EE35D3"/>
    <w:rsid w:val="00EE35E1"/>
    <w:rsid w:val="00EE3613"/>
    <w:rsid w:val="00EE361A"/>
    <w:rsid w:val="00EE36BD"/>
    <w:rsid w:val="00EE36C7"/>
    <w:rsid w:val="00EE37AD"/>
    <w:rsid w:val="00EE37F7"/>
    <w:rsid w:val="00EE385C"/>
    <w:rsid w:val="00EE38A2"/>
    <w:rsid w:val="00EE3927"/>
    <w:rsid w:val="00EE3960"/>
    <w:rsid w:val="00EE3965"/>
    <w:rsid w:val="00EE3A28"/>
    <w:rsid w:val="00EE3A2F"/>
    <w:rsid w:val="00EE3B35"/>
    <w:rsid w:val="00EE3BA4"/>
    <w:rsid w:val="00EE3BD0"/>
    <w:rsid w:val="00EE3C87"/>
    <w:rsid w:val="00EE3CC2"/>
    <w:rsid w:val="00EE3D71"/>
    <w:rsid w:val="00EE3E34"/>
    <w:rsid w:val="00EE3E71"/>
    <w:rsid w:val="00EE3EB3"/>
    <w:rsid w:val="00EE3F59"/>
    <w:rsid w:val="00EE3FD5"/>
    <w:rsid w:val="00EE3FF2"/>
    <w:rsid w:val="00EE40C6"/>
    <w:rsid w:val="00EE41CD"/>
    <w:rsid w:val="00EE41E2"/>
    <w:rsid w:val="00EE4248"/>
    <w:rsid w:val="00EE42BA"/>
    <w:rsid w:val="00EE43E1"/>
    <w:rsid w:val="00EE4436"/>
    <w:rsid w:val="00EE4547"/>
    <w:rsid w:val="00EE4571"/>
    <w:rsid w:val="00EE4603"/>
    <w:rsid w:val="00EE46E0"/>
    <w:rsid w:val="00EE473C"/>
    <w:rsid w:val="00EE474D"/>
    <w:rsid w:val="00EE47A4"/>
    <w:rsid w:val="00EE47AB"/>
    <w:rsid w:val="00EE47F2"/>
    <w:rsid w:val="00EE4864"/>
    <w:rsid w:val="00EE4897"/>
    <w:rsid w:val="00EE48B7"/>
    <w:rsid w:val="00EE4925"/>
    <w:rsid w:val="00EE4976"/>
    <w:rsid w:val="00EE4AE2"/>
    <w:rsid w:val="00EE4B90"/>
    <w:rsid w:val="00EE4B9F"/>
    <w:rsid w:val="00EE4BA2"/>
    <w:rsid w:val="00EE4BAC"/>
    <w:rsid w:val="00EE4D31"/>
    <w:rsid w:val="00EE4DFB"/>
    <w:rsid w:val="00EE4EFA"/>
    <w:rsid w:val="00EE4F21"/>
    <w:rsid w:val="00EE5023"/>
    <w:rsid w:val="00EE5033"/>
    <w:rsid w:val="00EE5067"/>
    <w:rsid w:val="00EE5208"/>
    <w:rsid w:val="00EE526B"/>
    <w:rsid w:val="00EE5331"/>
    <w:rsid w:val="00EE53E6"/>
    <w:rsid w:val="00EE545C"/>
    <w:rsid w:val="00EE54F9"/>
    <w:rsid w:val="00EE5526"/>
    <w:rsid w:val="00EE5538"/>
    <w:rsid w:val="00EE5652"/>
    <w:rsid w:val="00EE568F"/>
    <w:rsid w:val="00EE56D4"/>
    <w:rsid w:val="00EE5736"/>
    <w:rsid w:val="00EE57BF"/>
    <w:rsid w:val="00EE57C3"/>
    <w:rsid w:val="00EE5A7F"/>
    <w:rsid w:val="00EE5A9B"/>
    <w:rsid w:val="00EE5AD7"/>
    <w:rsid w:val="00EE5B29"/>
    <w:rsid w:val="00EE5B58"/>
    <w:rsid w:val="00EE5C28"/>
    <w:rsid w:val="00EE5CC0"/>
    <w:rsid w:val="00EE5D66"/>
    <w:rsid w:val="00EE5D87"/>
    <w:rsid w:val="00EE5DB2"/>
    <w:rsid w:val="00EE5E17"/>
    <w:rsid w:val="00EE5E51"/>
    <w:rsid w:val="00EE5FDF"/>
    <w:rsid w:val="00EE601D"/>
    <w:rsid w:val="00EE6090"/>
    <w:rsid w:val="00EE60BE"/>
    <w:rsid w:val="00EE60C0"/>
    <w:rsid w:val="00EE60EE"/>
    <w:rsid w:val="00EE6104"/>
    <w:rsid w:val="00EE6160"/>
    <w:rsid w:val="00EE625B"/>
    <w:rsid w:val="00EE6273"/>
    <w:rsid w:val="00EE62AD"/>
    <w:rsid w:val="00EE6329"/>
    <w:rsid w:val="00EE6368"/>
    <w:rsid w:val="00EE63C1"/>
    <w:rsid w:val="00EE63D3"/>
    <w:rsid w:val="00EE643E"/>
    <w:rsid w:val="00EE646D"/>
    <w:rsid w:val="00EE64D1"/>
    <w:rsid w:val="00EE64DC"/>
    <w:rsid w:val="00EE652B"/>
    <w:rsid w:val="00EE6566"/>
    <w:rsid w:val="00EE6589"/>
    <w:rsid w:val="00EE65B7"/>
    <w:rsid w:val="00EE65DC"/>
    <w:rsid w:val="00EE66A8"/>
    <w:rsid w:val="00EE679A"/>
    <w:rsid w:val="00EE67DD"/>
    <w:rsid w:val="00EE685F"/>
    <w:rsid w:val="00EE69BA"/>
    <w:rsid w:val="00EE6A08"/>
    <w:rsid w:val="00EE6A0F"/>
    <w:rsid w:val="00EE6AE5"/>
    <w:rsid w:val="00EE6B6E"/>
    <w:rsid w:val="00EE6BC7"/>
    <w:rsid w:val="00EE6C7F"/>
    <w:rsid w:val="00EE6D1F"/>
    <w:rsid w:val="00EE6D9B"/>
    <w:rsid w:val="00EE6DA3"/>
    <w:rsid w:val="00EE6DE5"/>
    <w:rsid w:val="00EE6EEB"/>
    <w:rsid w:val="00EE6F1B"/>
    <w:rsid w:val="00EE7071"/>
    <w:rsid w:val="00EE709B"/>
    <w:rsid w:val="00EE70C5"/>
    <w:rsid w:val="00EE71EA"/>
    <w:rsid w:val="00EE71EF"/>
    <w:rsid w:val="00EE727B"/>
    <w:rsid w:val="00EE727C"/>
    <w:rsid w:val="00EE73CD"/>
    <w:rsid w:val="00EE7436"/>
    <w:rsid w:val="00EE74A9"/>
    <w:rsid w:val="00EE74BC"/>
    <w:rsid w:val="00EE74DB"/>
    <w:rsid w:val="00EE74E0"/>
    <w:rsid w:val="00EE7520"/>
    <w:rsid w:val="00EE7522"/>
    <w:rsid w:val="00EE7542"/>
    <w:rsid w:val="00EE7565"/>
    <w:rsid w:val="00EE759C"/>
    <w:rsid w:val="00EE75CE"/>
    <w:rsid w:val="00EE75FD"/>
    <w:rsid w:val="00EE7613"/>
    <w:rsid w:val="00EE7671"/>
    <w:rsid w:val="00EE7720"/>
    <w:rsid w:val="00EE7744"/>
    <w:rsid w:val="00EE7773"/>
    <w:rsid w:val="00EE7784"/>
    <w:rsid w:val="00EE7857"/>
    <w:rsid w:val="00EE7895"/>
    <w:rsid w:val="00EE78F9"/>
    <w:rsid w:val="00EE7973"/>
    <w:rsid w:val="00EE7A17"/>
    <w:rsid w:val="00EE7AB7"/>
    <w:rsid w:val="00EE7ADC"/>
    <w:rsid w:val="00EE7C72"/>
    <w:rsid w:val="00EE7CC2"/>
    <w:rsid w:val="00EE7CD5"/>
    <w:rsid w:val="00EE7D5E"/>
    <w:rsid w:val="00EE7EB7"/>
    <w:rsid w:val="00EE7ECC"/>
    <w:rsid w:val="00EE7EED"/>
    <w:rsid w:val="00EE7F92"/>
    <w:rsid w:val="00EE7FA1"/>
    <w:rsid w:val="00EF0069"/>
    <w:rsid w:val="00EF00A8"/>
    <w:rsid w:val="00EF00C3"/>
    <w:rsid w:val="00EF00D0"/>
    <w:rsid w:val="00EF00DC"/>
    <w:rsid w:val="00EF0105"/>
    <w:rsid w:val="00EF0132"/>
    <w:rsid w:val="00EF0177"/>
    <w:rsid w:val="00EF01B1"/>
    <w:rsid w:val="00EF02A5"/>
    <w:rsid w:val="00EF02F0"/>
    <w:rsid w:val="00EF03A5"/>
    <w:rsid w:val="00EF03E1"/>
    <w:rsid w:val="00EF03EE"/>
    <w:rsid w:val="00EF043F"/>
    <w:rsid w:val="00EF0545"/>
    <w:rsid w:val="00EF0668"/>
    <w:rsid w:val="00EF073A"/>
    <w:rsid w:val="00EF074E"/>
    <w:rsid w:val="00EF07C3"/>
    <w:rsid w:val="00EF084A"/>
    <w:rsid w:val="00EF0976"/>
    <w:rsid w:val="00EF0A22"/>
    <w:rsid w:val="00EF0A3F"/>
    <w:rsid w:val="00EF0AEE"/>
    <w:rsid w:val="00EF0B8C"/>
    <w:rsid w:val="00EF0C1B"/>
    <w:rsid w:val="00EF0C5D"/>
    <w:rsid w:val="00EF0C7E"/>
    <w:rsid w:val="00EF0CD2"/>
    <w:rsid w:val="00EF0D65"/>
    <w:rsid w:val="00EF0D6B"/>
    <w:rsid w:val="00EF0DB3"/>
    <w:rsid w:val="00EF0E41"/>
    <w:rsid w:val="00EF0E76"/>
    <w:rsid w:val="00EF0EFC"/>
    <w:rsid w:val="00EF107F"/>
    <w:rsid w:val="00EF10BC"/>
    <w:rsid w:val="00EF10C9"/>
    <w:rsid w:val="00EF115B"/>
    <w:rsid w:val="00EF1200"/>
    <w:rsid w:val="00EF123F"/>
    <w:rsid w:val="00EF145E"/>
    <w:rsid w:val="00EF14C1"/>
    <w:rsid w:val="00EF14FD"/>
    <w:rsid w:val="00EF166D"/>
    <w:rsid w:val="00EF1753"/>
    <w:rsid w:val="00EF17B2"/>
    <w:rsid w:val="00EF1860"/>
    <w:rsid w:val="00EF188A"/>
    <w:rsid w:val="00EF195A"/>
    <w:rsid w:val="00EF1A98"/>
    <w:rsid w:val="00EF1B05"/>
    <w:rsid w:val="00EF1B3B"/>
    <w:rsid w:val="00EF1B62"/>
    <w:rsid w:val="00EF1B96"/>
    <w:rsid w:val="00EF1BD7"/>
    <w:rsid w:val="00EF1D59"/>
    <w:rsid w:val="00EF1D6C"/>
    <w:rsid w:val="00EF1E65"/>
    <w:rsid w:val="00EF1EAD"/>
    <w:rsid w:val="00EF1EC4"/>
    <w:rsid w:val="00EF1F53"/>
    <w:rsid w:val="00EF1FDD"/>
    <w:rsid w:val="00EF20D3"/>
    <w:rsid w:val="00EF21C1"/>
    <w:rsid w:val="00EF22A4"/>
    <w:rsid w:val="00EF22B6"/>
    <w:rsid w:val="00EF22D3"/>
    <w:rsid w:val="00EF23FC"/>
    <w:rsid w:val="00EF2425"/>
    <w:rsid w:val="00EF259D"/>
    <w:rsid w:val="00EF261B"/>
    <w:rsid w:val="00EF269E"/>
    <w:rsid w:val="00EF2818"/>
    <w:rsid w:val="00EF2860"/>
    <w:rsid w:val="00EF2892"/>
    <w:rsid w:val="00EF28BE"/>
    <w:rsid w:val="00EF2925"/>
    <w:rsid w:val="00EF295D"/>
    <w:rsid w:val="00EF29BB"/>
    <w:rsid w:val="00EF29CB"/>
    <w:rsid w:val="00EF29D3"/>
    <w:rsid w:val="00EF2A27"/>
    <w:rsid w:val="00EF2A5F"/>
    <w:rsid w:val="00EF2B20"/>
    <w:rsid w:val="00EF2BB7"/>
    <w:rsid w:val="00EF2BBB"/>
    <w:rsid w:val="00EF2C31"/>
    <w:rsid w:val="00EF2C42"/>
    <w:rsid w:val="00EF2CE0"/>
    <w:rsid w:val="00EF2DCF"/>
    <w:rsid w:val="00EF2DF5"/>
    <w:rsid w:val="00EF2F55"/>
    <w:rsid w:val="00EF2F56"/>
    <w:rsid w:val="00EF2FCE"/>
    <w:rsid w:val="00EF308F"/>
    <w:rsid w:val="00EF30AC"/>
    <w:rsid w:val="00EF30C3"/>
    <w:rsid w:val="00EF3261"/>
    <w:rsid w:val="00EF3265"/>
    <w:rsid w:val="00EF33E5"/>
    <w:rsid w:val="00EF3417"/>
    <w:rsid w:val="00EF34CE"/>
    <w:rsid w:val="00EF3522"/>
    <w:rsid w:val="00EF355A"/>
    <w:rsid w:val="00EF362C"/>
    <w:rsid w:val="00EF3700"/>
    <w:rsid w:val="00EF3705"/>
    <w:rsid w:val="00EF370B"/>
    <w:rsid w:val="00EF37FA"/>
    <w:rsid w:val="00EF3908"/>
    <w:rsid w:val="00EF3966"/>
    <w:rsid w:val="00EF3982"/>
    <w:rsid w:val="00EF3A14"/>
    <w:rsid w:val="00EF3A68"/>
    <w:rsid w:val="00EF3A83"/>
    <w:rsid w:val="00EF3B3E"/>
    <w:rsid w:val="00EF3C22"/>
    <w:rsid w:val="00EF3C47"/>
    <w:rsid w:val="00EF3C8C"/>
    <w:rsid w:val="00EF3E0D"/>
    <w:rsid w:val="00EF3E33"/>
    <w:rsid w:val="00EF3F8A"/>
    <w:rsid w:val="00EF41AD"/>
    <w:rsid w:val="00EF4345"/>
    <w:rsid w:val="00EF436A"/>
    <w:rsid w:val="00EF43BD"/>
    <w:rsid w:val="00EF4400"/>
    <w:rsid w:val="00EF4488"/>
    <w:rsid w:val="00EF44A1"/>
    <w:rsid w:val="00EF44A3"/>
    <w:rsid w:val="00EF4502"/>
    <w:rsid w:val="00EF45B4"/>
    <w:rsid w:val="00EF45CF"/>
    <w:rsid w:val="00EF4608"/>
    <w:rsid w:val="00EF4716"/>
    <w:rsid w:val="00EF4764"/>
    <w:rsid w:val="00EF47B2"/>
    <w:rsid w:val="00EF47D5"/>
    <w:rsid w:val="00EF4825"/>
    <w:rsid w:val="00EF483F"/>
    <w:rsid w:val="00EF4882"/>
    <w:rsid w:val="00EF48BA"/>
    <w:rsid w:val="00EF4924"/>
    <w:rsid w:val="00EF49A8"/>
    <w:rsid w:val="00EF49C7"/>
    <w:rsid w:val="00EF4A41"/>
    <w:rsid w:val="00EF4A87"/>
    <w:rsid w:val="00EF4AE0"/>
    <w:rsid w:val="00EF4B80"/>
    <w:rsid w:val="00EF4BA8"/>
    <w:rsid w:val="00EF4BDC"/>
    <w:rsid w:val="00EF4CEE"/>
    <w:rsid w:val="00EF4CFC"/>
    <w:rsid w:val="00EF4ECC"/>
    <w:rsid w:val="00EF4FA0"/>
    <w:rsid w:val="00EF4FDE"/>
    <w:rsid w:val="00EF501E"/>
    <w:rsid w:val="00EF5020"/>
    <w:rsid w:val="00EF5042"/>
    <w:rsid w:val="00EF5064"/>
    <w:rsid w:val="00EF50A8"/>
    <w:rsid w:val="00EF50BB"/>
    <w:rsid w:val="00EF50DD"/>
    <w:rsid w:val="00EF50E2"/>
    <w:rsid w:val="00EF520D"/>
    <w:rsid w:val="00EF522C"/>
    <w:rsid w:val="00EF52E5"/>
    <w:rsid w:val="00EF52F2"/>
    <w:rsid w:val="00EF531C"/>
    <w:rsid w:val="00EF5352"/>
    <w:rsid w:val="00EF53C0"/>
    <w:rsid w:val="00EF545C"/>
    <w:rsid w:val="00EF5522"/>
    <w:rsid w:val="00EF559B"/>
    <w:rsid w:val="00EF559C"/>
    <w:rsid w:val="00EF55DF"/>
    <w:rsid w:val="00EF55EF"/>
    <w:rsid w:val="00EF56F9"/>
    <w:rsid w:val="00EF5794"/>
    <w:rsid w:val="00EF57C6"/>
    <w:rsid w:val="00EF57EB"/>
    <w:rsid w:val="00EF585A"/>
    <w:rsid w:val="00EF58BA"/>
    <w:rsid w:val="00EF5A16"/>
    <w:rsid w:val="00EF5A67"/>
    <w:rsid w:val="00EF5A9B"/>
    <w:rsid w:val="00EF5AE6"/>
    <w:rsid w:val="00EF5EC8"/>
    <w:rsid w:val="00EF60FE"/>
    <w:rsid w:val="00EF6105"/>
    <w:rsid w:val="00EF6137"/>
    <w:rsid w:val="00EF6190"/>
    <w:rsid w:val="00EF6315"/>
    <w:rsid w:val="00EF65AA"/>
    <w:rsid w:val="00EF6664"/>
    <w:rsid w:val="00EF670D"/>
    <w:rsid w:val="00EF689F"/>
    <w:rsid w:val="00EF68F1"/>
    <w:rsid w:val="00EF6981"/>
    <w:rsid w:val="00EF69E2"/>
    <w:rsid w:val="00EF6A73"/>
    <w:rsid w:val="00EF6B77"/>
    <w:rsid w:val="00EF6BD2"/>
    <w:rsid w:val="00EF6C1C"/>
    <w:rsid w:val="00EF6C5D"/>
    <w:rsid w:val="00EF6C87"/>
    <w:rsid w:val="00EF6C98"/>
    <w:rsid w:val="00EF6CE2"/>
    <w:rsid w:val="00EF6D1D"/>
    <w:rsid w:val="00EF6DC2"/>
    <w:rsid w:val="00EF6E17"/>
    <w:rsid w:val="00EF6E51"/>
    <w:rsid w:val="00EF6E61"/>
    <w:rsid w:val="00EF6E97"/>
    <w:rsid w:val="00EF6EEF"/>
    <w:rsid w:val="00EF6EF2"/>
    <w:rsid w:val="00EF6F3E"/>
    <w:rsid w:val="00EF6F58"/>
    <w:rsid w:val="00EF6F7C"/>
    <w:rsid w:val="00EF703C"/>
    <w:rsid w:val="00EF70A2"/>
    <w:rsid w:val="00EF7349"/>
    <w:rsid w:val="00EF746C"/>
    <w:rsid w:val="00EF74D5"/>
    <w:rsid w:val="00EF7552"/>
    <w:rsid w:val="00EF757E"/>
    <w:rsid w:val="00EF75EC"/>
    <w:rsid w:val="00EF7600"/>
    <w:rsid w:val="00EF7623"/>
    <w:rsid w:val="00EF765E"/>
    <w:rsid w:val="00EF7731"/>
    <w:rsid w:val="00EF77AD"/>
    <w:rsid w:val="00EF7805"/>
    <w:rsid w:val="00EF78D2"/>
    <w:rsid w:val="00EF78D6"/>
    <w:rsid w:val="00EF7920"/>
    <w:rsid w:val="00EF7988"/>
    <w:rsid w:val="00EF79A3"/>
    <w:rsid w:val="00EF7B93"/>
    <w:rsid w:val="00EF7C01"/>
    <w:rsid w:val="00EF7D55"/>
    <w:rsid w:val="00EF7DB1"/>
    <w:rsid w:val="00EF7E7E"/>
    <w:rsid w:val="00EF7E8D"/>
    <w:rsid w:val="00EF7EFE"/>
    <w:rsid w:val="00EF7F27"/>
    <w:rsid w:val="00F0004E"/>
    <w:rsid w:val="00F0007E"/>
    <w:rsid w:val="00F00109"/>
    <w:rsid w:val="00F00140"/>
    <w:rsid w:val="00F00202"/>
    <w:rsid w:val="00F00242"/>
    <w:rsid w:val="00F00254"/>
    <w:rsid w:val="00F00291"/>
    <w:rsid w:val="00F00294"/>
    <w:rsid w:val="00F003AC"/>
    <w:rsid w:val="00F0042F"/>
    <w:rsid w:val="00F00496"/>
    <w:rsid w:val="00F00570"/>
    <w:rsid w:val="00F0058B"/>
    <w:rsid w:val="00F005A8"/>
    <w:rsid w:val="00F005B2"/>
    <w:rsid w:val="00F005EF"/>
    <w:rsid w:val="00F005FF"/>
    <w:rsid w:val="00F00630"/>
    <w:rsid w:val="00F00741"/>
    <w:rsid w:val="00F007A1"/>
    <w:rsid w:val="00F0082D"/>
    <w:rsid w:val="00F008EF"/>
    <w:rsid w:val="00F0096A"/>
    <w:rsid w:val="00F00A42"/>
    <w:rsid w:val="00F00A56"/>
    <w:rsid w:val="00F00A8A"/>
    <w:rsid w:val="00F00A90"/>
    <w:rsid w:val="00F00B47"/>
    <w:rsid w:val="00F00B91"/>
    <w:rsid w:val="00F00BE0"/>
    <w:rsid w:val="00F00BF7"/>
    <w:rsid w:val="00F00C22"/>
    <w:rsid w:val="00F00E60"/>
    <w:rsid w:val="00F00E62"/>
    <w:rsid w:val="00F00EC0"/>
    <w:rsid w:val="00F00EE5"/>
    <w:rsid w:val="00F00FB7"/>
    <w:rsid w:val="00F01036"/>
    <w:rsid w:val="00F0106B"/>
    <w:rsid w:val="00F010B4"/>
    <w:rsid w:val="00F0110B"/>
    <w:rsid w:val="00F0111F"/>
    <w:rsid w:val="00F01123"/>
    <w:rsid w:val="00F0117D"/>
    <w:rsid w:val="00F011E0"/>
    <w:rsid w:val="00F01246"/>
    <w:rsid w:val="00F01269"/>
    <w:rsid w:val="00F01354"/>
    <w:rsid w:val="00F013A4"/>
    <w:rsid w:val="00F013C6"/>
    <w:rsid w:val="00F013FF"/>
    <w:rsid w:val="00F01432"/>
    <w:rsid w:val="00F014B7"/>
    <w:rsid w:val="00F01544"/>
    <w:rsid w:val="00F015AB"/>
    <w:rsid w:val="00F016AA"/>
    <w:rsid w:val="00F017CB"/>
    <w:rsid w:val="00F017E1"/>
    <w:rsid w:val="00F018AF"/>
    <w:rsid w:val="00F01BBF"/>
    <w:rsid w:val="00F01CD8"/>
    <w:rsid w:val="00F01D6E"/>
    <w:rsid w:val="00F01DE6"/>
    <w:rsid w:val="00F01E0B"/>
    <w:rsid w:val="00F01E46"/>
    <w:rsid w:val="00F01F01"/>
    <w:rsid w:val="00F01F27"/>
    <w:rsid w:val="00F01F82"/>
    <w:rsid w:val="00F01FB1"/>
    <w:rsid w:val="00F02043"/>
    <w:rsid w:val="00F0204F"/>
    <w:rsid w:val="00F020F9"/>
    <w:rsid w:val="00F02154"/>
    <w:rsid w:val="00F02159"/>
    <w:rsid w:val="00F0218D"/>
    <w:rsid w:val="00F02280"/>
    <w:rsid w:val="00F02331"/>
    <w:rsid w:val="00F0233B"/>
    <w:rsid w:val="00F0235C"/>
    <w:rsid w:val="00F023F8"/>
    <w:rsid w:val="00F02403"/>
    <w:rsid w:val="00F0249E"/>
    <w:rsid w:val="00F0255A"/>
    <w:rsid w:val="00F02578"/>
    <w:rsid w:val="00F02583"/>
    <w:rsid w:val="00F025AF"/>
    <w:rsid w:val="00F026F9"/>
    <w:rsid w:val="00F0273B"/>
    <w:rsid w:val="00F02858"/>
    <w:rsid w:val="00F0289C"/>
    <w:rsid w:val="00F02928"/>
    <w:rsid w:val="00F02A1C"/>
    <w:rsid w:val="00F02AA8"/>
    <w:rsid w:val="00F02AB7"/>
    <w:rsid w:val="00F02AFD"/>
    <w:rsid w:val="00F02B2C"/>
    <w:rsid w:val="00F02CC5"/>
    <w:rsid w:val="00F02CE7"/>
    <w:rsid w:val="00F02CEE"/>
    <w:rsid w:val="00F02D29"/>
    <w:rsid w:val="00F02D8C"/>
    <w:rsid w:val="00F02D98"/>
    <w:rsid w:val="00F02E57"/>
    <w:rsid w:val="00F02E5A"/>
    <w:rsid w:val="00F02E64"/>
    <w:rsid w:val="00F02EB7"/>
    <w:rsid w:val="00F02EB9"/>
    <w:rsid w:val="00F02FA9"/>
    <w:rsid w:val="00F030ED"/>
    <w:rsid w:val="00F03132"/>
    <w:rsid w:val="00F0317E"/>
    <w:rsid w:val="00F031A9"/>
    <w:rsid w:val="00F031CA"/>
    <w:rsid w:val="00F032AA"/>
    <w:rsid w:val="00F032D0"/>
    <w:rsid w:val="00F0330C"/>
    <w:rsid w:val="00F034A4"/>
    <w:rsid w:val="00F034DB"/>
    <w:rsid w:val="00F034E5"/>
    <w:rsid w:val="00F03645"/>
    <w:rsid w:val="00F03769"/>
    <w:rsid w:val="00F037C5"/>
    <w:rsid w:val="00F0382B"/>
    <w:rsid w:val="00F038E8"/>
    <w:rsid w:val="00F038FC"/>
    <w:rsid w:val="00F0396E"/>
    <w:rsid w:val="00F03BA0"/>
    <w:rsid w:val="00F03C17"/>
    <w:rsid w:val="00F03DB6"/>
    <w:rsid w:val="00F03DD0"/>
    <w:rsid w:val="00F03E31"/>
    <w:rsid w:val="00F03E38"/>
    <w:rsid w:val="00F03F90"/>
    <w:rsid w:val="00F0402C"/>
    <w:rsid w:val="00F040BA"/>
    <w:rsid w:val="00F040F8"/>
    <w:rsid w:val="00F041B9"/>
    <w:rsid w:val="00F041E6"/>
    <w:rsid w:val="00F041F9"/>
    <w:rsid w:val="00F04202"/>
    <w:rsid w:val="00F0429D"/>
    <w:rsid w:val="00F0432A"/>
    <w:rsid w:val="00F0432F"/>
    <w:rsid w:val="00F0434F"/>
    <w:rsid w:val="00F0458D"/>
    <w:rsid w:val="00F045E0"/>
    <w:rsid w:val="00F0466C"/>
    <w:rsid w:val="00F046D4"/>
    <w:rsid w:val="00F046EC"/>
    <w:rsid w:val="00F0473D"/>
    <w:rsid w:val="00F0476F"/>
    <w:rsid w:val="00F04780"/>
    <w:rsid w:val="00F04854"/>
    <w:rsid w:val="00F04879"/>
    <w:rsid w:val="00F048B4"/>
    <w:rsid w:val="00F048C3"/>
    <w:rsid w:val="00F0495F"/>
    <w:rsid w:val="00F04991"/>
    <w:rsid w:val="00F049F8"/>
    <w:rsid w:val="00F04ABC"/>
    <w:rsid w:val="00F04B6E"/>
    <w:rsid w:val="00F04BF2"/>
    <w:rsid w:val="00F04C9E"/>
    <w:rsid w:val="00F04D82"/>
    <w:rsid w:val="00F04E97"/>
    <w:rsid w:val="00F04F66"/>
    <w:rsid w:val="00F04F7F"/>
    <w:rsid w:val="00F05032"/>
    <w:rsid w:val="00F0506D"/>
    <w:rsid w:val="00F050AC"/>
    <w:rsid w:val="00F051AA"/>
    <w:rsid w:val="00F0524C"/>
    <w:rsid w:val="00F052DE"/>
    <w:rsid w:val="00F0539F"/>
    <w:rsid w:val="00F05461"/>
    <w:rsid w:val="00F0559D"/>
    <w:rsid w:val="00F055C6"/>
    <w:rsid w:val="00F05604"/>
    <w:rsid w:val="00F05741"/>
    <w:rsid w:val="00F05768"/>
    <w:rsid w:val="00F057C0"/>
    <w:rsid w:val="00F0581F"/>
    <w:rsid w:val="00F058F5"/>
    <w:rsid w:val="00F0593A"/>
    <w:rsid w:val="00F0596E"/>
    <w:rsid w:val="00F0596F"/>
    <w:rsid w:val="00F0599C"/>
    <w:rsid w:val="00F05A08"/>
    <w:rsid w:val="00F05BF3"/>
    <w:rsid w:val="00F05CB8"/>
    <w:rsid w:val="00F05D40"/>
    <w:rsid w:val="00F05DE8"/>
    <w:rsid w:val="00F05E14"/>
    <w:rsid w:val="00F05EB0"/>
    <w:rsid w:val="00F05F78"/>
    <w:rsid w:val="00F05FAC"/>
    <w:rsid w:val="00F06143"/>
    <w:rsid w:val="00F061C8"/>
    <w:rsid w:val="00F06339"/>
    <w:rsid w:val="00F063AB"/>
    <w:rsid w:val="00F0640A"/>
    <w:rsid w:val="00F065B7"/>
    <w:rsid w:val="00F066E2"/>
    <w:rsid w:val="00F06741"/>
    <w:rsid w:val="00F067A2"/>
    <w:rsid w:val="00F06808"/>
    <w:rsid w:val="00F06830"/>
    <w:rsid w:val="00F069EC"/>
    <w:rsid w:val="00F06A2B"/>
    <w:rsid w:val="00F06B81"/>
    <w:rsid w:val="00F06BBE"/>
    <w:rsid w:val="00F06BCD"/>
    <w:rsid w:val="00F06BD9"/>
    <w:rsid w:val="00F06BE2"/>
    <w:rsid w:val="00F06C4C"/>
    <w:rsid w:val="00F06C64"/>
    <w:rsid w:val="00F06D02"/>
    <w:rsid w:val="00F06DCF"/>
    <w:rsid w:val="00F06E39"/>
    <w:rsid w:val="00F06E4B"/>
    <w:rsid w:val="00F06E9C"/>
    <w:rsid w:val="00F06EA5"/>
    <w:rsid w:val="00F06F75"/>
    <w:rsid w:val="00F06FD1"/>
    <w:rsid w:val="00F07018"/>
    <w:rsid w:val="00F07192"/>
    <w:rsid w:val="00F0724B"/>
    <w:rsid w:val="00F07290"/>
    <w:rsid w:val="00F072CD"/>
    <w:rsid w:val="00F07375"/>
    <w:rsid w:val="00F0745E"/>
    <w:rsid w:val="00F0749E"/>
    <w:rsid w:val="00F074BF"/>
    <w:rsid w:val="00F074D6"/>
    <w:rsid w:val="00F075B0"/>
    <w:rsid w:val="00F0760B"/>
    <w:rsid w:val="00F076B5"/>
    <w:rsid w:val="00F0770F"/>
    <w:rsid w:val="00F07721"/>
    <w:rsid w:val="00F07840"/>
    <w:rsid w:val="00F07866"/>
    <w:rsid w:val="00F0788C"/>
    <w:rsid w:val="00F078F9"/>
    <w:rsid w:val="00F079EC"/>
    <w:rsid w:val="00F07A9D"/>
    <w:rsid w:val="00F07B5F"/>
    <w:rsid w:val="00F07B7C"/>
    <w:rsid w:val="00F07C90"/>
    <w:rsid w:val="00F07CD1"/>
    <w:rsid w:val="00F07F9B"/>
    <w:rsid w:val="00F10029"/>
    <w:rsid w:val="00F1007A"/>
    <w:rsid w:val="00F1008B"/>
    <w:rsid w:val="00F101CA"/>
    <w:rsid w:val="00F1027F"/>
    <w:rsid w:val="00F1028E"/>
    <w:rsid w:val="00F10319"/>
    <w:rsid w:val="00F1038D"/>
    <w:rsid w:val="00F103B9"/>
    <w:rsid w:val="00F10465"/>
    <w:rsid w:val="00F104B8"/>
    <w:rsid w:val="00F1058E"/>
    <w:rsid w:val="00F1065E"/>
    <w:rsid w:val="00F106C0"/>
    <w:rsid w:val="00F10726"/>
    <w:rsid w:val="00F1076E"/>
    <w:rsid w:val="00F107CC"/>
    <w:rsid w:val="00F107E6"/>
    <w:rsid w:val="00F10837"/>
    <w:rsid w:val="00F10843"/>
    <w:rsid w:val="00F10953"/>
    <w:rsid w:val="00F109DC"/>
    <w:rsid w:val="00F10A89"/>
    <w:rsid w:val="00F10ABF"/>
    <w:rsid w:val="00F10BA5"/>
    <w:rsid w:val="00F10C85"/>
    <w:rsid w:val="00F10CB6"/>
    <w:rsid w:val="00F10D52"/>
    <w:rsid w:val="00F10D96"/>
    <w:rsid w:val="00F10EA4"/>
    <w:rsid w:val="00F10EA6"/>
    <w:rsid w:val="00F10EC6"/>
    <w:rsid w:val="00F1101F"/>
    <w:rsid w:val="00F1109B"/>
    <w:rsid w:val="00F110D6"/>
    <w:rsid w:val="00F110F2"/>
    <w:rsid w:val="00F1116B"/>
    <w:rsid w:val="00F11183"/>
    <w:rsid w:val="00F11187"/>
    <w:rsid w:val="00F111CE"/>
    <w:rsid w:val="00F11276"/>
    <w:rsid w:val="00F112A8"/>
    <w:rsid w:val="00F112F4"/>
    <w:rsid w:val="00F113A8"/>
    <w:rsid w:val="00F1144A"/>
    <w:rsid w:val="00F11463"/>
    <w:rsid w:val="00F1150C"/>
    <w:rsid w:val="00F1155F"/>
    <w:rsid w:val="00F11669"/>
    <w:rsid w:val="00F116D7"/>
    <w:rsid w:val="00F116DB"/>
    <w:rsid w:val="00F116E6"/>
    <w:rsid w:val="00F1173B"/>
    <w:rsid w:val="00F11744"/>
    <w:rsid w:val="00F11763"/>
    <w:rsid w:val="00F117C0"/>
    <w:rsid w:val="00F11897"/>
    <w:rsid w:val="00F118E7"/>
    <w:rsid w:val="00F1190C"/>
    <w:rsid w:val="00F11922"/>
    <w:rsid w:val="00F119C3"/>
    <w:rsid w:val="00F119F6"/>
    <w:rsid w:val="00F11A10"/>
    <w:rsid w:val="00F11A2E"/>
    <w:rsid w:val="00F11AA0"/>
    <w:rsid w:val="00F11AFF"/>
    <w:rsid w:val="00F11C6E"/>
    <w:rsid w:val="00F11C90"/>
    <w:rsid w:val="00F11D06"/>
    <w:rsid w:val="00F11D68"/>
    <w:rsid w:val="00F11D8E"/>
    <w:rsid w:val="00F11D9B"/>
    <w:rsid w:val="00F11E23"/>
    <w:rsid w:val="00F11EEC"/>
    <w:rsid w:val="00F11F0D"/>
    <w:rsid w:val="00F11FA6"/>
    <w:rsid w:val="00F11FD5"/>
    <w:rsid w:val="00F1201B"/>
    <w:rsid w:val="00F12031"/>
    <w:rsid w:val="00F12086"/>
    <w:rsid w:val="00F120D2"/>
    <w:rsid w:val="00F121B6"/>
    <w:rsid w:val="00F121BA"/>
    <w:rsid w:val="00F122DA"/>
    <w:rsid w:val="00F122F0"/>
    <w:rsid w:val="00F12466"/>
    <w:rsid w:val="00F12523"/>
    <w:rsid w:val="00F12593"/>
    <w:rsid w:val="00F12594"/>
    <w:rsid w:val="00F12626"/>
    <w:rsid w:val="00F1263B"/>
    <w:rsid w:val="00F1277A"/>
    <w:rsid w:val="00F127FD"/>
    <w:rsid w:val="00F12819"/>
    <w:rsid w:val="00F12878"/>
    <w:rsid w:val="00F128D8"/>
    <w:rsid w:val="00F129A2"/>
    <w:rsid w:val="00F12A32"/>
    <w:rsid w:val="00F12ACF"/>
    <w:rsid w:val="00F12B5E"/>
    <w:rsid w:val="00F12BF4"/>
    <w:rsid w:val="00F12C47"/>
    <w:rsid w:val="00F12D57"/>
    <w:rsid w:val="00F12D62"/>
    <w:rsid w:val="00F12DBD"/>
    <w:rsid w:val="00F12E6B"/>
    <w:rsid w:val="00F12FEA"/>
    <w:rsid w:val="00F13065"/>
    <w:rsid w:val="00F13124"/>
    <w:rsid w:val="00F1315B"/>
    <w:rsid w:val="00F131C9"/>
    <w:rsid w:val="00F1320C"/>
    <w:rsid w:val="00F13283"/>
    <w:rsid w:val="00F1336B"/>
    <w:rsid w:val="00F134CA"/>
    <w:rsid w:val="00F136A0"/>
    <w:rsid w:val="00F1388C"/>
    <w:rsid w:val="00F139C9"/>
    <w:rsid w:val="00F13A5A"/>
    <w:rsid w:val="00F13AAF"/>
    <w:rsid w:val="00F13B37"/>
    <w:rsid w:val="00F13BAF"/>
    <w:rsid w:val="00F13C21"/>
    <w:rsid w:val="00F13C22"/>
    <w:rsid w:val="00F13D1B"/>
    <w:rsid w:val="00F13D24"/>
    <w:rsid w:val="00F13D3D"/>
    <w:rsid w:val="00F13D85"/>
    <w:rsid w:val="00F13DFF"/>
    <w:rsid w:val="00F13E14"/>
    <w:rsid w:val="00F13E52"/>
    <w:rsid w:val="00F14043"/>
    <w:rsid w:val="00F14080"/>
    <w:rsid w:val="00F140A4"/>
    <w:rsid w:val="00F14142"/>
    <w:rsid w:val="00F14233"/>
    <w:rsid w:val="00F142CB"/>
    <w:rsid w:val="00F1441D"/>
    <w:rsid w:val="00F1449E"/>
    <w:rsid w:val="00F1455A"/>
    <w:rsid w:val="00F1456A"/>
    <w:rsid w:val="00F145E6"/>
    <w:rsid w:val="00F1475B"/>
    <w:rsid w:val="00F148CE"/>
    <w:rsid w:val="00F14958"/>
    <w:rsid w:val="00F14998"/>
    <w:rsid w:val="00F149AF"/>
    <w:rsid w:val="00F149FB"/>
    <w:rsid w:val="00F14AF9"/>
    <w:rsid w:val="00F14B3E"/>
    <w:rsid w:val="00F14BAA"/>
    <w:rsid w:val="00F14CED"/>
    <w:rsid w:val="00F14DC4"/>
    <w:rsid w:val="00F14E7F"/>
    <w:rsid w:val="00F14FE3"/>
    <w:rsid w:val="00F15015"/>
    <w:rsid w:val="00F15185"/>
    <w:rsid w:val="00F151EE"/>
    <w:rsid w:val="00F152A9"/>
    <w:rsid w:val="00F152DD"/>
    <w:rsid w:val="00F153F6"/>
    <w:rsid w:val="00F15459"/>
    <w:rsid w:val="00F1549B"/>
    <w:rsid w:val="00F155BC"/>
    <w:rsid w:val="00F15614"/>
    <w:rsid w:val="00F156EC"/>
    <w:rsid w:val="00F15746"/>
    <w:rsid w:val="00F15792"/>
    <w:rsid w:val="00F157DB"/>
    <w:rsid w:val="00F157DC"/>
    <w:rsid w:val="00F1589A"/>
    <w:rsid w:val="00F159CB"/>
    <w:rsid w:val="00F15A0E"/>
    <w:rsid w:val="00F15B05"/>
    <w:rsid w:val="00F15BC3"/>
    <w:rsid w:val="00F15BD9"/>
    <w:rsid w:val="00F15C1C"/>
    <w:rsid w:val="00F15CFD"/>
    <w:rsid w:val="00F15D13"/>
    <w:rsid w:val="00F15D1C"/>
    <w:rsid w:val="00F15D6D"/>
    <w:rsid w:val="00F15DB5"/>
    <w:rsid w:val="00F15DE8"/>
    <w:rsid w:val="00F15E00"/>
    <w:rsid w:val="00F15E40"/>
    <w:rsid w:val="00F15E42"/>
    <w:rsid w:val="00F15F0A"/>
    <w:rsid w:val="00F15F2A"/>
    <w:rsid w:val="00F15F43"/>
    <w:rsid w:val="00F15FFF"/>
    <w:rsid w:val="00F16095"/>
    <w:rsid w:val="00F160B9"/>
    <w:rsid w:val="00F16118"/>
    <w:rsid w:val="00F16131"/>
    <w:rsid w:val="00F161DC"/>
    <w:rsid w:val="00F161E3"/>
    <w:rsid w:val="00F162C2"/>
    <w:rsid w:val="00F16319"/>
    <w:rsid w:val="00F1632C"/>
    <w:rsid w:val="00F16409"/>
    <w:rsid w:val="00F16494"/>
    <w:rsid w:val="00F16520"/>
    <w:rsid w:val="00F165AB"/>
    <w:rsid w:val="00F165BE"/>
    <w:rsid w:val="00F165C4"/>
    <w:rsid w:val="00F166BE"/>
    <w:rsid w:val="00F166CE"/>
    <w:rsid w:val="00F166D0"/>
    <w:rsid w:val="00F16706"/>
    <w:rsid w:val="00F16801"/>
    <w:rsid w:val="00F168B1"/>
    <w:rsid w:val="00F168E8"/>
    <w:rsid w:val="00F16A9B"/>
    <w:rsid w:val="00F16AAD"/>
    <w:rsid w:val="00F16B1D"/>
    <w:rsid w:val="00F16B57"/>
    <w:rsid w:val="00F16C56"/>
    <w:rsid w:val="00F16D7D"/>
    <w:rsid w:val="00F16D83"/>
    <w:rsid w:val="00F16E3A"/>
    <w:rsid w:val="00F16F3A"/>
    <w:rsid w:val="00F16F65"/>
    <w:rsid w:val="00F16F98"/>
    <w:rsid w:val="00F16FE1"/>
    <w:rsid w:val="00F16FE3"/>
    <w:rsid w:val="00F17041"/>
    <w:rsid w:val="00F170CA"/>
    <w:rsid w:val="00F170E2"/>
    <w:rsid w:val="00F17113"/>
    <w:rsid w:val="00F1712B"/>
    <w:rsid w:val="00F171F2"/>
    <w:rsid w:val="00F1721B"/>
    <w:rsid w:val="00F17262"/>
    <w:rsid w:val="00F17490"/>
    <w:rsid w:val="00F174D7"/>
    <w:rsid w:val="00F17629"/>
    <w:rsid w:val="00F176A5"/>
    <w:rsid w:val="00F176CF"/>
    <w:rsid w:val="00F1771F"/>
    <w:rsid w:val="00F177B1"/>
    <w:rsid w:val="00F177BB"/>
    <w:rsid w:val="00F177BC"/>
    <w:rsid w:val="00F177D9"/>
    <w:rsid w:val="00F1794A"/>
    <w:rsid w:val="00F1794D"/>
    <w:rsid w:val="00F179B4"/>
    <w:rsid w:val="00F17ADF"/>
    <w:rsid w:val="00F17BB8"/>
    <w:rsid w:val="00F17C88"/>
    <w:rsid w:val="00F17C89"/>
    <w:rsid w:val="00F17D07"/>
    <w:rsid w:val="00F17D11"/>
    <w:rsid w:val="00F17E13"/>
    <w:rsid w:val="00F17E5A"/>
    <w:rsid w:val="00F17F30"/>
    <w:rsid w:val="00F17F77"/>
    <w:rsid w:val="00F17FA7"/>
    <w:rsid w:val="00F17FC8"/>
    <w:rsid w:val="00F17FE9"/>
    <w:rsid w:val="00F20088"/>
    <w:rsid w:val="00F200F9"/>
    <w:rsid w:val="00F20168"/>
    <w:rsid w:val="00F20221"/>
    <w:rsid w:val="00F2023C"/>
    <w:rsid w:val="00F2024D"/>
    <w:rsid w:val="00F20276"/>
    <w:rsid w:val="00F20388"/>
    <w:rsid w:val="00F203A4"/>
    <w:rsid w:val="00F204B9"/>
    <w:rsid w:val="00F20569"/>
    <w:rsid w:val="00F205A3"/>
    <w:rsid w:val="00F20615"/>
    <w:rsid w:val="00F20680"/>
    <w:rsid w:val="00F206A2"/>
    <w:rsid w:val="00F20703"/>
    <w:rsid w:val="00F207A2"/>
    <w:rsid w:val="00F2081F"/>
    <w:rsid w:val="00F20836"/>
    <w:rsid w:val="00F2084C"/>
    <w:rsid w:val="00F2085A"/>
    <w:rsid w:val="00F208B0"/>
    <w:rsid w:val="00F209D3"/>
    <w:rsid w:val="00F209E2"/>
    <w:rsid w:val="00F20A52"/>
    <w:rsid w:val="00F20A99"/>
    <w:rsid w:val="00F20CA2"/>
    <w:rsid w:val="00F20D66"/>
    <w:rsid w:val="00F20D9D"/>
    <w:rsid w:val="00F20E55"/>
    <w:rsid w:val="00F20EE9"/>
    <w:rsid w:val="00F20F5F"/>
    <w:rsid w:val="00F20F8A"/>
    <w:rsid w:val="00F20FD0"/>
    <w:rsid w:val="00F20FDB"/>
    <w:rsid w:val="00F21027"/>
    <w:rsid w:val="00F21091"/>
    <w:rsid w:val="00F210B7"/>
    <w:rsid w:val="00F211B2"/>
    <w:rsid w:val="00F211BC"/>
    <w:rsid w:val="00F211E0"/>
    <w:rsid w:val="00F2130F"/>
    <w:rsid w:val="00F21342"/>
    <w:rsid w:val="00F213FF"/>
    <w:rsid w:val="00F214DE"/>
    <w:rsid w:val="00F214FD"/>
    <w:rsid w:val="00F21599"/>
    <w:rsid w:val="00F21614"/>
    <w:rsid w:val="00F216DC"/>
    <w:rsid w:val="00F217B6"/>
    <w:rsid w:val="00F218CB"/>
    <w:rsid w:val="00F21954"/>
    <w:rsid w:val="00F21956"/>
    <w:rsid w:val="00F21967"/>
    <w:rsid w:val="00F219E9"/>
    <w:rsid w:val="00F21A28"/>
    <w:rsid w:val="00F21A73"/>
    <w:rsid w:val="00F21A74"/>
    <w:rsid w:val="00F21A7F"/>
    <w:rsid w:val="00F21C20"/>
    <w:rsid w:val="00F21CC5"/>
    <w:rsid w:val="00F21D20"/>
    <w:rsid w:val="00F21D55"/>
    <w:rsid w:val="00F21D85"/>
    <w:rsid w:val="00F21D8A"/>
    <w:rsid w:val="00F21DA6"/>
    <w:rsid w:val="00F21ECD"/>
    <w:rsid w:val="00F21F9B"/>
    <w:rsid w:val="00F21FC7"/>
    <w:rsid w:val="00F22001"/>
    <w:rsid w:val="00F22024"/>
    <w:rsid w:val="00F22089"/>
    <w:rsid w:val="00F2209F"/>
    <w:rsid w:val="00F220C3"/>
    <w:rsid w:val="00F22111"/>
    <w:rsid w:val="00F2214C"/>
    <w:rsid w:val="00F22159"/>
    <w:rsid w:val="00F2216C"/>
    <w:rsid w:val="00F22228"/>
    <w:rsid w:val="00F2239D"/>
    <w:rsid w:val="00F22435"/>
    <w:rsid w:val="00F22481"/>
    <w:rsid w:val="00F22529"/>
    <w:rsid w:val="00F22626"/>
    <w:rsid w:val="00F2286D"/>
    <w:rsid w:val="00F22905"/>
    <w:rsid w:val="00F229B9"/>
    <w:rsid w:val="00F22A00"/>
    <w:rsid w:val="00F22A8F"/>
    <w:rsid w:val="00F22AC4"/>
    <w:rsid w:val="00F22AF0"/>
    <w:rsid w:val="00F22B21"/>
    <w:rsid w:val="00F22BE6"/>
    <w:rsid w:val="00F22BF7"/>
    <w:rsid w:val="00F22C5E"/>
    <w:rsid w:val="00F22D3F"/>
    <w:rsid w:val="00F22DDA"/>
    <w:rsid w:val="00F22DE1"/>
    <w:rsid w:val="00F22DF5"/>
    <w:rsid w:val="00F22E12"/>
    <w:rsid w:val="00F22EEA"/>
    <w:rsid w:val="00F22EFA"/>
    <w:rsid w:val="00F22F75"/>
    <w:rsid w:val="00F22F7E"/>
    <w:rsid w:val="00F22F85"/>
    <w:rsid w:val="00F22FA2"/>
    <w:rsid w:val="00F22FD5"/>
    <w:rsid w:val="00F22FEE"/>
    <w:rsid w:val="00F2300A"/>
    <w:rsid w:val="00F23017"/>
    <w:rsid w:val="00F230AD"/>
    <w:rsid w:val="00F23232"/>
    <w:rsid w:val="00F232AC"/>
    <w:rsid w:val="00F232F3"/>
    <w:rsid w:val="00F23392"/>
    <w:rsid w:val="00F235B3"/>
    <w:rsid w:val="00F235F6"/>
    <w:rsid w:val="00F23605"/>
    <w:rsid w:val="00F236A6"/>
    <w:rsid w:val="00F23721"/>
    <w:rsid w:val="00F2377F"/>
    <w:rsid w:val="00F23798"/>
    <w:rsid w:val="00F237CC"/>
    <w:rsid w:val="00F23897"/>
    <w:rsid w:val="00F238A8"/>
    <w:rsid w:val="00F239B3"/>
    <w:rsid w:val="00F23A10"/>
    <w:rsid w:val="00F23A35"/>
    <w:rsid w:val="00F23AE3"/>
    <w:rsid w:val="00F23B70"/>
    <w:rsid w:val="00F23C15"/>
    <w:rsid w:val="00F23C65"/>
    <w:rsid w:val="00F23D1A"/>
    <w:rsid w:val="00F23E04"/>
    <w:rsid w:val="00F23E3D"/>
    <w:rsid w:val="00F23E91"/>
    <w:rsid w:val="00F23EB4"/>
    <w:rsid w:val="00F23FE1"/>
    <w:rsid w:val="00F24004"/>
    <w:rsid w:val="00F2407A"/>
    <w:rsid w:val="00F240B5"/>
    <w:rsid w:val="00F2422B"/>
    <w:rsid w:val="00F2429A"/>
    <w:rsid w:val="00F24397"/>
    <w:rsid w:val="00F24410"/>
    <w:rsid w:val="00F2444A"/>
    <w:rsid w:val="00F2449C"/>
    <w:rsid w:val="00F244D7"/>
    <w:rsid w:val="00F24580"/>
    <w:rsid w:val="00F2462A"/>
    <w:rsid w:val="00F246B7"/>
    <w:rsid w:val="00F246C0"/>
    <w:rsid w:val="00F2474C"/>
    <w:rsid w:val="00F247AC"/>
    <w:rsid w:val="00F247D4"/>
    <w:rsid w:val="00F24823"/>
    <w:rsid w:val="00F24863"/>
    <w:rsid w:val="00F2487E"/>
    <w:rsid w:val="00F248E5"/>
    <w:rsid w:val="00F24990"/>
    <w:rsid w:val="00F24A9C"/>
    <w:rsid w:val="00F24B6C"/>
    <w:rsid w:val="00F24C04"/>
    <w:rsid w:val="00F24C07"/>
    <w:rsid w:val="00F24C0C"/>
    <w:rsid w:val="00F24C81"/>
    <w:rsid w:val="00F24CFD"/>
    <w:rsid w:val="00F24D1A"/>
    <w:rsid w:val="00F24D33"/>
    <w:rsid w:val="00F24D41"/>
    <w:rsid w:val="00F24DC2"/>
    <w:rsid w:val="00F24DD5"/>
    <w:rsid w:val="00F24E69"/>
    <w:rsid w:val="00F24FC6"/>
    <w:rsid w:val="00F25017"/>
    <w:rsid w:val="00F25066"/>
    <w:rsid w:val="00F2507A"/>
    <w:rsid w:val="00F25128"/>
    <w:rsid w:val="00F25129"/>
    <w:rsid w:val="00F253C2"/>
    <w:rsid w:val="00F2541A"/>
    <w:rsid w:val="00F25450"/>
    <w:rsid w:val="00F254A6"/>
    <w:rsid w:val="00F25530"/>
    <w:rsid w:val="00F25694"/>
    <w:rsid w:val="00F25734"/>
    <w:rsid w:val="00F2576F"/>
    <w:rsid w:val="00F257B5"/>
    <w:rsid w:val="00F257F3"/>
    <w:rsid w:val="00F257FC"/>
    <w:rsid w:val="00F2584C"/>
    <w:rsid w:val="00F259E7"/>
    <w:rsid w:val="00F25AAB"/>
    <w:rsid w:val="00F25B78"/>
    <w:rsid w:val="00F25BE3"/>
    <w:rsid w:val="00F25C31"/>
    <w:rsid w:val="00F25CE5"/>
    <w:rsid w:val="00F25E37"/>
    <w:rsid w:val="00F25EAC"/>
    <w:rsid w:val="00F25EDF"/>
    <w:rsid w:val="00F25EFF"/>
    <w:rsid w:val="00F25F38"/>
    <w:rsid w:val="00F25F6C"/>
    <w:rsid w:val="00F25FC2"/>
    <w:rsid w:val="00F26041"/>
    <w:rsid w:val="00F2615D"/>
    <w:rsid w:val="00F26173"/>
    <w:rsid w:val="00F261D8"/>
    <w:rsid w:val="00F261EA"/>
    <w:rsid w:val="00F263DD"/>
    <w:rsid w:val="00F26421"/>
    <w:rsid w:val="00F264EE"/>
    <w:rsid w:val="00F264FA"/>
    <w:rsid w:val="00F2650F"/>
    <w:rsid w:val="00F26541"/>
    <w:rsid w:val="00F26543"/>
    <w:rsid w:val="00F2657A"/>
    <w:rsid w:val="00F26697"/>
    <w:rsid w:val="00F26777"/>
    <w:rsid w:val="00F26792"/>
    <w:rsid w:val="00F2680A"/>
    <w:rsid w:val="00F2686A"/>
    <w:rsid w:val="00F268EC"/>
    <w:rsid w:val="00F2692D"/>
    <w:rsid w:val="00F26973"/>
    <w:rsid w:val="00F26A1D"/>
    <w:rsid w:val="00F26BD4"/>
    <w:rsid w:val="00F26CB8"/>
    <w:rsid w:val="00F26CC8"/>
    <w:rsid w:val="00F26D32"/>
    <w:rsid w:val="00F26DE8"/>
    <w:rsid w:val="00F26E19"/>
    <w:rsid w:val="00F26E92"/>
    <w:rsid w:val="00F26EA7"/>
    <w:rsid w:val="00F26EDE"/>
    <w:rsid w:val="00F27008"/>
    <w:rsid w:val="00F271AF"/>
    <w:rsid w:val="00F271D0"/>
    <w:rsid w:val="00F272A8"/>
    <w:rsid w:val="00F272B0"/>
    <w:rsid w:val="00F273B9"/>
    <w:rsid w:val="00F273D5"/>
    <w:rsid w:val="00F2741A"/>
    <w:rsid w:val="00F2746E"/>
    <w:rsid w:val="00F274FB"/>
    <w:rsid w:val="00F27526"/>
    <w:rsid w:val="00F2759A"/>
    <w:rsid w:val="00F275AD"/>
    <w:rsid w:val="00F275D6"/>
    <w:rsid w:val="00F276A3"/>
    <w:rsid w:val="00F2777C"/>
    <w:rsid w:val="00F277CD"/>
    <w:rsid w:val="00F2784F"/>
    <w:rsid w:val="00F278DB"/>
    <w:rsid w:val="00F2790F"/>
    <w:rsid w:val="00F27949"/>
    <w:rsid w:val="00F2798E"/>
    <w:rsid w:val="00F279E5"/>
    <w:rsid w:val="00F279F0"/>
    <w:rsid w:val="00F27A5F"/>
    <w:rsid w:val="00F27AC0"/>
    <w:rsid w:val="00F27AE0"/>
    <w:rsid w:val="00F27AEB"/>
    <w:rsid w:val="00F27B9C"/>
    <w:rsid w:val="00F27BA7"/>
    <w:rsid w:val="00F27BEF"/>
    <w:rsid w:val="00F27C08"/>
    <w:rsid w:val="00F27C14"/>
    <w:rsid w:val="00F27C4F"/>
    <w:rsid w:val="00F27D64"/>
    <w:rsid w:val="00F27E77"/>
    <w:rsid w:val="00F27EBC"/>
    <w:rsid w:val="00F27EFF"/>
    <w:rsid w:val="00F27F20"/>
    <w:rsid w:val="00F27FB4"/>
    <w:rsid w:val="00F3001A"/>
    <w:rsid w:val="00F30164"/>
    <w:rsid w:val="00F301AB"/>
    <w:rsid w:val="00F30248"/>
    <w:rsid w:val="00F302FA"/>
    <w:rsid w:val="00F304A4"/>
    <w:rsid w:val="00F305A9"/>
    <w:rsid w:val="00F305E8"/>
    <w:rsid w:val="00F3061F"/>
    <w:rsid w:val="00F30714"/>
    <w:rsid w:val="00F30757"/>
    <w:rsid w:val="00F307AD"/>
    <w:rsid w:val="00F3084E"/>
    <w:rsid w:val="00F30959"/>
    <w:rsid w:val="00F30A73"/>
    <w:rsid w:val="00F30A9D"/>
    <w:rsid w:val="00F30AF0"/>
    <w:rsid w:val="00F30B7E"/>
    <w:rsid w:val="00F30C84"/>
    <w:rsid w:val="00F30CBE"/>
    <w:rsid w:val="00F30CCA"/>
    <w:rsid w:val="00F30CDD"/>
    <w:rsid w:val="00F30DB7"/>
    <w:rsid w:val="00F30DE2"/>
    <w:rsid w:val="00F30E2C"/>
    <w:rsid w:val="00F30E9D"/>
    <w:rsid w:val="00F30F72"/>
    <w:rsid w:val="00F30FA7"/>
    <w:rsid w:val="00F30FCA"/>
    <w:rsid w:val="00F31215"/>
    <w:rsid w:val="00F3129D"/>
    <w:rsid w:val="00F312AD"/>
    <w:rsid w:val="00F314E4"/>
    <w:rsid w:val="00F31581"/>
    <w:rsid w:val="00F3158E"/>
    <w:rsid w:val="00F31600"/>
    <w:rsid w:val="00F3166E"/>
    <w:rsid w:val="00F316A1"/>
    <w:rsid w:val="00F316CD"/>
    <w:rsid w:val="00F316CE"/>
    <w:rsid w:val="00F3171A"/>
    <w:rsid w:val="00F3175A"/>
    <w:rsid w:val="00F317E6"/>
    <w:rsid w:val="00F31830"/>
    <w:rsid w:val="00F3183D"/>
    <w:rsid w:val="00F3183F"/>
    <w:rsid w:val="00F3186B"/>
    <w:rsid w:val="00F31893"/>
    <w:rsid w:val="00F31962"/>
    <w:rsid w:val="00F3196D"/>
    <w:rsid w:val="00F31B6A"/>
    <w:rsid w:val="00F31C08"/>
    <w:rsid w:val="00F31C33"/>
    <w:rsid w:val="00F31CF9"/>
    <w:rsid w:val="00F31D45"/>
    <w:rsid w:val="00F31D4B"/>
    <w:rsid w:val="00F31EAC"/>
    <w:rsid w:val="00F31F90"/>
    <w:rsid w:val="00F32123"/>
    <w:rsid w:val="00F322F1"/>
    <w:rsid w:val="00F32304"/>
    <w:rsid w:val="00F3231D"/>
    <w:rsid w:val="00F323E2"/>
    <w:rsid w:val="00F3244D"/>
    <w:rsid w:val="00F32538"/>
    <w:rsid w:val="00F32715"/>
    <w:rsid w:val="00F32720"/>
    <w:rsid w:val="00F327D1"/>
    <w:rsid w:val="00F328E4"/>
    <w:rsid w:val="00F329C4"/>
    <w:rsid w:val="00F329FA"/>
    <w:rsid w:val="00F329FC"/>
    <w:rsid w:val="00F32A6B"/>
    <w:rsid w:val="00F32A79"/>
    <w:rsid w:val="00F32CA7"/>
    <w:rsid w:val="00F32CF3"/>
    <w:rsid w:val="00F32D4C"/>
    <w:rsid w:val="00F32EFD"/>
    <w:rsid w:val="00F32F70"/>
    <w:rsid w:val="00F33033"/>
    <w:rsid w:val="00F33043"/>
    <w:rsid w:val="00F3307F"/>
    <w:rsid w:val="00F330DA"/>
    <w:rsid w:val="00F3315E"/>
    <w:rsid w:val="00F33177"/>
    <w:rsid w:val="00F331B1"/>
    <w:rsid w:val="00F3326A"/>
    <w:rsid w:val="00F33312"/>
    <w:rsid w:val="00F33564"/>
    <w:rsid w:val="00F335C1"/>
    <w:rsid w:val="00F335E0"/>
    <w:rsid w:val="00F33620"/>
    <w:rsid w:val="00F33633"/>
    <w:rsid w:val="00F33644"/>
    <w:rsid w:val="00F336DA"/>
    <w:rsid w:val="00F337A1"/>
    <w:rsid w:val="00F33836"/>
    <w:rsid w:val="00F33841"/>
    <w:rsid w:val="00F338D8"/>
    <w:rsid w:val="00F3393F"/>
    <w:rsid w:val="00F339BD"/>
    <w:rsid w:val="00F33A2E"/>
    <w:rsid w:val="00F33A8A"/>
    <w:rsid w:val="00F33BF4"/>
    <w:rsid w:val="00F33C76"/>
    <w:rsid w:val="00F33CCA"/>
    <w:rsid w:val="00F33D4E"/>
    <w:rsid w:val="00F33DB8"/>
    <w:rsid w:val="00F33DCA"/>
    <w:rsid w:val="00F33E0B"/>
    <w:rsid w:val="00F33F11"/>
    <w:rsid w:val="00F34204"/>
    <w:rsid w:val="00F34240"/>
    <w:rsid w:val="00F34306"/>
    <w:rsid w:val="00F34491"/>
    <w:rsid w:val="00F34501"/>
    <w:rsid w:val="00F34556"/>
    <w:rsid w:val="00F345B5"/>
    <w:rsid w:val="00F34636"/>
    <w:rsid w:val="00F34671"/>
    <w:rsid w:val="00F346A9"/>
    <w:rsid w:val="00F346B5"/>
    <w:rsid w:val="00F3476D"/>
    <w:rsid w:val="00F347B0"/>
    <w:rsid w:val="00F347F0"/>
    <w:rsid w:val="00F3487F"/>
    <w:rsid w:val="00F34A2D"/>
    <w:rsid w:val="00F34A9D"/>
    <w:rsid w:val="00F34AF3"/>
    <w:rsid w:val="00F34B28"/>
    <w:rsid w:val="00F34C05"/>
    <w:rsid w:val="00F34C3B"/>
    <w:rsid w:val="00F34D31"/>
    <w:rsid w:val="00F34D5D"/>
    <w:rsid w:val="00F34D91"/>
    <w:rsid w:val="00F34DDD"/>
    <w:rsid w:val="00F34E11"/>
    <w:rsid w:val="00F34E46"/>
    <w:rsid w:val="00F34E66"/>
    <w:rsid w:val="00F34F01"/>
    <w:rsid w:val="00F34F19"/>
    <w:rsid w:val="00F351EF"/>
    <w:rsid w:val="00F3529B"/>
    <w:rsid w:val="00F3529F"/>
    <w:rsid w:val="00F3547B"/>
    <w:rsid w:val="00F35594"/>
    <w:rsid w:val="00F356C4"/>
    <w:rsid w:val="00F3572C"/>
    <w:rsid w:val="00F357FE"/>
    <w:rsid w:val="00F35804"/>
    <w:rsid w:val="00F3581C"/>
    <w:rsid w:val="00F35887"/>
    <w:rsid w:val="00F359E1"/>
    <w:rsid w:val="00F35C06"/>
    <w:rsid w:val="00F35C7F"/>
    <w:rsid w:val="00F35CD8"/>
    <w:rsid w:val="00F35D8F"/>
    <w:rsid w:val="00F35E73"/>
    <w:rsid w:val="00F35E76"/>
    <w:rsid w:val="00F35EC2"/>
    <w:rsid w:val="00F35EDE"/>
    <w:rsid w:val="00F35F07"/>
    <w:rsid w:val="00F35F1E"/>
    <w:rsid w:val="00F35F94"/>
    <w:rsid w:val="00F36240"/>
    <w:rsid w:val="00F36276"/>
    <w:rsid w:val="00F364F2"/>
    <w:rsid w:val="00F3655D"/>
    <w:rsid w:val="00F36617"/>
    <w:rsid w:val="00F367C0"/>
    <w:rsid w:val="00F367DD"/>
    <w:rsid w:val="00F36859"/>
    <w:rsid w:val="00F3688C"/>
    <w:rsid w:val="00F368B1"/>
    <w:rsid w:val="00F36962"/>
    <w:rsid w:val="00F36978"/>
    <w:rsid w:val="00F36A00"/>
    <w:rsid w:val="00F36A35"/>
    <w:rsid w:val="00F36A6F"/>
    <w:rsid w:val="00F36A70"/>
    <w:rsid w:val="00F36B57"/>
    <w:rsid w:val="00F36B68"/>
    <w:rsid w:val="00F36B89"/>
    <w:rsid w:val="00F36BA7"/>
    <w:rsid w:val="00F36CE2"/>
    <w:rsid w:val="00F36D2C"/>
    <w:rsid w:val="00F36D94"/>
    <w:rsid w:val="00F36DDB"/>
    <w:rsid w:val="00F36F4A"/>
    <w:rsid w:val="00F36F5F"/>
    <w:rsid w:val="00F36F66"/>
    <w:rsid w:val="00F36F77"/>
    <w:rsid w:val="00F36FC0"/>
    <w:rsid w:val="00F3704A"/>
    <w:rsid w:val="00F3715A"/>
    <w:rsid w:val="00F3717B"/>
    <w:rsid w:val="00F37188"/>
    <w:rsid w:val="00F371A5"/>
    <w:rsid w:val="00F37216"/>
    <w:rsid w:val="00F3728C"/>
    <w:rsid w:val="00F372EB"/>
    <w:rsid w:val="00F374A5"/>
    <w:rsid w:val="00F374F6"/>
    <w:rsid w:val="00F37521"/>
    <w:rsid w:val="00F37570"/>
    <w:rsid w:val="00F375A4"/>
    <w:rsid w:val="00F37613"/>
    <w:rsid w:val="00F376B5"/>
    <w:rsid w:val="00F3776D"/>
    <w:rsid w:val="00F377AC"/>
    <w:rsid w:val="00F37935"/>
    <w:rsid w:val="00F3796B"/>
    <w:rsid w:val="00F379DF"/>
    <w:rsid w:val="00F37A79"/>
    <w:rsid w:val="00F37AE4"/>
    <w:rsid w:val="00F37B3F"/>
    <w:rsid w:val="00F37B7D"/>
    <w:rsid w:val="00F37B9D"/>
    <w:rsid w:val="00F37C15"/>
    <w:rsid w:val="00F37C2D"/>
    <w:rsid w:val="00F37CED"/>
    <w:rsid w:val="00F37DA9"/>
    <w:rsid w:val="00F37DE3"/>
    <w:rsid w:val="00F37DF2"/>
    <w:rsid w:val="00F37F16"/>
    <w:rsid w:val="00F37F7D"/>
    <w:rsid w:val="00F4000D"/>
    <w:rsid w:val="00F400C9"/>
    <w:rsid w:val="00F40149"/>
    <w:rsid w:val="00F40216"/>
    <w:rsid w:val="00F40248"/>
    <w:rsid w:val="00F40326"/>
    <w:rsid w:val="00F40340"/>
    <w:rsid w:val="00F4039B"/>
    <w:rsid w:val="00F4039F"/>
    <w:rsid w:val="00F40436"/>
    <w:rsid w:val="00F4046F"/>
    <w:rsid w:val="00F404BB"/>
    <w:rsid w:val="00F404DC"/>
    <w:rsid w:val="00F404FA"/>
    <w:rsid w:val="00F40500"/>
    <w:rsid w:val="00F40559"/>
    <w:rsid w:val="00F405C0"/>
    <w:rsid w:val="00F405C6"/>
    <w:rsid w:val="00F405F8"/>
    <w:rsid w:val="00F406C9"/>
    <w:rsid w:val="00F40734"/>
    <w:rsid w:val="00F40800"/>
    <w:rsid w:val="00F40861"/>
    <w:rsid w:val="00F4094C"/>
    <w:rsid w:val="00F40AC7"/>
    <w:rsid w:val="00F40C71"/>
    <w:rsid w:val="00F40C8A"/>
    <w:rsid w:val="00F40CCE"/>
    <w:rsid w:val="00F40CDE"/>
    <w:rsid w:val="00F40D52"/>
    <w:rsid w:val="00F40D82"/>
    <w:rsid w:val="00F40DB4"/>
    <w:rsid w:val="00F40DDD"/>
    <w:rsid w:val="00F40DF8"/>
    <w:rsid w:val="00F40E02"/>
    <w:rsid w:val="00F40E81"/>
    <w:rsid w:val="00F40EC6"/>
    <w:rsid w:val="00F40F9A"/>
    <w:rsid w:val="00F40F9E"/>
    <w:rsid w:val="00F40FA7"/>
    <w:rsid w:val="00F40FC4"/>
    <w:rsid w:val="00F40FE5"/>
    <w:rsid w:val="00F41017"/>
    <w:rsid w:val="00F41018"/>
    <w:rsid w:val="00F4109C"/>
    <w:rsid w:val="00F410B0"/>
    <w:rsid w:val="00F4127F"/>
    <w:rsid w:val="00F41293"/>
    <w:rsid w:val="00F412CE"/>
    <w:rsid w:val="00F414EB"/>
    <w:rsid w:val="00F414EC"/>
    <w:rsid w:val="00F41596"/>
    <w:rsid w:val="00F4165F"/>
    <w:rsid w:val="00F41821"/>
    <w:rsid w:val="00F4182F"/>
    <w:rsid w:val="00F418A6"/>
    <w:rsid w:val="00F418BD"/>
    <w:rsid w:val="00F418E8"/>
    <w:rsid w:val="00F41911"/>
    <w:rsid w:val="00F41919"/>
    <w:rsid w:val="00F419F2"/>
    <w:rsid w:val="00F41A87"/>
    <w:rsid w:val="00F41AAE"/>
    <w:rsid w:val="00F41BBE"/>
    <w:rsid w:val="00F41C01"/>
    <w:rsid w:val="00F41C63"/>
    <w:rsid w:val="00F41CD1"/>
    <w:rsid w:val="00F41CDD"/>
    <w:rsid w:val="00F41D2A"/>
    <w:rsid w:val="00F41D56"/>
    <w:rsid w:val="00F41DB0"/>
    <w:rsid w:val="00F41DE1"/>
    <w:rsid w:val="00F41F88"/>
    <w:rsid w:val="00F41FD0"/>
    <w:rsid w:val="00F41FD9"/>
    <w:rsid w:val="00F41FE6"/>
    <w:rsid w:val="00F4206A"/>
    <w:rsid w:val="00F4212F"/>
    <w:rsid w:val="00F421E4"/>
    <w:rsid w:val="00F42253"/>
    <w:rsid w:val="00F42365"/>
    <w:rsid w:val="00F423CE"/>
    <w:rsid w:val="00F4242A"/>
    <w:rsid w:val="00F425ED"/>
    <w:rsid w:val="00F4272B"/>
    <w:rsid w:val="00F42746"/>
    <w:rsid w:val="00F4281B"/>
    <w:rsid w:val="00F42877"/>
    <w:rsid w:val="00F4288F"/>
    <w:rsid w:val="00F428A5"/>
    <w:rsid w:val="00F4290B"/>
    <w:rsid w:val="00F42A00"/>
    <w:rsid w:val="00F42CF9"/>
    <w:rsid w:val="00F42F60"/>
    <w:rsid w:val="00F42F7F"/>
    <w:rsid w:val="00F43029"/>
    <w:rsid w:val="00F4308B"/>
    <w:rsid w:val="00F432AC"/>
    <w:rsid w:val="00F43340"/>
    <w:rsid w:val="00F43361"/>
    <w:rsid w:val="00F43367"/>
    <w:rsid w:val="00F43464"/>
    <w:rsid w:val="00F434E9"/>
    <w:rsid w:val="00F43506"/>
    <w:rsid w:val="00F43571"/>
    <w:rsid w:val="00F4357F"/>
    <w:rsid w:val="00F43671"/>
    <w:rsid w:val="00F436F2"/>
    <w:rsid w:val="00F43740"/>
    <w:rsid w:val="00F4384C"/>
    <w:rsid w:val="00F43874"/>
    <w:rsid w:val="00F438F6"/>
    <w:rsid w:val="00F4391A"/>
    <w:rsid w:val="00F43A45"/>
    <w:rsid w:val="00F43A5B"/>
    <w:rsid w:val="00F43AA7"/>
    <w:rsid w:val="00F43AC7"/>
    <w:rsid w:val="00F43B25"/>
    <w:rsid w:val="00F43B3B"/>
    <w:rsid w:val="00F43B96"/>
    <w:rsid w:val="00F43C03"/>
    <w:rsid w:val="00F43D75"/>
    <w:rsid w:val="00F43D89"/>
    <w:rsid w:val="00F43DB6"/>
    <w:rsid w:val="00F43E5D"/>
    <w:rsid w:val="00F43F69"/>
    <w:rsid w:val="00F43F7D"/>
    <w:rsid w:val="00F43F97"/>
    <w:rsid w:val="00F43FD5"/>
    <w:rsid w:val="00F44044"/>
    <w:rsid w:val="00F441C0"/>
    <w:rsid w:val="00F442A1"/>
    <w:rsid w:val="00F442FC"/>
    <w:rsid w:val="00F44360"/>
    <w:rsid w:val="00F44383"/>
    <w:rsid w:val="00F443E4"/>
    <w:rsid w:val="00F443F4"/>
    <w:rsid w:val="00F444BB"/>
    <w:rsid w:val="00F44502"/>
    <w:rsid w:val="00F44565"/>
    <w:rsid w:val="00F445E5"/>
    <w:rsid w:val="00F445F2"/>
    <w:rsid w:val="00F4461B"/>
    <w:rsid w:val="00F446EE"/>
    <w:rsid w:val="00F44765"/>
    <w:rsid w:val="00F4476D"/>
    <w:rsid w:val="00F4478B"/>
    <w:rsid w:val="00F4487D"/>
    <w:rsid w:val="00F44908"/>
    <w:rsid w:val="00F44989"/>
    <w:rsid w:val="00F44B82"/>
    <w:rsid w:val="00F44B9B"/>
    <w:rsid w:val="00F44C82"/>
    <w:rsid w:val="00F44EB6"/>
    <w:rsid w:val="00F44F83"/>
    <w:rsid w:val="00F44F9F"/>
    <w:rsid w:val="00F44FC9"/>
    <w:rsid w:val="00F44FE1"/>
    <w:rsid w:val="00F45127"/>
    <w:rsid w:val="00F451CC"/>
    <w:rsid w:val="00F4522B"/>
    <w:rsid w:val="00F45259"/>
    <w:rsid w:val="00F4552A"/>
    <w:rsid w:val="00F45540"/>
    <w:rsid w:val="00F45564"/>
    <w:rsid w:val="00F45578"/>
    <w:rsid w:val="00F45602"/>
    <w:rsid w:val="00F45621"/>
    <w:rsid w:val="00F45693"/>
    <w:rsid w:val="00F456C3"/>
    <w:rsid w:val="00F4578A"/>
    <w:rsid w:val="00F4597F"/>
    <w:rsid w:val="00F459BA"/>
    <w:rsid w:val="00F459DD"/>
    <w:rsid w:val="00F45A31"/>
    <w:rsid w:val="00F45A6D"/>
    <w:rsid w:val="00F45AB4"/>
    <w:rsid w:val="00F45ACE"/>
    <w:rsid w:val="00F45B26"/>
    <w:rsid w:val="00F45B6F"/>
    <w:rsid w:val="00F45B9F"/>
    <w:rsid w:val="00F45C0F"/>
    <w:rsid w:val="00F45D12"/>
    <w:rsid w:val="00F45D4A"/>
    <w:rsid w:val="00F45D4D"/>
    <w:rsid w:val="00F45D6F"/>
    <w:rsid w:val="00F45E12"/>
    <w:rsid w:val="00F45E8D"/>
    <w:rsid w:val="00F45E93"/>
    <w:rsid w:val="00F45E9D"/>
    <w:rsid w:val="00F45F36"/>
    <w:rsid w:val="00F45F38"/>
    <w:rsid w:val="00F45FFF"/>
    <w:rsid w:val="00F4602D"/>
    <w:rsid w:val="00F460AC"/>
    <w:rsid w:val="00F460FA"/>
    <w:rsid w:val="00F46109"/>
    <w:rsid w:val="00F4611D"/>
    <w:rsid w:val="00F4614E"/>
    <w:rsid w:val="00F46190"/>
    <w:rsid w:val="00F46194"/>
    <w:rsid w:val="00F4635C"/>
    <w:rsid w:val="00F46388"/>
    <w:rsid w:val="00F463FC"/>
    <w:rsid w:val="00F46441"/>
    <w:rsid w:val="00F46503"/>
    <w:rsid w:val="00F46564"/>
    <w:rsid w:val="00F4662C"/>
    <w:rsid w:val="00F466AD"/>
    <w:rsid w:val="00F46742"/>
    <w:rsid w:val="00F46780"/>
    <w:rsid w:val="00F4679D"/>
    <w:rsid w:val="00F46853"/>
    <w:rsid w:val="00F468C5"/>
    <w:rsid w:val="00F4690B"/>
    <w:rsid w:val="00F469E0"/>
    <w:rsid w:val="00F46A1A"/>
    <w:rsid w:val="00F46A58"/>
    <w:rsid w:val="00F46AB3"/>
    <w:rsid w:val="00F46B5B"/>
    <w:rsid w:val="00F46B89"/>
    <w:rsid w:val="00F46B9E"/>
    <w:rsid w:val="00F46C9B"/>
    <w:rsid w:val="00F46D41"/>
    <w:rsid w:val="00F46D92"/>
    <w:rsid w:val="00F46E7B"/>
    <w:rsid w:val="00F46F9D"/>
    <w:rsid w:val="00F46FB7"/>
    <w:rsid w:val="00F470B3"/>
    <w:rsid w:val="00F47106"/>
    <w:rsid w:val="00F47108"/>
    <w:rsid w:val="00F4716E"/>
    <w:rsid w:val="00F473D8"/>
    <w:rsid w:val="00F47463"/>
    <w:rsid w:val="00F474CC"/>
    <w:rsid w:val="00F474E3"/>
    <w:rsid w:val="00F47552"/>
    <w:rsid w:val="00F475C4"/>
    <w:rsid w:val="00F47725"/>
    <w:rsid w:val="00F477B0"/>
    <w:rsid w:val="00F477B3"/>
    <w:rsid w:val="00F478A6"/>
    <w:rsid w:val="00F47969"/>
    <w:rsid w:val="00F47A88"/>
    <w:rsid w:val="00F47AAC"/>
    <w:rsid w:val="00F47B1B"/>
    <w:rsid w:val="00F47CC1"/>
    <w:rsid w:val="00F47DC3"/>
    <w:rsid w:val="00F47DFA"/>
    <w:rsid w:val="00F47E29"/>
    <w:rsid w:val="00F47E74"/>
    <w:rsid w:val="00F47E95"/>
    <w:rsid w:val="00F47EB4"/>
    <w:rsid w:val="00F47F04"/>
    <w:rsid w:val="00F5000A"/>
    <w:rsid w:val="00F500A1"/>
    <w:rsid w:val="00F50115"/>
    <w:rsid w:val="00F5016E"/>
    <w:rsid w:val="00F5018A"/>
    <w:rsid w:val="00F5029B"/>
    <w:rsid w:val="00F50320"/>
    <w:rsid w:val="00F5040C"/>
    <w:rsid w:val="00F504BE"/>
    <w:rsid w:val="00F50607"/>
    <w:rsid w:val="00F5062A"/>
    <w:rsid w:val="00F506DA"/>
    <w:rsid w:val="00F5078E"/>
    <w:rsid w:val="00F50791"/>
    <w:rsid w:val="00F50932"/>
    <w:rsid w:val="00F5094F"/>
    <w:rsid w:val="00F509E0"/>
    <w:rsid w:val="00F50A08"/>
    <w:rsid w:val="00F50A39"/>
    <w:rsid w:val="00F50A87"/>
    <w:rsid w:val="00F50AB1"/>
    <w:rsid w:val="00F50AC0"/>
    <w:rsid w:val="00F50AED"/>
    <w:rsid w:val="00F50B66"/>
    <w:rsid w:val="00F50B76"/>
    <w:rsid w:val="00F50B86"/>
    <w:rsid w:val="00F50BB1"/>
    <w:rsid w:val="00F50BF6"/>
    <w:rsid w:val="00F50C00"/>
    <w:rsid w:val="00F50C65"/>
    <w:rsid w:val="00F50D0E"/>
    <w:rsid w:val="00F50D3B"/>
    <w:rsid w:val="00F50DBD"/>
    <w:rsid w:val="00F50EED"/>
    <w:rsid w:val="00F50F72"/>
    <w:rsid w:val="00F50F8F"/>
    <w:rsid w:val="00F5106F"/>
    <w:rsid w:val="00F510CF"/>
    <w:rsid w:val="00F51147"/>
    <w:rsid w:val="00F51399"/>
    <w:rsid w:val="00F514B8"/>
    <w:rsid w:val="00F514BA"/>
    <w:rsid w:val="00F514C2"/>
    <w:rsid w:val="00F514F9"/>
    <w:rsid w:val="00F5155E"/>
    <w:rsid w:val="00F5156B"/>
    <w:rsid w:val="00F5161A"/>
    <w:rsid w:val="00F51670"/>
    <w:rsid w:val="00F51741"/>
    <w:rsid w:val="00F518F7"/>
    <w:rsid w:val="00F51964"/>
    <w:rsid w:val="00F519D2"/>
    <w:rsid w:val="00F51A27"/>
    <w:rsid w:val="00F51A4E"/>
    <w:rsid w:val="00F51A70"/>
    <w:rsid w:val="00F51A74"/>
    <w:rsid w:val="00F51ADE"/>
    <w:rsid w:val="00F51B52"/>
    <w:rsid w:val="00F51B55"/>
    <w:rsid w:val="00F51BB8"/>
    <w:rsid w:val="00F51BB9"/>
    <w:rsid w:val="00F51BE1"/>
    <w:rsid w:val="00F51C3F"/>
    <w:rsid w:val="00F51CCE"/>
    <w:rsid w:val="00F51CF8"/>
    <w:rsid w:val="00F51D7F"/>
    <w:rsid w:val="00F51DD0"/>
    <w:rsid w:val="00F51E1B"/>
    <w:rsid w:val="00F51E67"/>
    <w:rsid w:val="00F51FA7"/>
    <w:rsid w:val="00F51FCB"/>
    <w:rsid w:val="00F5229A"/>
    <w:rsid w:val="00F522AD"/>
    <w:rsid w:val="00F522EE"/>
    <w:rsid w:val="00F522FD"/>
    <w:rsid w:val="00F52305"/>
    <w:rsid w:val="00F5238B"/>
    <w:rsid w:val="00F523D3"/>
    <w:rsid w:val="00F5254D"/>
    <w:rsid w:val="00F52615"/>
    <w:rsid w:val="00F5269A"/>
    <w:rsid w:val="00F526A2"/>
    <w:rsid w:val="00F526BF"/>
    <w:rsid w:val="00F527C5"/>
    <w:rsid w:val="00F527DC"/>
    <w:rsid w:val="00F52868"/>
    <w:rsid w:val="00F529C9"/>
    <w:rsid w:val="00F529E0"/>
    <w:rsid w:val="00F52A9A"/>
    <w:rsid w:val="00F52AEF"/>
    <w:rsid w:val="00F52BA5"/>
    <w:rsid w:val="00F52BEB"/>
    <w:rsid w:val="00F52C62"/>
    <w:rsid w:val="00F52C78"/>
    <w:rsid w:val="00F52C99"/>
    <w:rsid w:val="00F52CE6"/>
    <w:rsid w:val="00F52D2E"/>
    <w:rsid w:val="00F52D45"/>
    <w:rsid w:val="00F52DB3"/>
    <w:rsid w:val="00F52E34"/>
    <w:rsid w:val="00F52F4E"/>
    <w:rsid w:val="00F52F61"/>
    <w:rsid w:val="00F5306D"/>
    <w:rsid w:val="00F5308D"/>
    <w:rsid w:val="00F530AC"/>
    <w:rsid w:val="00F5311F"/>
    <w:rsid w:val="00F531CA"/>
    <w:rsid w:val="00F53209"/>
    <w:rsid w:val="00F53254"/>
    <w:rsid w:val="00F5325F"/>
    <w:rsid w:val="00F53345"/>
    <w:rsid w:val="00F53357"/>
    <w:rsid w:val="00F533E7"/>
    <w:rsid w:val="00F53561"/>
    <w:rsid w:val="00F535F3"/>
    <w:rsid w:val="00F53610"/>
    <w:rsid w:val="00F5363C"/>
    <w:rsid w:val="00F536A4"/>
    <w:rsid w:val="00F53729"/>
    <w:rsid w:val="00F537CE"/>
    <w:rsid w:val="00F537E5"/>
    <w:rsid w:val="00F537EB"/>
    <w:rsid w:val="00F5382B"/>
    <w:rsid w:val="00F53872"/>
    <w:rsid w:val="00F539F4"/>
    <w:rsid w:val="00F53A4E"/>
    <w:rsid w:val="00F53A56"/>
    <w:rsid w:val="00F53ACC"/>
    <w:rsid w:val="00F53B70"/>
    <w:rsid w:val="00F53BDF"/>
    <w:rsid w:val="00F53C6D"/>
    <w:rsid w:val="00F53C75"/>
    <w:rsid w:val="00F53D89"/>
    <w:rsid w:val="00F53DC6"/>
    <w:rsid w:val="00F53E76"/>
    <w:rsid w:val="00F53E84"/>
    <w:rsid w:val="00F53FA8"/>
    <w:rsid w:val="00F5401F"/>
    <w:rsid w:val="00F54075"/>
    <w:rsid w:val="00F54091"/>
    <w:rsid w:val="00F540F0"/>
    <w:rsid w:val="00F54117"/>
    <w:rsid w:val="00F54153"/>
    <w:rsid w:val="00F54184"/>
    <w:rsid w:val="00F541B9"/>
    <w:rsid w:val="00F541F0"/>
    <w:rsid w:val="00F5434B"/>
    <w:rsid w:val="00F543A4"/>
    <w:rsid w:val="00F54403"/>
    <w:rsid w:val="00F544AC"/>
    <w:rsid w:val="00F544B7"/>
    <w:rsid w:val="00F544DE"/>
    <w:rsid w:val="00F54503"/>
    <w:rsid w:val="00F5450B"/>
    <w:rsid w:val="00F545A9"/>
    <w:rsid w:val="00F5463B"/>
    <w:rsid w:val="00F54676"/>
    <w:rsid w:val="00F5485A"/>
    <w:rsid w:val="00F5490F"/>
    <w:rsid w:val="00F54955"/>
    <w:rsid w:val="00F549DA"/>
    <w:rsid w:val="00F54A27"/>
    <w:rsid w:val="00F54A62"/>
    <w:rsid w:val="00F54C72"/>
    <w:rsid w:val="00F54E92"/>
    <w:rsid w:val="00F54ED2"/>
    <w:rsid w:val="00F54F1B"/>
    <w:rsid w:val="00F54F3B"/>
    <w:rsid w:val="00F55020"/>
    <w:rsid w:val="00F551FC"/>
    <w:rsid w:val="00F55274"/>
    <w:rsid w:val="00F55319"/>
    <w:rsid w:val="00F553A9"/>
    <w:rsid w:val="00F553AF"/>
    <w:rsid w:val="00F553E5"/>
    <w:rsid w:val="00F55536"/>
    <w:rsid w:val="00F555C3"/>
    <w:rsid w:val="00F55607"/>
    <w:rsid w:val="00F5569A"/>
    <w:rsid w:val="00F556E9"/>
    <w:rsid w:val="00F55787"/>
    <w:rsid w:val="00F557D0"/>
    <w:rsid w:val="00F55854"/>
    <w:rsid w:val="00F55856"/>
    <w:rsid w:val="00F55905"/>
    <w:rsid w:val="00F55A21"/>
    <w:rsid w:val="00F55B93"/>
    <w:rsid w:val="00F55B97"/>
    <w:rsid w:val="00F55C34"/>
    <w:rsid w:val="00F55C3B"/>
    <w:rsid w:val="00F55DCD"/>
    <w:rsid w:val="00F55E21"/>
    <w:rsid w:val="00F55E3E"/>
    <w:rsid w:val="00F55EE4"/>
    <w:rsid w:val="00F55F2B"/>
    <w:rsid w:val="00F55F5B"/>
    <w:rsid w:val="00F55FA0"/>
    <w:rsid w:val="00F5607B"/>
    <w:rsid w:val="00F56142"/>
    <w:rsid w:val="00F5623B"/>
    <w:rsid w:val="00F56358"/>
    <w:rsid w:val="00F563BF"/>
    <w:rsid w:val="00F56419"/>
    <w:rsid w:val="00F564D7"/>
    <w:rsid w:val="00F564F3"/>
    <w:rsid w:val="00F56625"/>
    <w:rsid w:val="00F56638"/>
    <w:rsid w:val="00F5663F"/>
    <w:rsid w:val="00F566D0"/>
    <w:rsid w:val="00F56726"/>
    <w:rsid w:val="00F5674B"/>
    <w:rsid w:val="00F56887"/>
    <w:rsid w:val="00F5694E"/>
    <w:rsid w:val="00F5698C"/>
    <w:rsid w:val="00F56A0C"/>
    <w:rsid w:val="00F56A10"/>
    <w:rsid w:val="00F56A3E"/>
    <w:rsid w:val="00F56AE5"/>
    <w:rsid w:val="00F56B07"/>
    <w:rsid w:val="00F56BE2"/>
    <w:rsid w:val="00F56C30"/>
    <w:rsid w:val="00F56C4D"/>
    <w:rsid w:val="00F56C64"/>
    <w:rsid w:val="00F56E10"/>
    <w:rsid w:val="00F56EC1"/>
    <w:rsid w:val="00F56F72"/>
    <w:rsid w:val="00F56F8C"/>
    <w:rsid w:val="00F5703F"/>
    <w:rsid w:val="00F57058"/>
    <w:rsid w:val="00F570DE"/>
    <w:rsid w:val="00F57155"/>
    <w:rsid w:val="00F57177"/>
    <w:rsid w:val="00F5728F"/>
    <w:rsid w:val="00F572B9"/>
    <w:rsid w:val="00F572C5"/>
    <w:rsid w:val="00F573CC"/>
    <w:rsid w:val="00F573D6"/>
    <w:rsid w:val="00F573F8"/>
    <w:rsid w:val="00F5757D"/>
    <w:rsid w:val="00F575C8"/>
    <w:rsid w:val="00F57697"/>
    <w:rsid w:val="00F5773A"/>
    <w:rsid w:val="00F57798"/>
    <w:rsid w:val="00F57801"/>
    <w:rsid w:val="00F57829"/>
    <w:rsid w:val="00F57831"/>
    <w:rsid w:val="00F578BD"/>
    <w:rsid w:val="00F579EF"/>
    <w:rsid w:val="00F57A59"/>
    <w:rsid w:val="00F57AB5"/>
    <w:rsid w:val="00F57B32"/>
    <w:rsid w:val="00F57BAD"/>
    <w:rsid w:val="00F57BED"/>
    <w:rsid w:val="00F57CCE"/>
    <w:rsid w:val="00F57CDF"/>
    <w:rsid w:val="00F57D5C"/>
    <w:rsid w:val="00F57E4A"/>
    <w:rsid w:val="00F57F36"/>
    <w:rsid w:val="00F60001"/>
    <w:rsid w:val="00F60139"/>
    <w:rsid w:val="00F60198"/>
    <w:rsid w:val="00F601EE"/>
    <w:rsid w:val="00F60327"/>
    <w:rsid w:val="00F6038B"/>
    <w:rsid w:val="00F6048D"/>
    <w:rsid w:val="00F604C7"/>
    <w:rsid w:val="00F60530"/>
    <w:rsid w:val="00F60599"/>
    <w:rsid w:val="00F60606"/>
    <w:rsid w:val="00F60653"/>
    <w:rsid w:val="00F606FD"/>
    <w:rsid w:val="00F607CD"/>
    <w:rsid w:val="00F60861"/>
    <w:rsid w:val="00F60955"/>
    <w:rsid w:val="00F60A51"/>
    <w:rsid w:val="00F60ADD"/>
    <w:rsid w:val="00F60B36"/>
    <w:rsid w:val="00F60BA3"/>
    <w:rsid w:val="00F60BA5"/>
    <w:rsid w:val="00F60C1D"/>
    <w:rsid w:val="00F60C82"/>
    <w:rsid w:val="00F60C8D"/>
    <w:rsid w:val="00F60DB8"/>
    <w:rsid w:val="00F60DDB"/>
    <w:rsid w:val="00F60E50"/>
    <w:rsid w:val="00F60F42"/>
    <w:rsid w:val="00F611A0"/>
    <w:rsid w:val="00F611FE"/>
    <w:rsid w:val="00F61238"/>
    <w:rsid w:val="00F61261"/>
    <w:rsid w:val="00F61354"/>
    <w:rsid w:val="00F613BF"/>
    <w:rsid w:val="00F61431"/>
    <w:rsid w:val="00F6144B"/>
    <w:rsid w:val="00F61470"/>
    <w:rsid w:val="00F614FB"/>
    <w:rsid w:val="00F61536"/>
    <w:rsid w:val="00F6153E"/>
    <w:rsid w:val="00F6155D"/>
    <w:rsid w:val="00F6156A"/>
    <w:rsid w:val="00F61641"/>
    <w:rsid w:val="00F61746"/>
    <w:rsid w:val="00F61769"/>
    <w:rsid w:val="00F617E9"/>
    <w:rsid w:val="00F617F7"/>
    <w:rsid w:val="00F61825"/>
    <w:rsid w:val="00F618FC"/>
    <w:rsid w:val="00F61912"/>
    <w:rsid w:val="00F619B7"/>
    <w:rsid w:val="00F619C1"/>
    <w:rsid w:val="00F619D9"/>
    <w:rsid w:val="00F619EB"/>
    <w:rsid w:val="00F61A49"/>
    <w:rsid w:val="00F61AA1"/>
    <w:rsid w:val="00F61AD4"/>
    <w:rsid w:val="00F61B4D"/>
    <w:rsid w:val="00F61C38"/>
    <w:rsid w:val="00F61CBF"/>
    <w:rsid w:val="00F61DDD"/>
    <w:rsid w:val="00F61E09"/>
    <w:rsid w:val="00F61E2A"/>
    <w:rsid w:val="00F61EC4"/>
    <w:rsid w:val="00F61F25"/>
    <w:rsid w:val="00F61FB6"/>
    <w:rsid w:val="00F62023"/>
    <w:rsid w:val="00F620A6"/>
    <w:rsid w:val="00F621AC"/>
    <w:rsid w:val="00F6220F"/>
    <w:rsid w:val="00F62210"/>
    <w:rsid w:val="00F62280"/>
    <w:rsid w:val="00F62386"/>
    <w:rsid w:val="00F62388"/>
    <w:rsid w:val="00F62413"/>
    <w:rsid w:val="00F6244E"/>
    <w:rsid w:val="00F62450"/>
    <w:rsid w:val="00F62492"/>
    <w:rsid w:val="00F624E7"/>
    <w:rsid w:val="00F6261E"/>
    <w:rsid w:val="00F626C9"/>
    <w:rsid w:val="00F626D3"/>
    <w:rsid w:val="00F626E8"/>
    <w:rsid w:val="00F6273E"/>
    <w:rsid w:val="00F6277D"/>
    <w:rsid w:val="00F628DC"/>
    <w:rsid w:val="00F6293F"/>
    <w:rsid w:val="00F62A4F"/>
    <w:rsid w:val="00F62AC2"/>
    <w:rsid w:val="00F62ADB"/>
    <w:rsid w:val="00F62B16"/>
    <w:rsid w:val="00F62C13"/>
    <w:rsid w:val="00F62CF7"/>
    <w:rsid w:val="00F62D15"/>
    <w:rsid w:val="00F62D2B"/>
    <w:rsid w:val="00F62D84"/>
    <w:rsid w:val="00F62D88"/>
    <w:rsid w:val="00F62E1A"/>
    <w:rsid w:val="00F62F6A"/>
    <w:rsid w:val="00F62F9F"/>
    <w:rsid w:val="00F6303B"/>
    <w:rsid w:val="00F63048"/>
    <w:rsid w:val="00F63066"/>
    <w:rsid w:val="00F6307E"/>
    <w:rsid w:val="00F6317D"/>
    <w:rsid w:val="00F631E7"/>
    <w:rsid w:val="00F631FF"/>
    <w:rsid w:val="00F63239"/>
    <w:rsid w:val="00F632B3"/>
    <w:rsid w:val="00F632F2"/>
    <w:rsid w:val="00F63332"/>
    <w:rsid w:val="00F633DD"/>
    <w:rsid w:val="00F63402"/>
    <w:rsid w:val="00F6343E"/>
    <w:rsid w:val="00F63478"/>
    <w:rsid w:val="00F63494"/>
    <w:rsid w:val="00F634BD"/>
    <w:rsid w:val="00F6358E"/>
    <w:rsid w:val="00F63688"/>
    <w:rsid w:val="00F63786"/>
    <w:rsid w:val="00F637B7"/>
    <w:rsid w:val="00F637F3"/>
    <w:rsid w:val="00F63825"/>
    <w:rsid w:val="00F6386D"/>
    <w:rsid w:val="00F638FE"/>
    <w:rsid w:val="00F63923"/>
    <w:rsid w:val="00F63977"/>
    <w:rsid w:val="00F63AEE"/>
    <w:rsid w:val="00F63B2A"/>
    <w:rsid w:val="00F63B40"/>
    <w:rsid w:val="00F63CB3"/>
    <w:rsid w:val="00F63CEA"/>
    <w:rsid w:val="00F63CF0"/>
    <w:rsid w:val="00F63D57"/>
    <w:rsid w:val="00F63DAF"/>
    <w:rsid w:val="00F63DDC"/>
    <w:rsid w:val="00F63DF3"/>
    <w:rsid w:val="00F63FD9"/>
    <w:rsid w:val="00F64014"/>
    <w:rsid w:val="00F6402E"/>
    <w:rsid w:val="00F642B4"/>
    <w:rsid w:val="00F64317"/>
    <w:rsid w:val="00F643DF"/>
    <w:rsid w:val="00F64530"/>
    <w:rsid w:val="00F64579"/>
    <w:rsid w:val="00F6466B"/>
    <w:rsid w:val="00F64838"/>
    <w:rsid w:val="00F64843"/>
    <w:rsid w:val="00F6488A"/>
    <w:rsid w:val="00F648C2"/>
    <w:rsid w:val="00F64944"/>
    <w:rsid w:val="00F64AF6"/>
    <w:rsid w:val="00F64AFA"/>
    <w:rsid w:val="00F64B31"/>
    <w:rsid w:val="00F64BAB"/>
    <w:rsid w:val="00F64C27"/>
    <w:rsid w:val="00F64C3D"/>
    <w:rsid w:val="00F64CBD"/>
    <w:rsid w:val="00F64D37"/>
    <w:rsid w:val="00F64DEB"/>
    <w:rsid w:val="00F64EA7"/>
    <w:rsid w:val="00F64EEF"/>
    <w:rsid w:val="00F64FE7"/>
    <w:rsid w:val="00F650F7"/>
    <w:rsid w:val="00F65195"/>
    <w:rsid w:val="00F65198"/>
    <w:rsid w:val="00F65255"/>
    <w:rsid w:val="00F652BF"/>
    <w:rsid w:val="00F65346"/>
    <w:rsid w:val="00F6538F"/>
    <w:rsid w:val="00F6541C"/>
    <w:rsid w:val="00F65449"/>
    <w:rsid w:val="00F65462"/>
    <w:rsid w:val="00F65491"/>
    <w:rsid w:val="00F6559B"/>
    <w:rsid w:val="00F65704"/>
    <w:rsid w:val="00F65734"/>
    <w:rsid w:val="00F65758"/>
    <w:rsid w:val="00F657BE"/>
    <w:rsid w:val="00F65881"/>
    <w:rsid w:val="00F658BF"/>
    <w:rsid w:val="00F6598E"/>
    <w:rsid w:val="00F659C0"/>
    <w:rsid w:val="00F659E2"/>
    <w:rsid w:val="00F65A1E"/>
    <w:rsid w:val="00F65A4F"/>
    <w:rsid w:val="00F65A6E"/>
    <w:rsid w:val="00F65AC3"/>
    <w:rsid w:val="00F65AF8"/>
    <w:rsid w:val="00F65B07"/>
    <w:rsid w:val="00F65B37"/>
    <w:rsid w:val="00F65C95"/>
    <w:rsid w:val="00F65D29"/>
    <w:rsid w:val="00F65E27"/>
    <w:rsid w:val="00F65EAB"/>
    <w:rsid w:val="00F65F4A"/>
    <w:rsid w:val="00F66005"/>
    <w:rsid w:val="00F661B5"/>
    <w:rsid w:val="00F661F7"/>
    <w:rsid w:val="00F6629C"/>
    <w:rsid w:val="00F662D7"/>
    <w:rsid w:val="00F66338"/>
    <w:rsid w:val="00F6633F"/>
    <w:rsid w:val="00F6636D"/>
    <w:rsid w:val="00F6639B"/>
    <w:rsid w:val="00F66424"/>
    <w:rsid w:val="00F6644C"/>
    <w:rsid w:val="00F6651B"/>
    <w:rsid w:val="00F66557"/>
    <w:rsid w:val="00F6655A"/>
    <w:rsid w:val="00F66607"/>
    <w:rsid w:val="00F66641"/>
    <w:rsid w:val="00F66737"/>
    <w:rsid w:val="00F6675E"/>
    <w:rsid w:val="00F66771"/>
    <w:rsid w:val="00F6677F"/>
    <w:rsid w:val="00F667C6"/>
    <w:rsid w:val="00F66803"/>
    <w:rsid w:val="00F6685E"/>
    <w:rsid w:val="00F668A0"/>
    <w:rsid w:val="00F66913"/>
    <w:rsid w:val="00F66978"/>
    <w:rsid w:val="00F669CC"/>
    <w:rsid w:val="00F669CD"/>
    <w:rsid w:val="00F66A8F"/>
    <w:rsid w:val="00F66B09"/>
    <w:rsid w:val="00F66BA3"/>
    <w:rsid w:val="00F66C0C"/>
    <w:rsid w:val="00F66CF2"/>
    <w:rsid w:val="00F66D0B"/>
    <w:rsid w:val="00F66E18"/>
    <w:rsid w:val="00F66E86"/>
    <w:rsid w:val="00F67015"/>
    <w:rsid w:val="00F67032"/>
    <w:rsid w:val="00F670F2"/>
    <w:rsid w:val="00F67153"/>
    <w:rsid w:val="00F67231"/>
    <w:rsid w:val="00F6723A"/>
    <w:rsid w:val="00F6733C"/>
    <w:rsid w:val="00F67385"/>
    <w:rsid w:val="00F67399"/>
    <w:rsid w:val="00F673EB"/>
    <w:rsid w:val="00F674F1"/>
    <w:rsid w:val="00F6757E"/>
    <w:rsid w:val="00F67589"/>
    <w:rsid w:val="00F67593"/>
    <w:rsid w:val="00F676ED"/>
    <w:rsid w:val="00F676F7"/>
    <w:rsid w:val="00F6770E"/>
    <w:rsid w:val="00F6772F"/>
    <w:rsid w:val="00F677B0"/>
    <w:rsid w:val="00F677D3"/>
    <w:rsid w:val="00F677D8"/>
    <w:rsid w:val="00F67878"/>
    <w:rsid w:val="00F67890"/>
    <w:rsid w:val="00F678BC"/>
    <w:rsid w:val="00F67938"/>
    <w:rsid w:val="00F67989"/>
    <w:rsid w:val="00F67AE2"/>
    <w:rsid w:val="00F67B7B"/>
    <w:rsid w:val="00F67CA8"/>
    <w:rsid w:val="00F67D05"/>
    <w:rsid w:val="00F67DAA"/>
    <w:rsid w:val="00F67E2C"/>
    <w:rsid w:val="00F67E9E"/>
    <w:rsid w:val="00F67EEB"/>
    <w:rsid w:val="00F67F66"/>
    <w:rsid w:val="00F70053"/>
    <w:rsid w:val="00F70107"/>
    <w:rsid w:val="00F70114"/>
    <w:rsid w:val="00F701E3"/>
    <w:rsid w:val="00F70327"/>
    <w:rsid w:val="00F703F6"/>
    <w:rsid w:val="00F70548"/>
    <w:rsid w:val="00F706A8"/>
    <w:rsid w:val="00F7090D"/>
    <w:rsid w:val="00F7090F"/>
    <w:rsid w:val="00F70969"/>
    <w:rsid w:val="00F7097B"/>
    <w:rsid w:val="00F7097C"/>
    <w:rsid w:val="00F70AF9"/>
    <w:rsid w:val="00F70B8F"/>
    <w:rsid w:val="00F70C46"/>
    <w:rsid w:val="00F70CF5"/>
    <w:rsid w:val="00F70D14"/>
    <w:rsid w:val="00F70DEC"/>
    <w:rsid w:val="00F70E00"/>
    <w:rsid w:val="00F70E2C"/>
    <w:rsid w:val="00F70E88"/>
    <w:rsid w:val="00F70EF7"/>
    <w:rsid w:val="00F70FAF"/>
    <w:rsid w:val="00F71052"/>
    <w:rsid w:val="00F710E0"/>
    <w:rsid w:val="00F711A9"/>
    <w:rsid w:val="00F71228"/>
    <w:rsid w:val="00F7125A"/>
    <w:rsid w:val="00F712C1"/>
    <w:rsid w:val="00F712D8"/>
    <w:rsid w:val="00F71349"/>
    <w:rsid w:val="00F7135C"/>
    <w:rsid w:val="00F713A0"/>
    <w:rsid w:val="00F713BF"/>
    <w:rsid w:val="00F7140A"/>
    <w:rsid w:val="00F7150C"/>
    <w:rsid w:val="00F715F7"/>
    <w:rsid w:val="00F7169A"/>
    <w:rsid w:val="00F716A6"/>
    <w:rsid w:val="00F716DC"/>
    <w:rsid w:val="00F7170F"/>
    <w:rsid w:val="00F71769"/>
    <w:rsid w:val="00F717A7"/>
    <w:rsid w:val="00F7180D"/>
    <w:rsid w:val="00F71875"/>
    <w:rsid w:val="00F718CC"/>
    <w:rsid w:val="00F718D8"/>
    <w:rsid w:val="00F71929"/>
    <w:rsid w:val="00F71951"/>
    <w:rsid w:val="00F71986"/>
    <w:rsid w:val="00F71A39"/>
    <w:rsid w:val="00F71AA0"/>
    <w:rsid w:val="00F71B23"/>
    <w:rsid w:val="00F71C36"/>
    <w:rsid w:val="00F71D4A"/>
    <w:rsid w:val="00F71DA0"/>
    <w:rsid w:val="00F71E16"/>
    <w:rsid w:val="00F71E45"/>
    <w:rsid w:val="00F71F6D"/>
    <w:rsid w:val="00F71F6E"/>
    <w:rsid w:val="00F71FB1"/>
    <w:rsid w:val="00F71FDC"/>
    <w:rsid w:val="00F7204E"/>
    <w:rsid w:val="00F720F6"/>
    <w:rsid w:val="00F721F4"/>
    <w:rsid w:val="00F7224F"/>
    <w:rsid w:val="00F72250"/>
    <w:rsid w:val="00F7225D"/>
    <w:rsid w:val="00F72276"/>
    <w:rsid w:val="00F722A4"/>
    <w:rsid w:val="00F72355"/>
    <w:rsid w:val="00F723AB"/>
    <w:rsid w:val="00F724C9"/>
    <w:rsid w:val="00F7254B"/>
    <w:rsid w:val="00F7258D"/>
    <w:rsid w:val="00F7261C"/>
    <w:rsid w:val="00F726F6"/>
    <w:rsid w:val="00F727C8"/>
    <w:rsid w:val="00F728AC"/>
    <w:rsid w:val="00F728BB"/>
    <w:rsid w:val="00F728E5"/>
    <w:rsid w:val="00F72934"/>
    <w:rsid w:val="00F729B7"/>
    <w:rsid w:val="00F72AF1"/>
    <w:rsid w:val="00F72B1E"/>
    <w:rsid w:val="00F72BFA"/>
    <w:rsid w:val="00F72C37"/>
    <w:rsid w:val="00F72CCD"/>
    <w:rsid w:val="00F72E67"/>
    <w:rsid w:val="00F72EB9"/>
    <w:rsid w:val="00F72EC4"/>
    <w:rsid w:val="00F72ED6"/>
    <w:rsid w:val="00F72F33"/>
    <w:rsid w:val="00F72F53"/>
    <w:rsid w:val="00F72F54"/>
    <w:rsid w:val="00F72FC6"/>
    <w:rsid w:val="00F73099"/>
    <w:rsid w:val="00F7311C"/>
    <w:rsid w:val="00F73175"/>
    <w:rsid w:val="00F73194"/>
    <w:rsid w:val="00F7319B"/>
    <w:rsid w:val="00F731C0"/>
    <w:rsid w:val="00F73254"/>
    <w:rsid w:val="00F732AD"/>
    <w:rsid w:val="00F732EF"/>
    <w:rsid w:val="00F73308"/>
    <w:rsid w:val="00F73309"/>
    <w:rsid w:val="00F73329"/>
    <w:rsid w:val="00F73391"/>
    <w:rsid w:val="00F733A2"/>
    <w:rsid w:val="00F733E3"/>
    <w:rsid w:val="00F734BD"/>
    <w:rsid w:val="00F734E3"/>
    <w:rsid w:val="00F7357D"/>
    <w:rsid w:val="00F73703"/>
    <w:rsid w:val="00F73706"/>
    <w:rsid w:val="00F73760"/>
    <w:rsid w:val="00F737CC"/>
    <w:rsid w:val="00F737DB"/>
    <w:rsid w:val="00F73890"/>
    <w:rsid w:val="00F73907"/>
    <w:rsid w:val="00F7390F"/>
    <w:rsid w:val="00F739E2"/>
    <w:rsid w:val="00F73A82"/>
    <w:rsid w:val="00F73B7A"/>
    <w:rsid w:val="00F73B8E"/>
    <w:rsid w:val="00F73BCE"/>
    <w:rsid w:val="00F73DFA"/>
    <w:rsid w:val="00F73EBA"/>
    <w:rsid w:val="00F73ECD"/>
    <w:rsid w:val="00F73FD2"/>
    <w:rsid w:val="00F74050"/>
    <w:rsid w:val="00F740B5"/>
    <w:rsid w:val="00F740FD"/>
    <w:rsid w:val="00F741B8"/>
    <w:rsid w:val="00F741B9"/>
    <w:rsid w:val="00F741C2"/>
    <w:rsid w:val="00F74222"/>
    <w:rsid w:val="00F7422B"/>
    <w:rsid w:val="00F742B2"/>
    <w:rsid w:val="00F745B7"/>
    <w:rsid w:val="00F74617"/>
    <w:rsid w:val="00F74666"/>
    <w:rsid w:val="00F746D7"/>
    <w:rsid w:val="00F74726"/>
    <w:rsid w:val="00F74730"/>
    <w:rsid w:val="00F7476F"/>
    <w:rsid w:val="00F74871"/>
    <w:rsid w:val="00F74881"/>
    <w:rsid w:val="00F748FE"/>
    <w:rsid w:val="00F7496A"/>
    <w:rsid w:val="00F74A5A"/>
    <w:rsid w:val="00F74A83"/>
    <w:rsid w:val="00F74D85"/>
    <w:rsid w:val="00F74DAE"/>
    <w:rsid w:val="00F74DF3"/>
    <w:rsid w:val="00F74E39"/>
    <w:rsid w:val="00F74E85"/>
    <w:rsid w:val="00F74F00"/>
    <w:rsid w:val="00F74FB5"/>
    <w:rsid w:val="00F74FD0"/>
    <w:rsid w:val="00F75027"/>
    <w:rsid w:val="00F750CA"/>
    <w:rsid w:val="00F75180"/>
    <w:rsid w:val="00F75184"/>
    <w:rsid w:val="00F751FE"/>
    <w:rsid w:val="00F752A6"/>
    <w:rsid w:val="00F75308"/>
    <w:rsid w:val="00F7530D"/>
    <w:rsid w:val="00F75350"/>
    <w:rsid w:val="00F753FE"/>
    <w:rsid w:val="00F75402"/>
    <w:rsid w:val="00F75466"/>
    <w:rsid w:val="00F754D1"/>
    <w:rsid w:val="00F754D7"/>
    <w:rsid w:val="00F7565F"/>
    <w:rsid w:val="00F75676"/>
    <w:rsid w:val="00F75679"/>
    <w:rsid w:val="00F756AB"/>
    <w:rsid w:val="00F756C2"/>
    <w:rsid w:val="00F756ED"/>
    <w:rsid w:val="00F757D5"/>
    <w:rsid w:val="00F7586D"/>
    <w:rsid w:val="00F758D6"/>
    <w:rsid w:val="00F759A6"/>
    <w:rsid w:val="00F75AE8"/>
    <w:rsid w:val="00F75B44"/>
    <w:rsid w:val="00F75BE4"/>
    <w:rsid w:val="00F75C1F"/>
    <w:rsid w:val="00F75C9B"/>
    <w:rsid w:val="00F75CAE"/>
    <w:rsid w:val="00F75CE4"/>
    <w:rsid w:val="00F75DE6"/>
    <w:rsid w:val="00F75F55"/>
    <w:rsid w:val="00F75F57"/>
    <w:rsid w:val="00F75FED"/>
    <w:rsid w:val="00F76018"/>
    <w:rsid w:val="00F76049"/>
    <w:rsid w:val="00F760E6"/>
    <w:rsid w:val="00F76104"/>
    <w:rsid w:val="00F7613A"/>
    <w:rsid w:val="00F761A6"/>
    <w:rsid w:val="00F761A8"/>
    <w:rsid w:val="00F7620C"/>
    <w:rsid w:val="00F762D4"/>
    <w:rsid w:val="00F762DE"/>
    <w:rsid w:val="00F76313"/>
    <w:rsid w:val="00F7635E"/>
    <w:rsid w:val="00F7636E"/>
    <w:rsid w:val="00F76389"/>
    <w:rsid w:val="00F76393"/>
    <w:rsid w:val="00F763A6"/>
    <w:rsid w:val="00F764AE"/>
    <w:rsid w:val="00F76526"/>
    <w:rsid w:val="00F7665D"/>
    <w:rsid w:val="00F76681"/>
    <w:rsid w:val="00F76772"/>
    <w:rsid w:val="00F767BD"/>
    <w:rsid w:val="00F76948"/>
    <w:rsid w:val="00F769D7"/>
    <w:rsid w:val="00F769E7"/>
    <w:rsid w:val="00F76A0E"/>
    <w:rsid w:val="00F76A11"/>
    <w:rsid w:val="00F76B33"/>
    <w:rsid w:val="00F76B49"/>
    <w:rsid w:val="00F76B59"/>
    <w:rsid w:val="00F76C45"/>
    <w:rsid w:val="00F76C9D"/>
    <w:rsid w:val="00F76DE5"/>
    <w:rsid w:val="00F76EE0"/>
    <w:rsid w:val="00F76F20"/>
    <w:rsid w:val="00F76F76"/>
    <w:rsid w:val="00F76F98"/>
    <w:rsid w:val="00F76FC1"/>
    <w:rsid w:val="00F770A8"/>
    <w:rsid w:val="00F770AE"/>
    <w:rsid w:val="00F77154"/>
    <w:rsid w:val="00F771C8"/>
    <w:rsid w:val="00F77253"/>
    <w:rsid w:val="00F7727A"/>
    <w:rsid w:val="00F7729F"/>
    <w:rsid w:val="00F772BF"/>
    <w:rsid w:val="00F7734E"/>
    <w:rsid w:val="00F77350"/>
    <w:rsid w:val="00F77369"/>
    <w:rsid w:val="00F77373"/>
    <w:rsid w:val="00F77408"/>
    <w:rsid w:val="00F7747B"/>
    <w:rsid w:val="00F774C5"/>
    <w:rsid w:val="00F77524"/>
    <w:rsid w:val="00F775AA"/>
    <w:rsid w:val="00F77605"/>
    <w:rsid w:val="00F77638"/>
    <w:rsid w:val="00F776B9"/>
    <w:rsid w:val="00F77755"/>
    <w:rsid w:val="00F777FB"/>
    <w:rsid w:val="00F77872"/>
    <w:rsid w:val="00F77914"/>
    <w:rsid w:val="00F77A00"/>
    <w:rsid w:val="00F77AE0"/>
    <w:rsid w:val="00F77B19"/>
    <w:rsid w:val="00F77B1D"/>
    <w:rsid w:val="00F77B74"/>
    <w:rsid w:val="00F77B9C"/>
    <w:rsid w:val="00F77C1E"/>
    <w:rsid w:val="00F77E34"/>
    <w:rsid w:val="00F77EAF"/>
    <w:rsid w:val="00F77F02"/>
    <w:rsid w:val="00F77F5B"/>
    <w:rsid w:val="00F77FBB"/>
    <w:rsid w:val="00F80113"/>
    <w:rsid w:val="00F80172"/>
    <w:rsid w:val="00F801E3"/>
    <w:rsid w:val="00F8024C"/>
    <w:rsid w:val="00F80256"/>
    <w:rsid w:val="00F802ED"/>
    <w:rsid w:val="00F8036D"/>
    <w:rsid w:val="00F803F8"/>
    <w:rsid w:val="00F803FF"/>
    <w:rsid w:val="00F80487"/>
    <w:rsid w:val="00F804F4"/>
    <w:rsid w:val="00F80604"/>
    <w:rsid w:val="00F806CC"/>
    <w:rsid w:val="00F80727"/>
    <w:rsid w:val="00F80792"/>
    <w:rsid w:val="00F80839"/>
    <w:rsid w:val="00F80875"/>
    <w:rsid w:val="00F808AE"/>
    <w:rsid w:val="00F808C1"/>
    <w:rsid w:val="00F8093F"/>
    <w:rsid w:val="00F80A03"/>
    <w:rsid w:val="00F80B03"/>
    <w:rsid w:val="00F80B0F"/>
    <w:rsid w:val="00F80BCE"/>
    <w:rsid w:val="00F80BE0"/>
    <w:rsid w:val="00F80BEA"/>
    <w:rsid w:val="00F80C00"/>
    <w:rsid w:val="00F80C91"/>
    <w:rsid w:val="00F80D18"/>
    <w:rsid w:val="00F80DD9"/>
    <w:rsid w:val="00F80E1E"/>
    <w:rsid w:val="00F80F8E"/>
    <w:rsid w:val="00F80F93"/>
    <w:rsid w:val="00F80FAE"/>
    <w:rsid w:val="00F80FB6"/>
    <w:rsid w:val="00F80FD6"/>
    <w:rsid w:val="00F8106B"/>
    <w:rsid w:val="00F8115C"/>
    <w:rsid w:val="00F81182"/>
    <w:rsid w:val="00F811C4"/>
    <w:rsid w:val="00F8127F"/>
    <w:rsid w:val="00F812F9"/>
    <w:rsid w:val="00F81460"/>
    <w:rsid w:val="00F814E0"/>
    <w:rsid w:val="00F81561"/>
    <w:rsid w:val="00F81589"/>
    <w:rsid w:val="00F8163E"/>
    <w:rsid w:val="00F816FE"/>
    <w:rsid w:val="00F8176E"/>
    <w:rsid w:val="00F81945"/>
    <w:rsid w:val="00F819C4"/>
    <w:rsid w:val="00F81ABD"/>
    <w:rsid w:val="00F81BB0"/>
    <w:rsid w:val="00F81BD1"/>
    <w:rsid w:val="00F81D66"/>
    <w:rsid w:val="00F81D86"/>
    <w:rsid w:val="00F81D8D"/>
    <w:rsid w:val="00F81E20"/>
    <w:rsid w:val="00F81F5E"/>
    <w:rsid w:val="00F82038"/>
    <w:rsid w:val="00F82075"/>
    <w:rsid w:val="00F820A8"/>
    <w:rsid w:val="00F820BA"/>
    <w:rsid w:val="00F820CB"/>
    <w:rsid w:val="00F8212A"/>
    <w:rsid w:val="00F821C0"/>
    <w:rsid w:val="00F82208"/>
    <w:rsid w:val="00F82250"/>
    <w:rsid w:val="00F82256"/>
    <w:rsid w:val="00F822AD"/>
    <w:rsid w:val="00F822BB"/>
    <w:rsid w:val="00F82387"/>
    <w:rsid w:val="00F823A0"/>
    <w:rsid w:val="00F823CF"/>
    <w:rsid w:val="00F8240D"/>
    <w:rsid w:val="00F8243F"/>
    <w:rsid w:val="00F82554"/>
    <w:rsid w:val="00F82679"/>
    <w:rsid w:val="00F8269F"/>
    <w:rsid w:val="00F826C0"/>
    <w:rsid w:val="00F82704"/>
    <w:rsid w:val="00F8271E"/>
    <w:rsid w:val="00F82746"/>
    <w:rsid w:val="00F8278A"/>
    <w:rsid w:val="00F8280E"/>
    <w:rsid w:val="00F82877"/>
    <w:rsid w:val="00F82886"/>
    <w:rsid w:val="00F828C6"/>
    <w:rsid w:val="00F829F7"/>
    <w:rsid w:val="00F82A18"/>
    <w:rsid w:val="00F82AC4"/>
    <w:rsid w:val="00F82ACC"/>
    <w:rsid w:val="00F82B4A"/>
    <w:rsid w:val="00F82B69"/>
    <w:rsid w:val="00F82B8A"/>
    <w:rsid w:val="00F82BBA"/>
    <w:rsid w:val="00F82CFB"/>
    <w:rsid w:val="00F82D3D"/>
    <w:rsid w:val="00F82E2E"/>
    <w:rsid w:val="00F82E52"/>
    <w:rsid w:val="00F82EF8"/>
    <w:rsid w:val="00F82F53"/>
    <w:rsid w:val="00F82F98"/>
    <w:rsid w:val="00F8304F"/>
    <w:rsid w:val="00F8305B"/>
    <w:rsid w:val="00F830BF"/>
    <w:rsid w:val="00F83178"/>
    <w:rsid w:val="00F8318B"/>
    <w:rsid w:val="00F831D7"/>
    <w:rsid w:val="00F831E0"/>
    <w:rsid w:val="00F83211"/>
    <w:rsid w:val="00F83217"/>
    <w:rsid w:val="00F83219"/>
    <w:rsid w:val="00F83332"/>
    <w:rsid w:val="00F8344A"/>
    <w:rsid w:val="00F83465"/>
    <w:rsid w:val="00F83472"/>
    <w:rsid w:val="00F834BD"/>
    <w:rsid w:val="00F8352D"/>
    <w:rsid w:val="00F83531"/>
    <w:rsid w:val="00F835A0"/>
    <w:rsid w:val="00F8362F"/>
    <w:rsid w:val="00F836F9"/>
    <w:rsid w:val="00F837D4"/>
    <w:rsid w:val="00F83833"/>
    <w:rsid w:val="00F8389D"/>
    <w:rsid w:val="00F838E7"/>
    <w:rsid w:val="00F83901"/>
    <w:rsid w:val="00F83986"/>
    <w:rsid w:val="00F839F3"/>
    <w:rsid w:val="00F83B00"/>
    <w:rsid w:val="00F83B13"/>
    <w:rsid w:val="00F83B8B"/>
    <w:rsid w:val="00F83BCD"/>
    <w:rsid w:val="00F83BE0"/>
    <w:rsid w:val="00F83BEB"/>
    <w:rsid w:val="00F83C9B"/>
    <w:rsid w:val="00F83CAA"/>
    <w:rsid w:val="00F83D80"/>
    <w:rsid w:val="00F84046"/>
    <w:rsid w:val="00F84071"/>
    <w:rsid w:val="00F8423C"/>
    <w:rsid w:val="00F8426B"/>
    <w:rsid w:val="00F8431A"/>
    <w:rsid w:val="00F84330"/>
    <w:rsid w:val="00F843C4"/>
    <w:rsid w:val="00F84451"/>
    <w:rsid w:val="00F84539"/>
    <w:rsid w:val="00F845D7"/>
    <w:rsid w:val="00F8464E"/>
    <w:rsid w:val="00F846AA"/>
    <w:rsid w:val="00F8479C"/>
    <w:rsid w:val="00F847A7"/>
    <w:rsid w:val="00F847DA"/>
    <w:rsid w:val="00F847EE"/>
    <w:rsid w:val="00F848E7"/>
    <w:rsid w:val="00F8490E"/>
    <w:rsid w:val="00F8498F"/>
    <w:rsid w:val="00F84A1C"/>
    <w:rsid w:val="00F84A83"/>
    <w:rsid w:val="00F84B05"/>
    <w:rsid w:val="00F84B0A"/>
    <w:rsid w:val="00F84BF1"/>
    <w:rsid w:val="00F84C15"/>
    <w:rsid w:val="00F84C86"/>
    <w:rsid w:val="00F84CCB"/>
    <w:rsid w:val="00F84D0B"/>
    <w:rsid w:val="00F84D9B"/>
    <w:rsid w:val="00F84DDC"/>
    <w:rsid w:val="00F84EE3"/>
    <w:rsid w:val="00F84F55"/>
    <w:rsid w:val="00F85032"/>
    <w:rsid w:val="00F85167"/>
    <w:rsid w:val="00F851A0"/>
    <w:rsid w:val="00F85443"/>
    <w:rsid w:val="00F8550E"/>
    <w:rsid w:val="00F855FD"/>
    <w:rsid w:val="00F85676"/>
    <w:rsid w:val="00F85780"/>
    <w:rsid w:val="00F8596C"/>
    <w:rsid w:val="00F85A17"/>
    <w:rsid w:val="00F85A39"/>
    <w:rsid w:val="00F85A4B"/>
    <w:rsid w:val="00F85A54"/>
    <w:rsid w:val="00F85A97"/>
    <w:rsid w:val="00F85AA6"/>
    <w:rsid w:val="00F85B25"/>
    <w:rsid w:val="00F85D07"/>
    <w:rsid w:val="00F85E94"/>
    <w:rsid w:val="00F85ED9"/>
    <w:rsid w:val="00F85F3C"/>
    <w:rsid w:val="00F85F4D"/>
    <w:rsid w:val="00F85F61"/>
    <w:rsid w:val="00F85F99"/>
    <w:rsid w:val="00F85FB4"/>
    <w:rsid w:val="00F86065"/>
    <w:rsid w:val="00F8612B"/>
    <w:rsid w:val="00F86195"/>
    <w:rsid w:val="00F861BF"/>
    <w:rsid w:val="00F8626B"/>
    <w:rsid w:val="00F862DC"/>
    <w:rsid w:val="00F863F1"/>
    <w:rsid w:val="00F8642E"/>
    <w:rsid w:val="00F86560"/>
    <w:rsid w:val="00F865B9"/>
    <w:rsid w:val="00F865D6"/>
    <w:rsid w:val="00F8668D"/>
    <w:rsid w:val="00F867A5"/>
    <w:rsid w:val="00F867FE"/>
    <w:rsid w:val="00F86877"/>
    <w:rsid w:val="00F868CB"/>
    <w:rsid w:val="00F86915"/>
    <w:rsid w:val="00F86932"/>
    <w:rsid w:val="00F8696E"/>
    <w:rsid w:val="00F869A1"/>
    <w:rsid w:val="00F869C3"/>
    <w:rsid w:val="00F869CA"/>
    <w:rsid w:val="00F86AA1"/>
    <w:rsid w:val="00F86AB3"/>
    <w:rsid w:val="00F86B7A"/>
    <w:rsid w:val="00F86BB0"/>
    <w:rsid w:val="00F86D8A"/>
    <w:rsid w:val="00F86DFD"/>
    <w:rsid w:val="00F86E01"/>
    <w:rsid w:val="00F86F5A"/>
    <w:rsid w:val="00F86F6A"/>
    <w:rsid w:val="00F86FEE"/>
    <w:rsid w:val="00F86FEF"/>
    <w:rsid w:val="00F870D7"/>
    <w:rsid w:val="00F870E3"/>
    <w:rsid w:val="00F870F7"/>
    <w:rsid w:val="00F871B2"/>
    <w:rsid w:val="00F871C7"/>
    <w:rsid w:val="00F871F1"/>
    <w:rsid w:val="00F87211"/>
    <w:rsid w:val="00F8723E"/>
    <w:rsid w:val="00F873E4"/>
    <w:rsid w:val="00F8742D"/>
    <w:rsid w:val="00F87447"/>
    <w:rsid w:val="00F8761E"/>
    <w:rsid w:val="00F8768C"/>
    <w:rsid w:val="00F877C4"/>
    <w:rsid w:val="00F8782D"/>
    <w:rsid w:val="00F8792C"/>
    <w:rsid w:val="00F8793F"/>
    <w:rsid w:val="00F87A66"/>
    <w:rsid w:val="00F87ABD"/>
    <w:rsid w:val="00F87B7B"/>
    <w:rsid w:val="00F87C18"/>
    <w:rsid w:val="00F87CC1"/>
    <w:rsid w:val="00F87D09"/>
    <w:rsid w:val="00F87D2A"/>
    <w:rsid w:val="00F87D54"/>
    <w:rsid w:val="00F87EC8"/>
    <w:rsid w:val="00F87F7C"/>
    <w:rsid w:val="00F87F9D"/>
    <w:rsid w:val="00F87FFC"/>
    <w:rsid w:val="00F90005"/>
    <w:rsid w:val="00F9003E"/>
    <w:rsid w:val="00F90090"/>
    <w:rsid w:val="00F900A7"/>
    <w:rsid w:val="00F900A9"/>
    <w:rsid w:val="00F90103"/>
    <w:rsid w:val="00F90127"/>
    <w:rsid w:val="00F9017D"/>
    <w:rsid w:val="00F901E7"/>
    <w:rsid w:val="00F901F2"/>
    <w:rsid w:val="00F902A3"/>
    <w:rsid w:val="00F902F5"/>
    <w:rsid w:val="00F90347"/>
    <w:rsid w:val="00F90384"/>
    <w:rsid w:val="00F9054B"/>
    <w:rsid w:val="00F9055C"/>
    <w:rsid w:val="00F905E5"/>
    <w:rsid w:val="00F9060A"/>
    <w:rsid w:val="00F9063E"/>
    <w:rsid w:val="00F90672"/>
    <w:rsid w:val="00F90737"/>
    <w:rsid w:val="00F90759"/>
    <w:rsid w:val="00F907D9"/>
    <w:rsid w:val="00F9081A"/>
    <w:rsid w:val="00F90C24"/>
    <w:rsid w:val="00F90C46"/>
    <w:rsid w:val="00F90C6F"/>
    <w:rsid w:val="00F90C87"/>
    <w:rsid w:val="00F90CA2"/>
    <w:rsid w:val="00F90CF5"/>
    <w:rsid w:val="00F90D20"/>
    <w:rsid w:val="00F90D21"/>
    <w:rsid w:val="00F90D57"/>
    <w:rsid w:val="00F90DC0"/>
    <w:rsid w:val="00F90E3C"/>
    <w:rsid w:val="00F90E3F"/>
    <w:rsid w:val="00F90E8B"/>
    <w:rsid w:val="00F90F8A"/>
    <w:rsid w:val="00F90FA6"/>
    <w:rsid w:val="00F90FB3"/>
    <w:rsid w:val="00F90FF6"/>
    <w:rsid w:val="00F91009"/>
    <w:rsid w:val="00F9103C"/>
    <w:rsid w:val="00F91090"/>
    <w:rsid w:val="00F910C5"/>
    <w:rsid w:val="00F910E1"/>
    <w:rsid w:val="00F91108"/>
    <w:rsid w:val="00F91210"/>
    <w:rsid w:val="00F91261"/>
    <w:rsid w:val="00F912B0"/>
    <w:rsid w:val="00F9135A"/>
    <w:rsid w:val="00F913AA"/>
    <w:rsid w:val="00F913B2"/>
    <w:rsid w:val="00F91458"/>
    <w:rsid w:val="00F91508"/>
    <w:rsid w:val="00F915A4"/>
    <w:rsid w:val="00F915E7"/>
    <w:rsid w:val="00F9168F"/>
    <w:rsid w:val="00F916AF"/>
    <w:rsid w:val="00F916B8"/>
    <w:rsid w:val="00F916BA"/>
    <w:rsid w:val="00F916DE"/>
    <w:rsid w:val="00F916F5"/>
    <w:rsid w:val="00F91848"/>
    <w:rsid w:val="00F91890"/>
    <w:rsid w:val="00F918E9"/>
    <w:rsid w:val="00F918ED"/>
    <w:rsid w:val="00F91AD1"/>
    <w:rsid w:val="00F91B74"/>
    <w:rsid w:val="00F91C32"/>
    <w:rsid w:val="00F91C6B"/>
    <w:rsid w:val="00F91CC6"/>
    <w:rsid w:val="00F91D2F"/>
    <w:rsid w:val="00F91D7D"/>
    <w:rsid w:val="00F91D84"/>
    <w:rsid w:val="00F91E97"/>
    <w:rsid w:val="00F91EA0"/>
    <w:rsid w:val="00F91ECB"/>
    <w:rsid w:val="00F91F41"/>
    <w:rsid w:val="00F91F49"/>
    <w:rsid w:val="00F91F81"/>
    <w:rsid w:val="00F920AB"/>
    <w:rsid w:val="00F9212F"/>
    <w:rsid w:val="00F92171"/>
    <w:rsid w:val="00F92181"/>
    <w:rsid w:val="00F921DE"/>
    <w:rsid w:val="00F921E1"/>
    <w:rsid w:val="00F92279"/>
    <w:rsid w:val="00F922D2"/>
    <w:rsid w:val="00F9230C"/>
    <w:rsid w:val="00F9236C"/>
    <w:rsid w:val="00F92383"/>
    <w:rsid w:val="00F92467"/>
    <w:rsid w:val="00F92520"/>
    <w:rsid w:val="00F92539"/>
    <w:rsid w:val="00F9255C"/>
    <w:rsid w:val="00F925B4"/>
    <w:rsid w:val="00F92790"/>
    <w:rsid w:val="00F9286D"/>
    <w:rsid w:val="00F92891"/>
    <w:rsid w:val="00F92923"/>
    <w:rsid w:val="00F929E6"/>
    <w:rsid w:val="00F92AD6"/>
    <w:rsid w:val="00F92B2D"/>
    <w:rsid w:val="00F92CD4"/>
    <w:rsid w:val="00F92E52"/>
    <w:rsid w:val="00F92E69"/>
    <w:rsid w:val="00F92ECD"/>
    <w:rsid w:val="00F92F58"/>
    <w:rsid w:val="00F93040"/>
    <w:rsid w:val="00F93042"/>
    <w:rsid w:val="00F930C1"/>
    <w:rsid w:val="00F93242"/>
    <w:rsid w:val="00F93312"/>
    <w:rsid w:val="00F9333B"/>
    <w:rsid w:val="00F93378"/>
    <w:rsid w:val="00F93422"/>
    <w:rsid w:val="00F9350F"/>
    <w:rsid w:val="00F9362F"/>
    <w:rsid w:val="00F9365B"/>
    <w:rsid w:val="00F9367F"/>
    <w:rsid w:val="00F93723"/>
    <w:rsid w:val="00F93724"/>
    <w:rsid w:val="00F93764"/>
    <w:rsid w:val="00F93838"/>
    <w:rsid w:val="00F93849"/>
    <w:rsid w:val="00F93863"/>
    <w:rsid w:val="00F9389D"/>
    <w:rsid w:val="00F938FD"/>
    <w:rsid w:val="00F93AC4"/>
    <w:rsid w:val="00F93AE2"/>
    <w:rsid w:val="00F93B28"/>
    <w:rsid w:val="00F93B53"/>
    <w:rsid w:val="00F93BA9"/>
    <w:rsid w:val="00F93C8C"/>
    <w:rsid w:val="00F93CF8"/>
    <w:rsid w:val="00F93D69"/>
    <w:rsid w:val="00F93D75"/>
    <w:rsid w:val="00F93E72"/>
    <w:rsid w:val="00F93EAF"/>
    <w:rsid w:val="00F93F1D"/>
    <w:rsid w:val="00F94043"/>
    <w:rsid w:val="00F940BD"/>
    <w:rsid w:val="00F94114"/>
    <w:rsid w:val="00F9414A"/>
    <w:rsid w:val="00F94150"/>
    <w:rsid w:val="00F94200"/>
    <w:rsid w:val="00F9423C"/>
    <w:rsid w:val="00F9429A"/>
    <w:rsid w:val="00F942B3"/>
    <w:rsid w:val="00F942C1"/>
    <w:rsid w:val="00F94312"/>
    <w:rsid w:val="00F9439D"/>
    <w:rsid w:val="00F944B7"/>
    <w:rsid w:val="00F94592"/>
    <w:rsid w:val="00F946CB"/>
    <w:rsid w:val="00F948C5"/>
    <w:rsid w:val="00F948E5"/>
    <w:rsid w:val="00F94A05"/>
    <w:rsid w:val="00F94A2D"/>
    <w:rsid w:val="00F94ABE"/>
    <w:rsid w:val="00F94B3F"/>
    <w:rsid w:val="00F94B93"/>
    <w:rsid w:val="00F94BBD"/>
    <w:rsid w:val="00F94CB8"/>
    <w:rsid w:val="00F94CE1"/>
    <w:rsid w:val="00F94D61"/>
    <w:rsid w:val="00F94E55"/>
    <w:rsid w:val="00F94EA2"/>
    <w:rsid w:val="00F94FA4"/>
    <w:rsid w:val="00F94FA9"/>
    <w:rsid w:val="00F94FFA"/>
    <w:rsid w:val="00F95047"/>
    <w:rsid w:val="00F95131"/>
    <w:rsid w:val="00F9513C"/>
    <w:rsid w:val="00F95338"/>
    <w:rsid w:val="00F953AB"/>
    <w:rsid w:val="00F954AB"/>
    <w:rsid w:val="00F95532"/>
    <w:rsid w:val="00F955BF"/>
    <w:rsid w:val="00F956DA"/>
    <w:rsid w:val="00F956DD"/>
    <w:rsid w:val="00F956E8"/>
    <w:rsid w:val="00F956E9"/>
    <w:rsid w:val="00F95707"/>
    <w:rsid w:val="00F957F8"/>
    <w:rsid w:val="00F957F9"/>
    <w:rsid w:val="00F9585D"/>
    <w:rsid w:val="00F958AC"/>
    <w:rsid w:val="00F95A25"/>
    <w:rsid w:val="00F95A26"/>
    <w:rsid w:val="00F95A39"/>
    <w:rsid w:val="00F95A84"/>
    <w:rsid w:val="00F95C38"/>
    <w:rsid w:val="00F95CF0"/>
    <w:rsid w:val="00F95D15"/>
    <w:rsid w:val="00F95D41"/>
    <w:rsid w:val="00F95D60"/>
    <w:rsid w:val="00F95D7E"/>
    <w:rsid w:val="00F95E85"/>
    <w:rsid w:val="00F95E95"/>
    <w:rsid w:val="00F95E96"/>
    <w:rsid w:val="00F95FCE"/>
    <w:rsid w:val="00F9600D"/>
    <w:rsid w:val="00F961CB"/>
    <w:rsid w:val="00F9632E"/>
    <w:rsid w:val="00F96378"/>
    <w:rsid w:val="00F9641A"/>
    <w:rsid w:val="00F9641B"/>
    <w:rsid w:val="00F96453"/>
    <w:rsid w:val="00F96589"/>
    <w:rsid w:val="00F965EF"/>
    <w:rsid w:val="00F9660F"/>
    <w:rsid w:val="00F966AD"/>
    <w:rsid w:val="00F9677E"/>
    <w:rsid w:val="00F9679E"/>
    <w:rsid w:val="00F96A79"/>
    <w:rsid w:val="00F96A9D"/>
    <w:rsid w:val="00F96AAA"/>
    <w:rsid w:val="00F96ADA"/>
    <w:rsid w:val="00F96B1A"/>
    <w:rsid w:val="00F96BE9"/>
    <w:rsid w:val="00F96C88"/>
    <w:rsid w:val="00F96DD3"/>
    <w:rsid w:val="00F96E5F"/>
    <w:rsid w:val="00F96ED2"/>
    <w:rsid w:val="00F96F05"/>
    <w:rsid w:val="00F96F2D"/>
    <w:rsid w:val="00F96F81"/>
    <w:rsid w:val="00F96F94"/>
    <w:rsid w:val="00F96FF6"/>
    <w:rsid w:val="00F970EF"/>
    <w:rsid w:val="00F97154"/>
    <w:rsid w:val="00F97170"/>
    <w:rsid w:val="00F97180"/>
    <w:rsid w:val="00F972B7"/>
    <w:rsid w:val="00F973FB"/>
    <w:rsid w:val="00F974F0"/>
    <w:rsid w:val="00F974F9"/>
    <w:rsid w:val="00F97515"/>
    <w:rsid w:val="00F975D6"/>
    <w:rsid w:val="00F97633"/>
    <w:rsid w:val="00F97642"/>
    <w:rsid w:val="00F9768F"/>
    <w:rsid w:val="00F976AC"/>
    <w:rsid w:val="00F97783"/>
    <w:rsid w:val="00F977E1"/>
    <w:rsid w:val="00F977E3"/>
    <w:rsid w:val="00F978A8"/>
    <w:rsid w:val="00F9791F"/>
    <w:rsid w:val="00F97A0B"/>
    <w:rsid w:val="00F97A0E"/>
    <w:rsid w:val="00F97A4C"/>
    <w:rsid w:val="00F97B1B"/>
    <w:rsid w:val="00F97B80"/>
    <w:rsid w:val="00F97BD6"/>
    <w:rsid w:val="00F97C09"/>
    <w:rsid w:val="00F97C43"/>
    <w:rsid w:val="00F97C86"/>
    <w:rsid w:val="00F97D8F"/>
    <w:rsid w:val="00F97DDA"/>
    <w:rsid w:val="00F97E11"/>
    <w:rsid w:val="00F97EC3"/>
    <w:rsid w:val="00F97EC8"/>
    <w:rsid w:val="00F97EE4"/>
    <w:rsid w:val="00F97F1F"/>
    <w:rsid w:val="00FA007E"/>
    <w:rsid w:val="00FA00C4"/>
    <w:rsid w:val="00FA013A"/>
    <w:rsid w:val="00FA0169"/>
    <w:rsid w:val="00FA0223"/>
    <w:rsid w:val="00FA0231"/>
    <w:rsid w:val="00FA02CA"/>
    <w:rsid w:val="00FA03CC"/>
    <w:rsid w:val="00FA0405"/>
    <w:rsid w:val="00FA055E"/>
    <w:rsid w:val="00FA05C8"/>
    <w:rsid w:val="00FA0637"/>
    <w:rsid w:val="00FA0638"/>
    <w:rsid w:val="00FA069A"/>
    <w:rsid w:val="00FA0764"/>
    <w:rsid w:val="00FA0793"/>
    <w:rsid w:val="00FA0935"/>
    <w:rsid w:val="00FA09C3"/>
    <w:rsid w:val="00FA0A05"/>
    <w:rsid w:val="00FA0A44"/>
    <w:rsid w:val="00FA0ABD"/>
    <w:rsid w:val="00FA0B75"/>
    <w:rsid w:val="00FA0BF0"/>
    <w:rsid w:val="00FA0C70"/>
    <w:rsid w:val="00FA0CE4"/>
    <w:rsid w:val="00FA0E03"/>
    <w:rsid w:val="00FA0E75"/>
    <w:rsid w:val="00FA10E6"/>
    <w:rsid w:val="00FA1121"/>
    <w:rsid w:val="00FA112F"/>
    <w:rsid w:val="00FA119B"/>
    <w:rsid w:val="00FA1330"/>
    <w:rsid w:val="00FA143E"/>
    <w:rsid w:val="00FA1548"/>
    <w:rsid w:val="00FA15D1"/>
    <w:rsid w:val="00FA16CB"/>
    <w:rsid w:val="00FA1739"/>
    <w:rsid w:val="00FA17A0"/>
    <w:rsid w:val="00FA1807"/>
    <w:rsid w:val="00FA185E"/>
    <w:rsid w:val="00FA1882"/>
    <w:rsid w:val="00FA18A9"/>
    <w:rsid w:val="00FA18D6"/>
    <w:rsid w:val="00FA193A"/>
    <w:rsid w:val="00FA1940"/>
    <w:rsid w:val="00FA1970"/>
    <w:rsid w:val="00FA19A8"/>
    <w:rsid w:val="00FA19D8"/>
    <w:rsid w:val="00FA19E2"/>
    <w:rsid w:val="00FA1A7C"/>
    <w:rsid w:val="00FA1BC3"/>
    <w:rsid w:val="00FA1C32"/>
    <w:rsid w:val="00FA1CB8"/>
    <w:rsid w:val="00FA1D6C"/>
    <w:rsid w:val="00FA1E04"/>
    <w:rsid w:val="00FA1E6C"/>
    <w:rsid w:val="00FA1EC3"/>
    <w:rsid w:val="00FA1F37"/>
    <w:rsid w:val="00FA1F4C"/>
    <w:rsid w:val="00FA1F57"/>
    <w:rsid w:val="00FA1FCE"/>
    <w:rsid w:val="00FA2075"/>
    <w:rsid w:val="00FA2094"/>
    <w:rsid w:val="00FA20A8"/>
    <w:rsid w:val="00FA20BD"/>
    <w:rsid w:val="00FA21D0"/>
    <w:rsid w:val="00FA227A"/>
    <w:rsid w:val="00FA2284"/>
    <w:rsid w:val="00FA22E7"/>
    <w:rsid w:val="00FA22FC"/>
    <w:rsid w:val="00FA2315"/>
    <w:rsid w:val="00FA24AF"/>
    <w:rsid w:val="00FA25BD"/>
    <w:rsid w:val="00FA25CF"/>
    <w:rsid w:val="00FA25F6"/>
    <w:rsid w:val="00FA266B"/>
    <w:rsid w:val="00FA2678"/>
    <w:rsid w:val="00FA26CF"/>
    <w:rsid w:val="00FA26FC"/>
    <w:rsid w:val="00FA270C"/>
    <w:rsid w:val="00FA2750"/>
    <w:rsid w:val="00FA27A0"/>
    <w:rsid w:val="00FA27B7"/>
    <w:rsid w:val="00FA2845"/>
    <w:rsid w:val="00FA2901"/>
    <w:rsid w:val="00FA29A0"/>
    <w:rsid w:val="00FA29B3"/>
    <w:rsid w:val="00FA29C6"/>
    <w:rsid w:val="00FA29CE"/>
    <w:rsid w:val="00FA2A44"/>
    <w:rsid w:val="00FA2A60"/>
    <w:rsid w:val="00FA2AB2"/>
    <w:rsid w:val="00FA2ACD"/>
    <w:rsid w:val="00FA2ADA"/>
    <w:rsid w:val="00FA2C21"/>
    <w:rsid w:val="00FA2C50"/>
    <w:rsid w:val="00FA2C6D"/>
    <w:rsid w:val="00FA2C74"/>
    <w:rsid w:val="00FA2C92"/>
    <w:rsid w:val="00FA2D12"/>
    <w:rsid w:val="00FA2D40"/>
    <w:rsid w:val="00FA2D80"/>
    <w:rsid w:val="00FA2E09"/>
    <w:rsid w:val="00FA2E17"/>
    <w:rsid w:val="00FA2E19"/>
    <w:rsid w:val="00FA2E42"/>
    <w:rsid w:val="00FA2E5D"/>
    <w:rsid w:val="00FA2E94"/>
    <w:rsid w:val="00FA2EAC"/>
    <w:rsid w:val="00FA2EF5"/>
    <w:rsid w:val="00FA2F0C"/>
    <w:rsid w:val="00FA2F30"/>
    <w:rsid w:val="00FA2F39"/>
    <w:rsid w:val="00FA3000"/>
    <w:rsid w:val="00FA30B2"/>
    <w:rsid w:val="00FA3112"/>
    <w:rsid w:val="00FA3155"/>
    <w:rsid w:val="00FA3216"/>
    <w:rsid w:val="00FA321C"/>
    <w:rsid w:val="00FA3223"/>
    <w:rsid w:val="00FA32C6"/>
    <w:rsid w:val="00FA333B"/>
    <w:rsid w:val="00FA3407"/>
    <w:rsid w:val="00FA3508"/>
    <w:rsid w:val="00FA360D"/>
    <w:rsid w:val="00FA36CA"/>
    <w:rsid w:val="00FA372D"/>
    <w:rsid w:val="00FA3774"/>
    <w:rsid w:val="00FA37B3"/>
    <w:rsid w:val="00FA382C"/>
    <w:rsid w:val="00FA38BC"/>
    <w:rsid w:val="00FA38C3"/>
    <w:rsid w:val="00FA3A73"/>
    <w:rsid w:val="00FA3AC2"/>
    <w:rsid w:val="00FA3B8F"/>
    <w:rsid w:val="00FA3CBB"/>
    <w:rsid w:val="00FA3E04"/>
    <w:rsid w:val="00FA3E4E"/>
    <w:rsid w:val="00FA3EDD"/>
    <w:rsid w:val="00FA3FF9"/>
    <w:rsid w:val="00FA406F"/>
    <w:rsid w:val="00FA40FA"/>
    <w:rsid w:val="00FA4142"/>
    <w:rsid w:val="00FA4185"/>
    <w:rsid w:val="00FA41B7"/>
    <w:rsid w:val="00FA4216"/>
    <w:rsid w:val="00FA4220"/>
    <w:rsid w:val="00FA423F"/>
    <w:rsid w:val="00FA43A2"/>
    <w:rsid w:val="00FA43D7"/>
    <w:rsid w:val="00FA43FF"/>
    <w:rsid w:val="00FA441A"/>
    <w:rsid w:val="00FA441C"/>
    <w:rsid w:val="00FA44F9"/>
    <w:rsid w:val="00FA45C2"/>
    <w:rsid w:val="00FA4688"/>
    <w:rsid w:val="00FA469B"/>
    <w:rsid w:val="00FA4738"/>
    <w:rsid w:val="00FA4780"/>
    <w:rsid w:val="00FA479A"/>
    <w:rsid w:val="00FA47E8"/>
    <w:rsid w:val="00FA4858"/>
    <w:rsid w:val="00FA48B1"/>
    <w:rsid w:val="00FA4901"/>
    <w:rsid w:val="00FA4A02"/>
    <w:rsid w:val="00FA4BFB"/>
    <w:rsid w:val="00FA4D26"/>
    <w:rsid w:val="00FA4D93"/>
    <w:rsid w:val="00FA4ED3"/>
    <w:rsid w:val="00FA4EDA"/>
    <w:rsid w:val="00FA4F73"/>
    <w:rsid w:val="00FA5105"/>
    <w:rsid w:val="00FA514D"/>
    <w:rsid w:val="00FA51D9"/>
    <w:rsid w:val="00FA5227"/>
    <w:rsid w:val="00FA52DA"/>
    <w:rsid w:val="00FA53C8"/>
    <w:rsid w:val="00FA543D"/>
    <w:rsid w:val="00FA5462"/>
    <w:rsid w:val="00FA5556"/>
    <w:rsid w:val="00FA5576"/>
    <w:rsid w:val="00FA5608"/>
    <w:rsid w:val="00FA5633"/>
    <w:rsid w:val="00FA565F"/>
    <w:rsid w:val="00FA56F0"/>
    <w:rsid w:val="00FA5706"/>
    <w:rsid w:val="00FA573F"/>
    <w:rsid w:val="00FA5791"/>
    <w:rsid w:val="00FA5862"/>
    <w:rsid w:val="00FA591A"/>
    <w:rsid w:val="00FA595A"/>
    <w:rsid w:val="00FA5960"/>
    <w:rsid w:val="00FA5A21"/>
    <w:rsid w:val="00FA5A30"/>
    <w:rsid w:val="00FA5A6A"/>
    <w:rsid w:val="00FA5A99"/>
    <w:rsid w:val="00FA5B17"/>
    <w:rsid w:val="00FA5B18"/>
    <w:rsid w:val="00FA5D2D"/>
    <w:rsid w:val="00FA5D8A"/>
    <w:rsid w:val="00FA5D8B"/>
    <w:rsid w:val="00FA5DF9"/>
    <w:rsid w:val="00FA5E23"/>
    <w:rsid w:val="00FA5E3C"/>
    <w:rsid w:val="00FA5E47"/>
    <w:rsid w:val="00FA5F02"/>
    <w:rsid w:val="00FA5F7E"/>
    <w:rsid w:val="00FA5F8B"/>
    <w:rsid w:val="00FA5FD4"/>
    <w:rsid w:val="00FA60EF"/>
    <w:rsid w:val="00FA611C"/>
    <w:rsid w:val="00FA6291"/>
    <w:rsid w:val="00FA6295"/>
    <w:rsid w:val="00FA639A"/>
    <w:rsid w:val="00FA644B"/>
    <w:rsid w:val="00FA64D4"/>
    <w:rsid w:val="00FA650A"/>
    <w:rsid w:val="00FA65A8"/>
    <w:rsid w:val="00FA673F"/>
    <w:rsid w:val="00FA674B"/>
    <w:rsid w:val="00FA6771"/>
    <w:rsid w:val="00FA6791"/>
    <w:rsid w:val="00FA67F8"/>
    <w:rsid w:val="00FA68BA"/>
    <w:rsid w:val="00FA6A73"/>
    <w:rsid w:val="00FA6A8A"/>
    <w:rsid w:val="00FA6ACE"/>
    <w:rsid w:val="00FA6B2E"/>
    <w:rsid w:val="00FA6B7F"/>
    <w:rsid w:val="00FA6C8F"/>
    <w:rsid w:val="00FA6D38"/>
    <w:rsid w:val="00FA6D43"/>
    <w:rsid w:val="00FA6E2C"/>
    <w:rsid w:val="00FA6E55"/>
    <w:rsid w:val="00FA6E9A"/>
    <w:rsid w:val="00FA6EC7"/>
    <w:rsid w:val="00FA7219"/>
    <w:rsid w:val="00FA72BD"/>
    <w:rsid w:val="00FA7356"/>
    <w:rsid w:val="00FA73DB"/>
    <w:rsid w:val="00FA7428"/>
    <w:rsid w:val="00FA7451"/>
    <w:rsid w:val="00FA7474"/>
    <w:rsid w:val="00FA74F1"/>
    <w:rsid w:val="00FA75A7"/>
    <w:rsid w:val="00FA763A"/>
    <w:rsid w:val="00FA766F"/>
    <w:rsid w:val="00FA76F7"/>
    <w:rsid w:val="00FA770D"/>
    <w:rsid w:val="00FA7754"/>
    <w:rsid w:val="00FA785A"/>
    <w:rsid w:val="00FA7920"/>
    <w:rsid w:val="00FA7A81"/>
    <w:rsid w:val="00FA7AD5"/>
    <w:rsid w:val="00FA7B1E"/>
    <w:rsid w:val="00FA7BA1"/>
    <w:rsid w:val="00FA7C96"/>
    <w:rsid w:val="00FA7D8D"/>
    <w:rsid w:val="00FA7F07"/>
    <w:rsid w:val="00FA7F0D"/>
    <w:rsid w:val="00FA7FB3"/>
    <w:rsid w:val="00FA7FC6"/>
    <w:rsid w:val="00FB0075"/>
    <w:rsid w:val="00FB00FB"/>
    <w:rsid w:val="00FB01A0"/>
    <w:rsid w:val="00FB0215"/>
    <w:rsid w:val="00FB02F8"/>
    <w:rsid w:val="00FB0339"/>
    <w:rsid w:val="00FB0482"/>
    <w:rsid w:val="00FB04B2"/>
    <w:rsid w:val="00FB0505"/>
    <w:rsid w:val="00FB0532"/>
    <w:rsid w:val="00FB0576"/>
    <w:rsid w:val="00FB057D"/>
    <w:rsid w:val="00FB05BC"/>
    <w:rsid w:val="00FB0617"/>
    <w:rsid w:val="00FB071B"/>
    <w:rsid w:val="00FB0738"/>
    <w:rsid w:val="00FB08E4"/>
    <w:rsid w:val="00FB0943"/>
    <w:rsid w:val="00FB095B"/>
    <w:rsid w:val="00FB09AD"/>
    <w:rsid w:val="00FB09C2"/>
    <w:rsid w:val="00FB09C9"/>
    <w:rsid w:val="00FB09DB"/>
    <w:rsid w:val="00FB0A91"/>
    <w:rsid w:val="00FB0BA5"/>
    <w:rsid w:val="00FB0C70"/>
    <w:rsid w:val="00FB0CA6"/>
    <w:rsid w:val="00FB0CD4"/>
    <w:rsid w:val="00FB0D21"/>
    <w:rsid w:val="00FB0D47"/>
    <w:rsid w:val="00FB0E2E"/>
    <w:rsid w:val="00FB0E4E"/>
    <w:rsid w:val="00FB0F21"/>
    <w:rsid w:val="00FB10D3"/>
    <w:rsid w:val="00FB10E1"/>
    <w:rsid w:val="00FB11ED"/>
    <w:rsid w:val="00FB1223"/>
    <w:rsid w:val="00FB1254"/>
    <w:rsid w:val="00FB12EE"/>
    <w:rsid w:val="00FB1359"/>
    <w:rsid w:val="00FB137F"/>
    <w:rsid w:val="00FB13AB"/>
    <w:rsid w:val="00FB13D0"/>
    <w:rsid w:val="00FB1490"/>
    <w:rsid w:val="00FB14A8"/>
    <w:rsid w:val="00FB1502"/>
    <w:rsid w:val="00FB150F"/>
    <w:rsid w:val="00FB1533"/>
    <w:rsid w:val="00FB16BA"/>
    <w:rsid w:val="00FB16EE"/>
    <w:rsid w:val="00FB1728"/>
    <w:rsid w:val="00FB1809"/>
    <w:rsid w:val="00FB1876"/>
    <w:rsid w:val="00FB18C9"/>
    <w:rsid w:val="00FB18F3"/>
    <w:rsid w:val="00FB1946"/>
    <w:rsid w:val="00FB194E"/>
    <w:rsid w:val="00FB195B"/>
    <w:rsid w:val="00FB1A56"/>
    <w:rsid w:val="00FB1AF1"/>
    <w:rsid w:val="00FB1B47"/>
    <w:rsid w:val="00FB1BD2"/>
    <w:rsid w:val="00FB1C52"/>
    <w:rsid w:val="00FB1D6F"/>
    <w:rsid w:val="00FB1E2C"/>
    <w:rsid w:val="00FB1EE6"/>
    <w:rsid w:val="00FB1EF6"/>
    <w:rsid w:val="00FB1F02"/>
    <w:rsid w:val="00FB1F35"/>
    <w:rsid w:val="00FB2055"/>
    <w:rsid w:val="00FB2081"/>
    <w:rsid w:val="00FB2109"/>
    <w:rsid w:val="00FB2121"/>
    <w:rsid w:val="00FB2181"/>
    <w:rsid w:val="00FB21F9"/>
    <w:rsid w:val="00FB2310"/>
    <w:rsid w:val="00FB2315"/>
    <w:rsid w:val="00FB239D"/>
    <w:rsid w:val="00FB23A8"/>
    <w:rsid w:val="00FB2404"/>
    <w:rsid w:val="00FB2477"/>
    <w:rsid w:val="00FB24A9"/>
    <w:rsid w:val="00FB2589"/>
    <w:rsid w:val="00FB25BB"/>
    <w:rsid w:val="00FB2613"/>
    <w:rsid w:val="00FB2662"/>
    <w:rsid w:val="00FB26B7"/>
    <w:rsid w:val="00FB26FF"/>
    <w:rsid w:val="00FB27DD"/>
    <w:rsid w:val="00FB27F7"/>
    <w:rsid w:val="00FB2825"/>
    <w:rsid w:val="00FB28FD"/>
    <w:rsid w:val="00FB290C"/>
    <w:rsid w:val="00FB293D"/>
    <w:rsid w:val="00FB2972"/>
    <w:rsid w:val="00FB2B3F"/>
    <w:rsid w:val="00FB2C4C"/>
    <w:rsid w:val="00FB2C78"/>
    <w:rsid w:val="00FB2C80"/>
    <w:rsid w:val="00FB2C84"/>
    <w:rsid w:val="00FB2DA9"/>
    <w:rsid w:val="00FB2E0A"/>
    <w:rsid w:val="00FB2E1F"/>
    <w:rsid w:val="00FB2EA8"/>
    <w:rsid w:val="00FB2EE6"/>
    <w:rsid w:val="00FB2F04"/>
    <w:rsid w:val="00FB2F40"/>
    <w:rsid w:val="00FB3000"/>
    <w:rsid w:val="00FB3099"/>
    <w:rsid w:val="00FB30A8"/>
    <w:rsid w:val="00FB30B8"/>
    <w:rsid w:val="00FB30F1"/>
    <w:rsid w:val="00FB3167"/>
    <w:rsid w:val="00FB3213"/>
    <w:rsid w:val="00FB32B5"/>
    <w:rsid w:val="00FB330F"/>
    <w:rsid w:val="00FB335B"/>
    <w:rsid w:val="00FB33F6"/>
    <w:rsid w:val="00FB3414"/>
    <w:rsid w:val="00FB348E"/>
    <w:rsid w:val="00FB34B5"/>
    <w:rsid w:val="00FB34BE"/>
    <w:rsid w:val="00FB360C"/>
    <w:rsid w:val="00FB3637"/>
    <w:rsid w:val="00FB36D4"/>
    <w:rsid w:val="00FB3735"/>
    <w:rsid w:val="00FB373D"/>
    <w:rsid w:val="00FB3847"/>
    <w:rsid w:val="00FB3885"/>
    <w:rsid w:val="00FB3918"/>
    <w:rsid w:val="00FB39A3"/>
    <w:rsid w:val="00FB3ADF"/>
    <w:rsid w:val="00FB3B01"/>
    <w:rsid w:val="00FB3B4A"/>
    <w:rsid w:val="00FB3B5C"/>
    <w:rsid w:val="00FB3B60"/>
    <w:rsid w:val="00FB3BA6"/>
    <w:rsid w:val="00FB3BC5"/>
    <w:rsid w:val="00FB3C43"/>
    <w:rsid w:val="00FB3C66"/>
    <w:rsid w:val="00FB3C82"/>
    <w:rsid w:val="00FB3C83"/>
    <w:rsid w:val="00FB3CB9"/>
    <w:rsid w:val="00FB3DDD"/>
    <w:rsid w:val="00FB3DFF"/>
    <w:rsid w:val="00FB3E37"/>
    <w:rsid w:val="00FB3EFF"/>
    <w:rsid w:val="00FB3F10"/>
    <w:rsid w:val="00FB4021"/>
    <w:rsid w:val="00FB4070"/>
    <w:rsid w:val="00FB40FE"/>
    <w:rsid w:val="00FB413D"/>
    <w:rsid w:val="00FB4154"/>
    <w:rsid w:val="00FB4223"/>
    <w:rsid w:val="00FB4284"/>
    <w:rsid w:val="00FB436A"/>
    <w:rsid w:val="00FB439F"/>
    <w:rsid w:val="00FB4431"/>
    <w:rsid w:val="00FB445D"/>
    <w:rsid w:val="00FB453E"/>
    <w:rsid w:val="00FB4564"/>
    <w:rsid w:val="00FB456E"/>
    <w:rsid w:val="00FB459A"/>
    <w:rsid w:val="00FB472F"/>
    <w:rsid w:val="00FB4745"/>
    <w:rsid w:val="00FB487D"/>
    <w:rsid w:val="00FB4983"/>
    <w:rsid w:val="00FB4985"/>
    <w:rsid w:val="00FB4A84"/>
    <w:rsid w:val="00FB4B58"/>
    <w:rsid w:val="00FB4B8B"/>
    <w:rsid w:val="00FB4BB8"/>
    <w:rsid w:val="00FB4BF4"/>
    <w:rsid w:val="00FB4C50"/>
    <w:rsid w:val="00FB4CDA"/>
    <w:rsid w:val="00FB4CFF"/>
    <w:rsid w:val="00FB4D21"/>
    <w:rsid w:val="00FB4DFC"/>
    <w:rsid w:val="00FB4F0A"/>
    <w:rsid w:val="00FB4F26"/>
    <w:rsid w:val="00FB4FB7"/>
    <w:rsid w:val="00FB5051"/>
    <w:rsid w:val="00FB50F0"/>
    <w:rsid w:val="00FB50F5"/>
    <w:rsid w:val="00FB51C7"/>
    <w:rsid w:val="00FB51F3"/>
    <w:rsid w:val="00FB5213"/>
    <w:rsid w:val="00FB5222"/>
    <w:rsid w:val="00FB52A5"/>
    <w:rsid w:val="00FB52BA"/>
    <w:rsid w:val="00FB540F"/>
    <w:rsid w:val="00FB557D"/>
    <w:rsid w:val="00FB5598"/>
    <w:rsid w:val="00FB565F"/>
    <w:rsid w:val="00FB5667"/>
    <w:rsid w:val="00FB5668"/>
    <w:rsid w:val="00FB56BE"/>
    <w:rsid w:val="00FB57CB"/>
    <w:rsid w:val="00FB57E7"/>
    <w:rsid w:val="00FB580F"/>
    <w:rsid w:val="00FB5850"/>
    <w:rsid w:val="00FB58EF"/>
    <w:rsid w:val="00FB5A4E"/>
    <w:rsid w:val="00FB5A6B"/>
    <w:rsid w:val="00FB5B36"/>
    <w:rsid w:val="00FB5C52"/>
    <w:rsid w:val="00FB5CC4"/>
    <w:rsid w:val="00FB5D49"/>
    <w:rsid w:val="00FB5DD1"/>
    <w:rsid w:val="00FB5E4A"/>
    <w:rsid w:val="00FB5EB7"/>
    <w:rsid w:val="00FB5FE6"/>
    <w:rsid w:val="00FB60CB"/>
    <w:rsid w:val="00FB60E1"/>
    <w:rsid w:val="00FB6197"/>
    <w:rsid w:val="00FB624F"/>
    <w:rsid w:val="00FB62CE"/>
    <w:rsid w:val="00FB63B7"/>
    <w:rsid w:val="00FB6449"/>
    <w:rsid w:val="00FB655C"/>
    <w:rsid w:val="00FB6560"/>
    <w:rsid w:val="00FB6762"/>
    <w:rsid w:val="00FB67CA"/>
    <w:rsid w:val="00FB6840"/>
    <w:rsid w:val="00FB6885"/>
    <w:rsid w:val="00FB693A"/>
    <w:rsid w:val="00FB6976"/>
    <w:rsid w:val="00FB69EA"/>
    <w:rsid w:val="00FB6A63"/>
    <w:rsid w:val="00FB6A6A"/>
    <w:rsid w:val="00FB6AF3"/>
    <w:rsid w:val="00FB6B2D"/>
    <w:rsid w:val="00FB6BF3"/>
    <w:rsid w:val="00FB6C39"/>
    <w:rsid w:val="00FB6C70"/>
    <w:rsid w:val="00FB6DFB"/>
    <w:rsid w:val="00FB6E67"/>
    <w:rsid w:val="00FB6EBD"/>
    <w:rsid w:val="00FB6FD3"/>
    <w:rsid w:val="00FB704F"/>
    <w:rsid w:val="00FB70F5"/>
    <w:rsid w:val="00FB7129"/>
    <w:rsid w:val="00FB71BD"/>
    <w:rsid w:val="00FB71EF"/>
    <w:rsid w:val="00FB72B4"/>
    <w:rsid w:val="00FB72CF"/>
    <w:rsid w:val="00FB72DD"/>
    <w:rsid w:val="00FB7420"/>
    <w:rsid w:val="00FB7563"/>
    <w:rsid w:val="00FB7589"/>
    <w:rsid w:val="00FB7600"/>
    <w:rsid w:val="00FB760C"/>
    <w:rsid w:val="00FB7619"/>
    <w:rsid w:val="00FB762B"/>
    <w:rsid w:val="00FB76A6"/>
    <w:rsid w:val="00FB7730"/>
    <w:rsid w:val="00FB774E"/>
    <w:rsid w:val="00FB7802"/>
    <w:rsid w:val="00FB786D"/>
    <w:rsid w:val="00FB792A"/>
    <w:rsid w:val="00FB793C"/>
    <w:rsid w:val="00FB795C"/>
    <w:rsid w:val="00FB7A8D"/>
    <w:rsid w:val="00FB7AEC"/>
    <w:rsid w:val="00FB7AFE"/>
    <w:rsid w:val="00FB7B52"/>
    <w:rsid w:val="00FB7C03"/>
    <w:rsid w:val="00FB7C18"/>
    <w:rsid w:val="00FB7C7B"/>
    <w:rsid w:val="00FB7CAC"/>
    <w:rsid w:val="00FB7CE4"/>
    <w:rsid w:val="00FB7D12"/>
    <w:rsid w:val="00FB7D78"/>
    <w:rsid w:val="00FB7D90"/>
    <w:rsid w:val="00FB7D9D"/>
    <w:rsid w:val="00FB7DDB"/>
    <w:rsid w:val="00FB7E79"/>
    <w:rsid w:val="00FB7EB6"/>
    <w:rsid w:val="00FB7F98"/>
    <w:rsid w:val="00FC015C"/>
    <w:rsid w:val="00FC04B4"/>
    <w:rsid w:val="00FC0638"/>
    <w:rsid w:val="00FC0740"/>
    <w:rsid w:val="00FC075D"/>
    <w:rsid w:val="00FC0762"/>
    <w:rsid w:val="00FC0774"/>
    <w:rsid w:val="00FC0800"/>
    <w:rsid w:val="00FC084A"/>
    <w:rsid w:val="00FC0ADA"/>
    <w:rsid w:val="00FC0BC4"/>
    <w:rsid w:val="00FC0C6E"/>
    <w:rsid w:val="00FC0CC7"/>
    <w:rsid w:val="00FC0CF4"/>
    <w:rsid w:val="00FC0DBE"/>
    <w:rsid w:val="00FC0E9A"/>
    <w:rsid w:val="00FC0F90"/>
    <w:rsid w:val="00FC10A2"/>
    <w:rsid w:val="00FC10B4"/>
    <w:rsid w:val="00FC1103"/>
    <w:rsid w:val="00FC12C2"/>
    <w:rsid w:val="00FC12EF"/>
    <w:rsid w:val="00FC12F7"/>
    <w:rsid w:val="00FC13E1"/>
    <w:rsid w:val="00FC1403"/>
    <w:rsid w:val="00FC1504"/>
    <w:rsid w:val="00FC153F"/>
    <w:rsid w:val="00FC1585"/>
    <w:rsid w:val="00FC1587"/>
    <w:rsid w:val="00FC15A4"/>
    <w:rsid w:val="00FC1615"/>
    <w:rsid w:val="00FC1641"/>
    <w:rsid w:val="00FC1840"/>
    <w:rsid w:val="00FC1895"/>
    <w:rsid w:val="00FC18B2"/>
    <w:rsid w:val="00FC18BD"/>
    <w:rsid w:val="00FC1938"/>
    <w:rsid w:val="00FC194E"/>
    <w:rsid w:val="00FC198E"/>
    <w:rsid w:val="00FC1A45"/>
    <w:rsid w:val="00FC1BA7"/>
    <w:rsid w:val="00FC1BE6"/>
    <w:rsid w:val="00FC1C61"/>
    <w:rsid w:val="00FC1CE7"/>
    <w:rsid w:val="00FC1D9D"/>
    <w:rsid w:val="00FC1DBA"/>
    <w:rsid w:val="00FC2005"/>
    <w:rsid w:val="00FC20DF"/>
    <w:rsid w:val="00FC235D"/>
    <w:rsid w:val="00FC24AF"/>
    <w:rsid w:val="00FC2542"/>
    <w:rsid w:val="00FC256B"/>
    <w:rsid w:val="00FC2704"/>
    <w:rsid w:val="00FC27C9"/>
    <w:rsid w:val="00FC2879"/>
    <w:rsid w:val="00FC28B7"/>
    <w:rsid w:val="00FC28D3"/>
    <w:rsid w:val="00FC28F3"/>
    <w:rsid w:val="00FC292F"/>
    <w:rsid w:val="00FC294D"/>
    <w:rsid w:val="00FC29F5"/>
    <w:rsid w:val="00FC2A5A"/>
    <w:rsid w:val="00FC2C07"/>
    <w:rsid w:val="00FC2C37"/>
    <w:rsid w:val="00FC2C4D"/>
    <w:rsid w:val="00FC2C66"/>
    <w:rsid w:val="00FC2DB3"/>
    <w:rsid w:val="00FC2E13"/>
    <w:rsid w:val="00FC2E19"/>
    <w:rsid w:val="00FC2E21"/>
    <w:rsid w:val="00FC2F6A"/>
    <w:rsid w:val="00FC300D"/>
    <w:rsid w:val="00FC3021"/>
    <w:rsid w:val="00FC3090"/>
    <w:rsid w:val="00FC30EF"/>
    <w:rsid w:val="00FC3104"/>
    <w:rsid w:val="00FC31ED"/>
    <w:rsid w:val="00FC328D"/>
    <w:rsid w:val="00FC331C"/>
    <w:rsid w:val="00FC3361"/>
    <w:rsid w:val="00FC33C3"/>
    <w:rsid w:val="00FC3432"/>
    <w:rsid w:val="00FC3457"/>
    <w:rsid w:val="00FC35A4"/>
    <w:rsid w:val="00FC35DB"/>
    <w:rsid w:val="00FC3619"/>
    <w:rsid w:val="00FC3681"/>
    <w:rsid w:val="00FC379C"/>
    <w:rsid w:val="00FC380D"/>
    <w:rsid w:val="00FC38D6"/>
    <w:rsid w:val="00FC3918"/>
    <w:rsid w:val="00FC3936"/>
    <w:rsid w:val="00FC397C"/>
    <w:rsid w:val="00FC39F3"/>
    <w:rsid w:val="00FC3A88"/>
    <w:rsid w:val="00FC3AD7"/>
    <w:rsid w:val="00FC3B0E"/>
    <w:rsid w:val="00FC3DB1"/>
    <w:rsid w:val="00FC3E7C"/>
    <w:rsid w:val="00FC3E8F"/>
    <w:rsid w:val="00FC3FE6"/>
    <w:rsid w:val="00FC4009"/>
    <w:rsid w:val="00FC4187"/>
    <w:rsid w:val="00FC4294"/>
    <w:rsid w:val="00FC429E"/>
    <w:rsid w:val="00FC433F"/>
    <w:rsid w:val="00FC4370"/>
    <w:rsid w:val="00FC4497"/>
    <w:rsid w:val="00FC44BC"/>
    <w:rsid w:val="00FC44D6"/>
    <w:rsid w:val="00FC456E"/>
    <w:rsid w:val="00FC45D2"/>
    <w:rsid w:val="00FC468A"/>
    <w:rsid w:val="00FC4927"/>
    <w:rsid w:val="00FC49D3"/>
    <w:rsid w:val="00FC49D6"/>
    <w:rsid w:val="00FC4A16"/>
    <w:rsid w:val="00FC4A28"/>
    <w:rsid w:val="00FC4A38"/>
    <w:rsid w:val="00FC4A7D"/>
    <w:rsid w:val="00FC4B1C"/>
    <w:rsid w:val="00FC4B5A"/>
    <w:rsid w:val="00FC4BE8"/>
    <w:rsid w:val="00FC4C32"/>
    <w:rsid w:val="00FC4C4A"/>
    <w:rsid w:val="00FC4C8F"/>
    <w:rsid w:val="00FC4D88"/>
    <w:rsid w:val="00FC4E0C"/>
    <w:rsid w:val="00FC4F3B"/>
    <w:rsid w:val="00FC5005"/>
    <w:rsid w:val="00FC5027"/>
    <w:rsid w:val="00FC52B6"/>
    <w:rsid w:val="00FC530B"/>
    <w:rsid w:val="00FC55B8"/>
    <w:rsid w:val="00FC5640"/>
    <w:rsid w:val="00FC5643"/>
    <w:rsid w:val="00FC56C5"/>
    <w:rsid w:val="00FC5761"/>
    <w:rsid w:val="00FC59C6"/>
    <w:rsid w:val="00FC59D5"/>
    <w:rsid w:val="00FC5A4B"/>
    <w:rsid w:val="00FC5AB8"/>
    <w:rsid w:val="00FC5B82"/>
    <w:rsid w:val="00FC5C24"/>
    <w:rsid w:val="00FC5C55"/>
    <w:rsid w:val="00FC5C5B"/>
    <w:rsid w:val="00FC5CA0"/>
    <w:rsid w:val="00FC5CE7"/>
    <w:rsid w:val="00FC5D3C"/>
    <w:rsid w:val="00FC5D7C"/>
    <w:rsid w:val="00FC5D9B"/>
    <w:rsid w:val="00FC5EAD"/>
    <w:rsid w:val="00FC5F5D"/>
    <w:rsid w:val="00FC5F9E"/>
    <w:rsid w:val="00FC5FFE"/>
    <w:rsid w:val="00FC6039"/>
    <w:rsid w:val="00FC60C2"/>
    <w:rsid w:val="00FC6150"/>
    <w:rsid w:val="00FC615A"/>
    <w:rsid w:val="00FC6208"/>
    <w:rsid w:val="00FC6286"/>
    <w:rsid w:val="00FC62F0"/>
    <w:rsid w:val="00FC62F3"/>
    <w:rsid w:val="00FC63AD"/>
    <w:rsid w:val="00FC64CF"/>
    <w:rsid w:val="00FC64F5"/>
    <w:rsid w:val="00FC6599"/>
    <w:rsid w:val="00FC65F5"/>
    <w:rsid w:val="00FC6741"/>
    <w:rsid w:val="00FC674D"/>
    <w:rsid w:val="00FC675A"/>
    <w:rsid w:val="00FC67A2"/>
    <w:rsid w:val="00FC67B1"/>
    <w:rsid w:val="00FC67C8"/>
    <w:rsid w:val="00FC681B"/>
    <w:rsid w:val="00FC68F7"/>
    <w:rsid w:val="00FC693D"/>
    <w:rsid w:val="00FC6AD4"/>
    <w:rsid w:val="00FC6ADA"/>
    <w:rsid w:val="00FC6B87"/>
    <w:rsid w:val="00FC6C2C"/>
    <w:rsid w:val="00FC6CDB"/>
    <w:rsid w:val="00FC6D03"/>
    <w:rsid w:val="00FC6D44"/>
    <w:rsid w:val="00FC6E21"/>
    <w:rsid w:val="00FC6E5D"/>
    <w:rsid w:val="00FC6EC6"/>
    <w:rsid w:val="00FC6F47"/>
    <w:rsid w:val="00FC6F53"/>
    <w:rsid w:val="00FC6FB3"/>
    <w:rsid w:val="00FC6FF0"/>
    <w:rsid w:val="00FC6FFC"/>
    <w:rsid w:val="00FC702A"/>
    <w:rsid w:val="00FC7063"/>
    <w:rsid w:val="00FC719A"/>
    <w:rsid w:val="00FC7232"/>
    <w:rsid w:val="00FC72E7"/>
    <w:rsid w:val="00FC7334"/>
    <w:rsid w:val="00FC7342"/>
    <w:rsid w:val="00FC73F8"/>
    <w:rsid w:val="00FC7421"/>
    <w:rsid w:val="00FC74DF"/>
    <w:rsid w:val="00FC7527"/>
    <w:rsid w:val="00FC7534"/>
    <w:rsid w:val="00FC76E1"/>
    <w:rsid w:val="00FC76E5"/>
    <w:rsid w:val="00FC770C"/>
    <w:rsid w:val="00FC7761"/>
    <w:rsid w:val="00FC7792"/>
    <w:rsid w:val="00FC77D9"/>
    <w:rsid w:val="00FC7846"/>
    <w:rsid w:val="00FC784F"/>
    <w:rsid w:val="00FC78A4"/>
    <w:rsid w:val="00FC78FD"/>
    <w:rsid w:val="00FC7934"/>
    <w:rsid w:val="00FC79DB"/>
    <w:rsid w:val="00FC7A0D"/>
    <w:rsid w:val="00FC7A2B"/>
    <w:rsid w:val="00FC7B15"/>
    <w:rsid w:val="00FC7B76"/>
    <w:rsid w:val="00FC7BB4"/>
    <w:rsid w:val="00FC7BC2"/>
    <w:rsid w:val="00FC7C4C"/>
    <w:rsid w:val="00FC7CF8"/>
    <w:rsid w:val="00FC7D50"/>
    <w:rsid w:val="00FC7DC0"/>
    <w:rsid w:val="00FC7E95"/>
    <w:rsid w:val="00FC7ED2"/>
    <w:rsid w:val="00FC7F52"/>
    <w:rsid w:val="00FD0021"/>
    <w:rsid w:val="00FD0066"/>
    <w:rsid w:val="00FD00E7"/>
    <w:rsid w:val="00FD00F1"/>
    <w:rsid w:val="00FD0108"/>
    <w:rsid w:val="00FD0165"/>
    <w:rsid w:val="00FD0214"/>
    <w:rsid w:val="00FD022C"/>
    <w:rsid w:val="00FD0267"/>
    <w:rsid w:val="00FD02DB"/>
    <w:rsid w:val="00FD0361"/>
    <w:rsid w:val="00FD04B8"/>
    <w:rsid w:val="00FD0589"/>
    <w:rsid w:val="00FD0642"/>
    <w:rsid w:val="00FD06C4"/>
    <w:rsid w:val="00FD0703"/>
    <w:rsid w:val="00FD0828"/>
    <w:rsid w:val="00FD08F2"/>
    <w:rsid w:val="00FD095E"/>
    <w:rsid w:val="00FD0984"/>
    <w:rsid w:val="00FD0995"/>
    <w:rsid w:val="00FD0A08"/>
    <w:rsid w:val="00FD0A34"/>
    <w:rsid w:val="00FD0A3A"/>
    <w:rsid w:val="00FD0A4C"/>
    <w:rsid w:val="00FD0B84"/>
    <w:rsid w:val="00FD0BD6"/>
    <w:rsid w:val="00FD0BDC"/>
    <w:rsid w:val="00FD0C6D"/>
    <w:rsid w:val="00FD0C78"/>
    <w:rsid w:val="00FD0D73"/>
    <w:rsid w:val="00FD0E15"/>
    <w:rsid w:val="00FD0E46"/>
    <w:rsid w:val="00FD0F09"/>
    <w:rsid w:val="00FD0F4D"/>
    <w:rsid w:val="00FD1059"/>
    <w:rsid w:val="00FD110B"/>
    <w:rsid w:val="00FD11AA"/>
    <w:rsid w:val="00FD127B"/>
    <w:rsid w:val="00FD130A"/>
    <w:rsid w:val="00FD142F"/>
    <w:rsid w:val="00FD1473"/>
    <w:rsid w:val="00FD149A"/>
    <w:rsid w:val="00FD14D6"/>
    <w:rsid w:val="00FD14DB"/>
    <w:rsid w:val="00FD15ED"/>
    <w:rsid w:val="00FD160C"/>
    <w:rsid w:val="00FD1672"/>
    <w:rsid w:val="00FD168E"/>
    <w:rsid w:val="00FD16B6"/>
    <w:rsid w:val="00FD16D6"/>
    <w:rsid w:val="00FD1821"/>
    <w:rsid w:val="00FD182A"/>
    <w:rsid w:val="00FD1852"/>
    <w:rsid w:val="00FD18AC"/>
    <w:rsid w:val="00FD1918"/>
    <w:rsid w:val="00FD1A6D"/>
    <w:rsid w:val="00FD1ADA"/>
    <w:rsid w:val="00FD1B8A"/>
    <w:rsid w:val="00FD1B8C"/>
    <w:rsid w:val="00FD1C27"/>
    <w:rsid w:val="00FD1CA5"/>
    <w:rsid w:val="00FD1E4D"/>
    <w:rsid w:val="00FD1F59"/>
    <w:rsid w:val="00FD1F8A"/>
    <w:rsid w:val="00FD2070"/>
    <w:rsid w:val="00FD2153"/>
    <w:rsid w:val="00FD2187"/>
    <w:rsid w:val="00FD21C5"/>
    <w:rsid w:val="00FD2227"/>
    <w:rsid w:val="00FD223E"/>
    <w:rsid w:val="00FD2314"/>
    <w:rsid w:val="00FD2379"/>
    <w:rsid w:val="00FD23C4"/>
    <w:rsid w:val="00FD2462"/>
    <w:rsid w:val="00FD2511"/>
    <w:rsid w:val="00FD25F7"/>
    <w:rsid w:val="00FD2654"/>
    <w:rsid w:val="00FD2748"/>
    <w:rsid w:val="00FD27FE"/>
    <w:rsid w:val="00FD289D"/>
    <w:rsid w:val="00FD28CA"/>
    <w:rsid w:val="00FD2960"/>
    <w:rsid w:val="00FD296D"/>
    <w:rsid w:val="00FD29B7"/>
    <w:rsid w:val="00FD29CC"/>
    <w:rsid w:val="00FD2A74"/>
    <w:rsid w:val="00FD2B40"/>
    <w:rsid w:val="00FD2BDB"/>
    <w:rsid w:val="00FD2BDD"/>
    <w:rsid w:val="00FD2C46"/>
    <w:rsid w:val="00FD2CC7"/>
    <w:rsid w:val="00FD2CC9"/>
    <w:rsid w:val="00FD2CE8"/>
    <w:rsid w:val="00FD2E18"/>
    <w:rsid w:val="00FD2E4A"/>
    <w:rsid w:val="00FD2E67"/>
    <w:rsid w:val="00FD2E9A"/>
    <w:rsid w:val="00FD2EA9"/>
    <w:rsid w:val="00FD2EBD"/>
    <w:rsid w:val="00FD2F04"/>
    <w:rsid w:val="00FD2F10"/>
    <w:rsid w:val="00FD2FB9"/>
    <w:rsid w:val="00FD2FEC"/>
    <w:rsid w:val="00FD31F8"/>
    <w:rsid w:val="00FD330F"/>
    <w:rsid w:val="00FD3315"/>
    <w:rsid w:val="00FD3366"/>
    <w:rsid w:val="00FD3380"/>
    <w:rsid w:val="00FD33C3"/>
    <w:rsid w:val="00FD33DE"/>
    <w:rsid w:val="00FD34E0"/>
    <w:rsid w:val="00FD3560"/>
    <w:rsid w:val="00FD37C1"/>
    <w:rsid w:val="00FD393C"/>
    <w:rsid w:val="00FD3A0E"/>
    <w:rsid w:val="00FD3A26"/>
    <w:rsid w:val="00FD3A44"/>
    <w:rsid w:val="00FD3BF8"/>
    <w:rsid w:val="00FD3CDC"/>
    <w:rsid w:val="00FD3D01"/>
    <w:rsid w:val="00FD3D2C"/>
    <w:rsid w:val="00FD3D6B"/>
    <w:rsid w:val="00FD3F58"/>
    <w:rsid w:val="00FD3F8E"/>
    <w:rsid w:val="00FD4016"/>
    <w:rsid w:val="00FD4036"/>
    <w:rsid w:val="00FD404D"/>
    <w:rsid w:val="00FD408A"/>
    <w:rsid w:val="00FD40A0"/>
    <w:rsid w:val="00FD413F"/>
    <w:rsid w:val="00FD4201"/>
    <w:rsid w:val="00FD42DE"/>
    <w:rsid w:val="00FD4356"/>
    <w:rsid w:val="00FD436E"/>
    <w:rsid w:val="00FD4380"/>
    <w:rsid w:val="00FD450E"/>
    <w:rsid w:val="00FD4566"/>
    <w:rsid w:val="00FD459D"/>
    <w:rsid w:val="00FD46EA"/>
    <w:rsid w:val="00FD4732"/>
    <w:rsid w:val="00FD4771"/>
    <w:rsid w:val="00FD47E5"/>
    <w:rsid w:val="00FD47F9"/>
    <w:rsid w:val="00FD4806"/>
    <w:rsid w:val="00FD4815"/>
    <w:rsid w:val="00FD48F0"/>
    <w:rsid w:val="00FD490A"/>
    <w:rsid w:val="00FD4926"/>
    <w:rsid w:val="00FD49DE"/>
    <w:rsid w:val="00FD4ADC"/>
    <w:rsid w:val="00FD4AF9"/>
    <w:rsid w:val="00FD4CE7"/>
    <w:rsid w:val="00FD4D18"/>
    <w:rsid w:val="00FD4D37"/>
    <w:rsid w:val="00FD4D45"/>
    <w:rsid w:val="00FD4D64"/>
    <w:rsid w:val="00FD4D9C"/>
    <w:rsid w:val="00FD4DB5"/>
    <w:rsid w:val="00FD4E0C"/>
    <w:rsid w:val="00FD4E47"/>
    <w:rsid w:val="00FD4E5E"/>
    <w:rsid w:val="00FD4ED6"/>
    <w:rsid w:val="00FD4F01"/>
    <w:rsid w:val="00FD4F39"/>
    <w:rsid w:val="00FD4FB2"/>
    <w:rsid w:val="00FD4FD1"/>
    <w:rsid w:val="00FD504C"/>
    <w:rsid w:val="00FD5059"/>
    <w:rsid w:val="00FD50AF"/>
    <w:rsid w:val="00FD5221"/>
    <w:rsid w:val="00FD534F"/>
    <w:rsid w:val="00FD5356"/>
    <w:rsid w:val="00FD5403"/>
    <w:rsid w:val="00FD542E"/>
    <w:rsid w:val="00FD54CB"/>
    <w:rsid w:val="00FD54FB"/>
    <w:rsid w:val="00FD5529"/>
    <w:rsid w:val="00FD5531"/>
    <w:rsid w:val="00FD5577"/>
    <w:rsid w:val="00FD570E"/>
    <w:rsid w:val="00FD5710"/>
    <w:rsid w:val="00FD5805"/>
    <w:rsid w:val="00FD581E"/>
    <w:rsid w:val="00FD5A2E"/>
    <w:rsid w:val="00FD5A67"/>
    <w:rsid w:val="00FD5B0E"/>
    <w:rsid w:val="00FD5B1B"/>
    <w:rsid w:val="00FD5BC2"/>
    <w:rsid w:val="00FD5BD4"/>
    <w:rsid w:val="00FD5BFF"/>
    <w:rsid w:val="00FD5C08"/>
    <w:rsid w:val="00FD5CA3"/>
    <w:rsid w:val="00FD5CB6"/>
    <w:rsid w:val="00FD5D46"/>
    <w:rsid w:val="00FD5ECC"/>
    <w:rsid w:val="00FD5FCF"/>
    <w:rsid w:val="00FD5FDB"/>
    <w:rsid w:val="00FD60A0"/>
    <w:rsid w:val="00FD63A0"/>
    <w:rsid w:val="00FD63D5"/>
    <w:rsid w:val="00FD64A9"/>
    <w:rsid w:val="00FD64B3"/>
    <w:rsid w:val="00FD64B7"/>
    <w:rsid w:val="00FD64E9"/>
    <w:rsid w:val="00FD650E"/>
    <w:rsid w:val="00FD6536"/>
    <w:rsid w:val="00FD6544"/>
    <w:rsid w:val="00FD6649"/>
    <w:rsid w:val="00FD6773"/>
    <w:rsid w:val="00FD68A3"/>
    <w:rsid w:val="00FD691E"/>
    <w:rsid w:val="00FD692D"/>
    <w:rsid w:val="00FD6A38"/>
    <w:rsid w:val="00FD6B0D"/>
    <w:rsid w:val="00FD6B1F"/>
    <w:rsid w:val="00FD6B8B"/>
    <w:rsid w:val="00FD6BA2"/>
    <w:rsid w:val="00FD6BD1"/>
    <w:rsid w:val="00FD6C25"/>
    <w:rsid w:val="00FD6C4F"/>
    <w:rsid w:val="00FD6CA0"/>
    <w:rsid w:val="00FD6CF8"/>
    <w:rsid w:val="00FD6D1E"/>
    <w:rsid w:val="00FD6DDC"/>
    <w:rsid w:val="00FD6F0B"/>
    <w:rsid w:val="00FD6F64"/>
    <w:rsid w:val="00FD6F82"/>
    <w:rsid w:val="00FD6F8D"/>
    <w:rsid w:val="00FD70A7"/>
    <w:rsid w:val="00FD70D6"/>
    <w:rsid w:val="00FD718F"/>
    <w:rsid w:val="00FD71F8"/>
    <w:rsid w:val="00FD7296"/>
    <w:rsid w:val="00FD72F3"/>
    <w:rsid w:val="00FD74E6"/>
    <w:rsid w:val="00FD74EE"/>
    <w:rsid w:val="00FD74FE"/>
    <w:rsid w:val="00FD7514"/>
    <w:rsid w:val="00FD75C0"/>
    <w:rsid w:val="00FD762E"/>
    <w:rsid w:val="00FD7711"/>
    <w:rsid w:val="00FD77D8"/>
    <w:rsid w:val="00FD79AB"/>
    <w:rsid w:val="00FD79AE"/>
    <w:rsid w:val="00FD7A09"/>
    <w:rsid w:val="00FD7AB9"/>
    <w:rsid w:val="00FD7ACA"/>
    <w:rsid w:val="00FD7ADE"/>
    <w:rsid w:val="00FD7B23"/>
    <w:rsid w:val="00FD7B89"/>
    <w:rsid w:val="00FD7BB0"/>
    <w:rsid w:val="00FD7C2A"/>
    <w:rsid w:val="00FD7C72"/>
    <w:rsid w:val="00FD7C96"/>
    <w:rsid w:val="00FD7D30"/>
    <w:rsid w:val="00FD7D73"/>
    <w:rsid w:val="00FD7DB9"/>
    <w:rsid w:val="00FD7DF2"/>
    <w:rsid w:val="00FD7E44"/>
    <w:rsid w:val="00FD7EBF"/>
    <w:rsid w:val="00FD7EF6"/>
    <w:rsid w:val="00FE00C3"/>
    <w:rsid w:val="00FE024F"/>
    <w:rsid w:val="00FE0369"/>
    <w:rsid w:val="00FE0395"/>
    <w:rsid w:val="00FE03FF"/>
    <w:rsid w:val="00FE04A0"/>
    <w:rsid w:val="00FE05E5"/>
    <w:rsid w:val="00FE060F"/>
    <w:rsid w:val="00FE086D"/>
    <w:rsid w:val="00FE090D"/>
    <w:rsid w:val="00FE0979"/>
    <w:rsid w:val="00FE09AD"/>
    <w:rsid w:val="00FE0A1A"/>
    <w:rsid w:val="00FE0A67"/>
    <w:rsid w:val="00FE0B0C"/>
    <w:rsid w:val="00FE0B80"/>
    <w:rsid w:val="00FE0B98"/>
    <w:rsid w:val="00FE0C80"/>
    <w:rsid w:val="00FE0D82"/>
    <w:rsid w:val="00FE0E0F"/>
    <w:rsid w:val="00FE0E1D"/>
    <w:rsid w:val="00FE0F23"/>
    <w:rsid w:val="00FE0F61"/>
    <w:rsid w:val="00FE104F"/>
    <w:rsid w:val="00FE1141"/>
    <w:rsid w:val="00FE1162"/>
    <w:rsid w:val="00FE11C5"/>
    <w:rsid w:val="00FE1210"/>
    <w:rsid w:val="00FE1211"/>
    <w:rsid w:val="00FE1282"/>
    <w:rsid w:val="00FE13C1"/>
    <w:rsid w:val="00FE148F"/>
    <w:rsid w:val="00FE1630"/>
    <w:rsid w:val="00FE16B4"/>
    <w:rsid w:val="00FE16D9"/>
    <w:rsid w:val="00FE16F7"/>
    <w:rsid w:val="00FE17EB"/>
    <w:rsid w:val="00FE180F"/>
    <w:rsid w:val="00FE1858"/>
    <w:rsid w:val="00FE1A8B"/>
    <w:rsid w:val="00FE1AA9"/>
    <w:rsid w:val="00FE1ADC"/>
    <w:rsid w:val="00FE1BAD"/>
    <w:rsid w:val="00FE1BF2"/>
    <w:rsid w:val="00FE1C40"/>
    <w:rsid w:val="00FE1D23"/>
    <w:rsid w:val="00FE1D84"/>
    <w:rsid w:val="00FE1DB7"/>
    <w:rsid w:val="00FE1F92"/>
    <w:rsid w:val="00FE1F97"/>
    <w:rsid w:val="00FE1FFB"/>
    <w:rsid w:val="00FE201C"/>
    <w:rsid w:val="00FE2033"/>
    <w:rsid w:val="00FE2096"/>
    <w:rsid w:val="00FE2130"/>
    <w:rsid w:val="00FE2131"/>
    <w:rsid w:val="00FE2166"/>
    <w:rsid w:val="00FE2191"/>
    <w:rsid w:val="00FE2207"/>
    <w:rsid w:val="00FE228B"/>
    <w:rsid w:val="00FE22EB"/>
    <w:rsid w:val="00FE2303"/>
    <w:rsid w:val="00FE2346"/>
    <w:rsid w:val="00FE237D"/>
    <w:rsid w:val="00FE23F5"/>
    <w:rsid w:val="00FE2442"/>
    <w:rsid w:val="00FE2486"/>
    <w:rsid w:val="00FE24DB"/>
    <w:rsid w:val="00FE252E"/>
    <w:rsid w:val="00FE2656"/>
    <w:rsid w:val="00FE26E8"/>
    <w:rsid w:val="00FE27B8"/>
    <w:rsid w:val="00FE290B"/>
    <w:rsid w:val="00FE2911"/>
    <w:rsid w:val="00FE2916"/>
    <w:rsid w:val="00FE29FD"/>
    <w:rsid w:val="00FE2A2A"/>
    <w:rsid w:val="00FE2A6F"/>
    <w:rsid w:val="00FE2C26"/>
    <w:rsid w:val="00FE2CB5"/>
    <w:rsid w:val="00FE2DD1"/>
    <w:rsid w:val="00FE2DD8"/>
    <w:rsid w:val="00FE2DD9"/>
    <w:rsid w:val="00FE2DFD"/>
    <w:rsid w:val="00FE2E37"/>
    <w:rsid w:val="00FE2EF4"/>
    <w:rsid w:val="00FE2F73"/>
    <w:rsid w:val="00FE3095"/>
    <w:rsid w:val="00FE30B7"/>
    <w:rsid w:val="00FE312A"/>
    <w:rsid w:val="00FE31ED"/>
    <w:rsid w:val="00FE32DC"/>
    <w:rsid w:val="00FE335F"/>
    <w:rsid w:val="00FE3367"/>
    <w:rsid w:val="00FE33EB"/>
    <w:rsid w:val="00FE3467"/>
    <w:rsid w:val="00FE367B"/>
    <w:rsid w:val="00FE3757"/>
    <w:rsid w:val="00FE3879"/>
    <w:rsid w:val="00FE393F"/>
    <w:rsid w:val="00FE3AC7"/>
    <w:rsid w:val="00FE3B68"/>
    <w:rsid w:val="00FE3BE3"/>
    <w:rsid w:val="00FE3BF0"/>
    <w:rsid w:val="00FE3C5A"/>
    <w:rsid w:val="00FE3C7D"/>
    <w:rsid w:val="00FE3CAF"/>
    <w:rsid w:val="00FE3CE8"/>
    <w:rsid w:val="00FE3D57"/>
    <w:rsid w:val="00FE3D6B"/>
    <w:rsid w:val="00FE3D93"/>
    <w:rsid w:val="00FE3DA8"/>
    <w:rsid w:val="00FE3E88"/>
    <w:rsid w:val="00FE3EDF"/>
    <w:rsid w:val="00FE40C8"/>
    <w:rsid w:val="00FE41A2"/>
    <w:rsid w:val="00FE4271"/>
    <w:rsid w:val="00FE4378"/>
    <w:rsid w:val="00FE43C7"/>
    <w:rsid w:val="00FE4434"/>
    <w:rsid w:val="00FE4486"/>
    <w:rsid w:val="00FE44B7"/>
    <w:rsid w:val="00FE44EA"/>
    <w:rsid w:val="00FE44F2"/>
    <w:rsid w:val="00FE4515"/>
    <w:rsid w:val="00FE4550"/>
    <w:rsid w:val="00FE4558"/>
    <w:rsid w:val="00FE459F"/>
    <w:rsid w:val="00FE45B2"/>
    <w:rsid w:val="00FE4610"/>
    <w:rsid w:val="00FE4665"/>
    <w:rsid w:val="00FE46C5"/>
    <w:rsid w:val="00FE4739"/>
    <w:rsid w:val="00FE4766"/>
    <w:rsid w:val="00FE479E"/>
    <w:rsid w:val="00FE47C6"/>
    <w:rsid w:val="00FE4960"/>
    <w:rsid w:val="00FE4B55"/>
    <w:rsid w:val="00FE4B59"/>
    <w:rsid w:val="00FE4B89"/>
    <w:rsid w:val="00FE4C06"/>
    <w:rsid w:val="00FE4C24"/>
    <w:rsid w:val="00FE4C45"/>
    <w:rsid w:val="00FE4C63"/>
    <w:rsid w:val="00FE4D9C"/>
    <w:rsid w:val="00FE4DE5"/>
    <w:rsid w:val="00FE4FCF"/>
    <w:rsid w:val="00FE4FDD"/>
    <w:rsid w:val="00FE50AB"/>
    <w:rsid w:val="00FE51D0"/>
    <w:rsid w:val="00FE51DD"/>
    <w:rsid w:val="00FE52E2"/>
    <w:rsid w:val="00FE5320"/>
    <w:rsid w:val="00FE5434"/>
    <w:rsid w:val="00FE543D"/>
    <w:rsid w:val="00FE546D"/>
    <w:rsid w:val="00FE54BF"/>
    <w:rsid w:val="00FE54E2"/>
    <w:rsid w:val="00FE5525"/>
    <w:rsid w:val="00FE554A"/>
    <w:rsid w:val="00FE55A0"/>
    <w:rsid w:val="00FE55B3"/>
    <w:rsid w:val="00FE5699"/>
    <w:rsid w:val="00FE5829"/>
    <w:rsid w:val="00FE596E"/>
    <w:rsid w:val="00FE59F8"/>
    <w:rsid w:val="00FE5A5E"/>
    <w:rsid w:val="00FE5B1A"/>
    <w:rsid w:val="00FE5BF9"/>
    <w:rsid w:val="00FE5C6B"/>
    <w:rsid w:val="00FE5D3C"/>
    <w:rsid w:val="00FE5DF0"/>
    <w:rsid w:val="00FE5DF5"/>
    <w:rsid w:val="00FE5E24"/>
    <w:rsid w:val="00FE5E68"/>
    <w:rsid w:val="00FE5F37"/>
    <w:rsid w:val="00FE5F88"/>
    <w:rsid w:val="00FE600D"/>
    <w:rsid w:val="00FE602C"/>
    <w:rsid w:val="00FE602F"/>
    <w:rsid w:val="00FE6047"/>
    <w:rsid w:val="00FE60C2"/>
    <w:rsid w:val="00FE615B"/>
    <w:rsid w:val="00FE6160"/>
    <w:rsid w:val="00FE6267"/>
    <w:rsid w:val="00FE62A8"/>
    <w:rsid w:val="00FE6365"/>
    <w:rsid w:val="00FE6394"/>
    <w:rsid w:val="00FE64CA"/>
    <w:rsid w:val="00FE64DD"/>
    <w:rsid w:val="00FE651D"/>
    <w:rsid w:val="00FE65FF"/>
    <w:rsid w:val="00FE6897"/>
    <w:rsid w:val="00FE6931"/>
    <w:rsid w:val="00FE69F2"/>
    <w:rsid w:val="00FE6ABD"/>
    <w:rsid w:val="00FE6ADE"/>
    <w:rsid w:val="00FE6B8A"/>
    <w:rsid w:val="00FE6D71"/>
    <w:rsid w:val="00FE6D9A"/>
    <w:rsid w:val="00FE6DF0"/>
    <w:rsid w:val="00FE6E86"/>
    <w:rsid w:val="00FE6EAB"/>
    <w:rsid w:val="00FE6F24"/>
    <w:rsid w:val="00FE6F77"/>
    <w:rsid w:val="00FE7029"/>
    <w:rsid w:val="00FE718D"/>
    <w:rsid w:val="00FE71B1"/>
    <w:rsid w:val="00FE7216"/>
    <w:rsid w:val="00FE7220"/>
    <w:rsid w:val="00FE7227"/>
    <w:rsid w:val="00FE736C"/>
    <w:rsid w:val="00FE73FA"/>
    <w:rsid w:val="00FE74E5"/>
    <w:rsid w:val="00FE74F3"/>
    <w:rsid w:val="00FE7561"/>
    <w:rsid w:val="00FE75E0"/>
    <w:rsid w:val="00FE76EA"/>
    <w:rsid w:val="00FE7716"/>
    <w:rsid w:val="00FE777D"/>
    <w:rsid w:val="00FE7878"/>
    <w:rsid w:val="00FE788E"/>
    <w:rsid w:val="00FE789F"/>
    <w:rsid w:val="00FE793F"/>
    <w:rsid w:val="00FE797C"/>
    <w:rsid w:val="00FE79B9"/>
    <w:rsid w:val="00FE79EB"/>
    <w:rsid w:val="00FE7AAE"/>
    <w:rsid w:val="00FE7B3F"/>
    <w:rsid w:val="00FE7C32"/>
    <w:rsid w:val="00FE7D3D"/>
    <w:rsid w:val="00FE7D56"/>
    <w:rsid w:val="00FE7E5C"/>
    <w:rsid w:val="00FF0003"/>
    <w:rsid w:val="00FF00B3"/>
    <w:rsid w:val="00FF017C"/>
    <w:rsid w:val="00FF01A0"/>
    <w:rsid w:val="00FF0210"/>
    <w:rsid w:val="00FF0221"/>
    <w:rsid w:val="00FF0248"/>
    <w:rsid w:val="00FF02BB"/>
    <w:rsid w:val="00FF02FD"/>
    <w:rsid w:val="00FF032C"/>
    <w:rsid w:val="00FF033D"/>
    <w:rsid w:val="00FF0374"/>
    <w:rsid w:val="00FF0425"/>
    <w:rsid w:val="00FF045F"/>
    <w:rsid w:val="00FF0522"/>
    <w:rsid w:val="00FF0611"/>
    <w:rsid w:val="00FF067B"/>
    <w:rsid w:val="00FF06A7"/>
    <w:rsid w:val="00FF06CC"/>
    <w:rsid w:val="00FF0708"/>
    <w:rsid w:val="00FF07E3"/>
    <w:rsid w:val="00FF080F"/>
    <w:rsid w:val="00FF0845"/>
    <w:rsid w:val="00FF09EE"/>
    <w:rsid w:val="00FF0A32"/>
    <w:rsid w:val="00FF0ABD"/>
    <w:rsid w:val="00FF0ACE"/>
    <w:rsid w:val="00FF0AFC"/>
    <w:rsid w:val="00FF0D14"/>
    <w:rsid w:val="00FF0D9B"/>
    <w:rsid w:val="00FF0F16"/>
    <w:rsid w:val="00FF1055"/>
    <w:rsid w:val="00FF111B"/>
    <w:rsid w:val="00FF1147"/>
    <w:rsid w:val="00FF1266"/>
    <w:rsid w:val="00FF1275"/>
    <w:rsid w:val="00FF12D2"/>
    <w:rsid w:val="00FF133F"/>
    <w:rsid w:val="00FF1345"/>
    <w:rsid w:val="00FF138D"/>
    <w:rsid w:val="00FF13A7"/>
    <w:rsid w:val="00FF1442"/>
    <w:rsid w:val="00FF14B7"/>
    <w:rsid w:val="00FF14F8"/>
    <w:rsid w:val="00FF1588"/>
    <w:rsid w:val="00FF16AE"/>
    <w:rsid w:val="00FF1751"/>
    <w:rsid w:val="00FF1780"/>
    <w:rsid w:val="00FF1790"/>
    <w:rsid w:val="00FF1890"/>
    <w:rsid w:val="00FF194C"/>
    <w:rsid w:val="00FF19EC"/>
    <w:rsid w:val="00FF19F5"/>
    <w:rsid w:val="00FF1A9F"/>
    <w:rsid w:val="00FF1ACC"/>
    <w:rsid w:val="00FF1B00"/>
    <w:rsid w:val="00FF1B4B"/>
    <w:rsid w:val="00FF1C75"/>
    <w:rsid w:val="00FF1C83"/>
    <w:rsid w:val="00FF1CC7"/>
    <w:rsid w:val="00FF1CF7"/>
    <w:rsid w:val="00FF1D13"/>
    <w:rsid w:val="00FF1D3E"/>
    <w:rsid w:val="00FF1D62"/>
    <w:rsid w:val="00FF1E1B"/>
    <w:rsid w:val="00FF1E52"/>
    <w:rsid w:val="00FF1E99"/>
    <w:rsid w:val="00FF1FBA"/>
    <w:rsid w:val="00FF1FBE"/>
    <w:rsid w:val="00FF1FCF"/>
    <w:rsid w:val="00FF206E"/>
    <w:rsid w:val="00FF2087"/>
    <w:rsid w:val="00FF20B0"/>
    <w:rsid w:val="00FF2148"/>
    <w:rsid w:val="00FF216A"/>
    <w:rsid w:val="00FF2240"/>
    <w:rsid w:val="00FF22AE"/>
    <w:rsid w:val="00FF22CF"/>
    <w:rsid w:val="00FF230E"/>
    <w:rsid w:val="00FF233B"/>
    <w:rsid w:val="00FF246E"/>
    <w:rsid w:val="00FF24D2"/>
    <w:rsid w:val="00FF2500"/>
    <w:rsid w:val="00FF258B"/>
    <w:rsid w:val="00FF2601"/>
    <w:rsid w:val="00FF2602"/>
    <w:rsid w:val="00FF2625"/>
    <w:rsid w:val="00FF2626"/>
    <w:rsid w:val="00FF2659"/>
    <w:rsid w:val="00FF26AC"/>
    <w:rsid w:val="00FF2723"/>
    <w:rsid w:val="00FF277B"/>
    <w:rsid w:val="00FF27B6"/>
    <w:rsid w:val="00FF289E"/>
    <w:rsid w:val="00FF29F4"/>
    <w:rsid w:val="00FF2A0B"/>
    <w:rsid w:val="00FF2A2C"/>
    <w:rsid w:val="00FF2A49"/>
    <w:rsid w:val="00FF2ADA"/>
    <w:rsid w:val="00FF2C72"/>
    <w:rsid w:val="00FF2D21"/>
    <w:rsid w:val="00FF2D2A"/>
    <w:rsid w:val="00FF2EAE"/>
    <w:rsid w:val="00FF2F0F"/>
    <w:rsid w:val="00FF2F8A"/>
    <w:rsid w:val="00FF2FA8"/>
    <w:rsid w:val="00FF2FE6"/>
    <w:rsid w:val="00FF3033"/>
    <w:rsid w:val="00FF3133"/>
    <w:rsid w:val="00FF3196"/>
    <w:rsid w:val="00FF31BA"/>
    <w:rsid w:val="00FF31CB"/>
    <w:rsid w:val="00FF327E"/>
    <w:rsid w:val="00FF32A6"/>
    <w:rsid w:val="00FF332D"/>
    <w:rsid w:val="00FF3338"/>
    <w:rsid w:val="00FF33CF"/>
    <w:rsid w:val="00FF3456"/>
    <w:rsid w:val="00FF3561"/>
    <w:rsid w:val="00FF356D"/>
    <w:rsid w:val="00FF35AC"/>
    <w:rsid w:val="00FF35C8"/>
    <w:rsid w:val="00FF35F1"/>
    <w:rsid w:val="00FF3674"/>
    <w:rsid w:val="00FF36E5"/>
    <w:rsid w:val="00FF3785"/>
    <w:rsid w:val="00FF37FC"/>
    <w:rsid w:val="00FF3822"/>
    <w:rsid w:val="00FF38BB"/>
    <w:rsid w:val="00FF3947"/>
    <w:rsid w:val="00FF395A"/>
    <w:rsid w:val="00FF39AB"/>
    <w:rsid w:val="00FF3A4B"/>
    <w:rsid w:val="00FF3AC2"/>
    <w:rsid w:val="00FF3BA5"/>
    <w:rsid w:val="00FF3D12"/>
    <w:rsid w:val="00FF3D5E"/>
    <w:rsid w:val="00FF3D74"/>
    <w:rsid w:val="00FF3D80"/>
    <w:rsid w:val="00FF3DD5"/>
    <w:rsid w:val="00FF3DDE"/>
    <w:rsid w:val="00FF3EB5"/>
    <w:rsid w:val="00FF3F4F"/>
    <w:rsid w:val="00FF3F50"/>
    <w:rsid w:val="00FF3FA5"/>
    <w:rsid w:val="00FF3FF6"/>
    <w:rsid w:val="00FF4080"/>
    <w:rsid w:val="00FF4094"/>
    <w:rsid w:val="00FF41C7"/>
    <w:rsid w:val="00FF41FE"/>
    <w:rsid w:val="00FF4206"/>
    <w:rsid w:val="00FF42EC"/>
    <w:rsid w:val="00FF433F"/>
    <w:rsid w:val="00FF438E"/>
    <w:rsid w:val="00FF4411"/>
    <w:rsid w:val="00FF4488"/>
    <w:rsid w:val="00FF44BE"/>
    <w:rsid w:val="00FF44C6"/>
    <w:rsid w:val="00FF4539"/>
    <w:rsid w:val="00FF47BC"/>
    <w:rsid w:val="00FF47C8"/>
    <w:rsid w:val="00FF49CB"/>
    <w:rsid w:val="00FF49D3"/>
    <w:rsid w:val="00FF4AE4"/>
    <w:rsid w:val="00FF4B6A"/>
    <w:rsid w:val="00FF4C50"/>
    <w:rsid w:val="00FF4D58"/>
    <w:rsid w:val="00FF4E07"/>
    <w:rsid w:val="00FF4EB0"/>
    <w:rsid w:val="00FF4F39"/>
    <w:rsid w:val="00FF5010"/>
    <w:rsid w:val="00FF50A6"/>
    <w:rsid w:val="00FF5179"/>
    <w:rsid w:val="00FF51C6"/>
    <w:rsid w:val="00FF524D"/>
    <w:rsid w:val="00FF529E"/>
    <w:rsid w:val="00FF53A3"/>
    <w:rsid w:val="00FF561B"/>
    <w:rsid w:val="00FF563E"/>
    <w:rsid w:val="00FF5699"/>
    <w:rsid w:val="00FF56B8"/>
    <w:rsid w:val="00FF576F"/>
    <w:rsid w:val="00FF5777"/>
    <w:rsid w:val="00FF579C"/>
    <w:rsid w:val="00FF5831"/>
    <w:rsid w:val="00FF5A93"/>
    <w:rsid w:val="00FF5ABC"/>
    <w:rsid w:val="00FF5B11"/>
    <w:rsid w:val="00FF5B61"/>
    <w:rsid w:val="00FF5BD7"/>
    <w:rsid w:val="00FF5C16"/>
    <w:rsid w:val="00FF5CD8"/>
    <w:rsid w:val="00FF5D13"/>
    <w:rsid w:val="00FF5E0A"/>
    <w:rsid w:val="00FF5E26"/>
    <w:rsid w:val="00FF5F61"/>
    <w:rsid w:val="00FF5FEC"/>
    <w:rsid w:val="00FF60DD"/>
    <w:rsid w:val="00FF6135"/>
    <w:rsid w:val="00FF61B9"/>
    <w:rsid w:val="00FF62DE"/>
    <w:rsid w:val="00FF62F9"/>
    <w:rsid w:val="00FF636A"/>
    <w:rsid w:val="00FF63EB"/>
    <w:rsid w:val="00FF641C"/>
    <w:rsid w:val="00FF6492"/>
    <w:rsid w:val="00FF652F"/>
    <w:rsid w:val="00FF668D"/>
    <w:rsid w:val="00FF6706"/>
    <w:rsid w:val="00FF67FC"/>
    <w:rsid w:val="00FF6986"/>
    <w:rsid w:val="00FF69C5"/>
    <w:rsid w:val="00FF6B2C"/>
    <w:rsid w:val="00FF6BEF"/>
    <w:rsid w:val="00FF6C05"/>
    <w:rsid w:val="00FF6C4C"/>
    <w:rsid w:val="00FF6C69"/>
    <w:rsid w:val="00FF6CEC"/>
    <w:rsid w:val="00FF6DD4"/>
    <w:rsid w:val="00FF6DE7"/>
    <w:rsid w:val="00FF6E78"/>
    <w:rsid w:val="00FF6EB3"/>
    <w:rsid w:val="00FF6F4D"/>
    <w:rsid w:val="00FF6FCA"/>
    <w:rsid w:val="00FF6FDF"/>
    <w:rsid w:val="00FF7011"/>
    <w:rsid w:val="00FF7033"/>
    <w:rsid w:val="00FF7047"/>
    <w:rsid w:val="00FF706C"/>
    <w:rsid w:val="00FF7098"/>
    <w:rsid w:val="00FF70BB"/>
    <w:rsid w:val="00FF70C6"/>
    <w:rsid w:val="00FF70E8"/>
    <w:rsid w:val="00FF70EF"/>
    <w:rsid w:val="00FF70FC"/>
    <w:rsid w:val="00FF7153"/>
    <w:rsid w:val="00FF715F"/>
    <w:rsid w:val="00FF71B4"/>
    <w:rsid w:val="00FF7256"/>
    <w:rsid w:val="00FF7328"/>
    <w:rsid w:val="00FF7406"/>
    <w:rsid w:val="00FF75A3"/>
    <w:rsid w:val="00FF772D"/>
    <w:rsid w:val="00FF778E"/>
    <w:rsid w:val="00FF77DD"/>
    <w:rsid w:val="00FF77DE"/>
    <w:rsid w:val="00FF783A"/>
    <w:rsid w:val="00FF786E"/>
    <w:rsid w:val="00FF7895"/>
    <w:rsid w:val="00FF78B4"/>
    <w:rsid w:val="00FF78F6"/>
    <w:rsid w:val="00FF793F"/>
    <w:rsid w:val="00FF7AE7"/>
    <w:rsid w:val="00FF7BAE"/>
    <w:rsid w:val="00FF7C39"/>
    <w:rsid w:val="00FF7C90"/>
    <w:rsid w:val="00FF7CE8"/>
    <w:rsid w:val="00FF7D04"/>
    <w:rsid w:val="00FF7E45"/>
    <w:rsid w:val="00FF7EB9"/>
    <w:rsid w:val="00FF7EDD"/>
    <w:rsid w:val="00FF7EF8"/>
    <w:rsid w:val="00FF7FBD"/>
    <w:rsid w:val="00FF7FDA"/>
    <w:rsid w:val="00FF7FDD"/>
    <w:rsid w:val="012C45F1"/>
    <w:rsid w:val="012D7423"/>
    <w:rsid w:val="015FCF83"/>
    <w:rsid w:val="018A22B3"/>
    <w:rsid w:val="01F3EB5C"/>
    <w:rsid w:val="0284A829"/>
    <w:rsid w:val="0285A73D"/>
    <w:rsid w:val="0285DAD9"/>
    <w:rsid w:val="0296473B"/>
    <w:rsid w:val="02E17473"/>
    <w:rsid w:val="030B9488"/>
    <w:rsid w:val="030D06AD"/>
    <w:rsid w:val="0333E5F0"/>
    <w:rsid w:val="0350C9E8"/>
    <w:rsid w:val="0364F97F"/>
    <w:rsid w:val="039BDC00"/>
    <w:rsid w:val="03EE761C"/>
    <w:rsid w:val="03F4560E"/>
    <w:rsid w:val="04049C68"/>
    <w:rsid w:val="044F9A50"/>
    <w:rsid w:val="04AB34C0"/>
    <w:rsid w:val="04BDC7D5"/>
    <w:rsid w:val="0504B3E6"/>
    <w:rsid w:val="05BBFB83"/>
    <w:rsid w:val="0679B624"/>
    <w:rsid w:val="067FFDC2"/>
    <w:rsid w:val="07363FD2"/>
    <w:rsid w:val="073EBEB5"/>
    <w:rsid w:val="0753C942"/>
    <w:rsid w:val="0793C2E6"/>
    <w:rsid w:val="07CDD243"/>
    <w:rsid w:val="07D83244"/>
    <w:rsid w:val="080FB203"/>
    <w:rsid w:val="0934AC19"/>
    <w:rsid w:val="0959225A"/>
    <w:rsid w:val="0961CF6E"/>
    <w:rsid w:val="09753828"/>
    <w:rsid w:val="0993FA1B"/>
    <w:rsid w:val="09A89698"/>
    <w:rsid w:val="0A12227F"/>
    <w:rsid w:val="0A2B9323"/>
    <w:rsid w:val="0A768ECC"/>
    <w:rsid w:val="0AB4690A"/>
    <w:rsid w:val="0AC1B3CC"/>
    <w:rsid w:val="0B0503FB"/>
    <w:rsid w:val="0B081996"/>
    <w:rsid w:val="0B8981D4"/>
    <w:rsid w:val="0BC6EED2"/>
    <w:rsid w:val="0C2336A6"/>
    <w:rsid w:val="0C27D5BD"/>
    <w:rsid w:val="0C2C3F0B"/>
    <w:rsid w:val="0C3AD799"/>
    <w:rsid w:val="0C717C63"/>
    <w:rsid w:val="0C75282B"/>
    <w:rsid w:val="0C8C6957"/>
    <w:rsid w:val="0CD583FD"/>
    <w:rsid w:val="0CE98464"/>
    <w:rsid w:val="0D5AB71D"/>
    <w:rsid w:val="0D619DC2"/>
    <w:rsid w:val="0D6FF5DB"/>
    <w:rsid w:val="0DBAEDFC"/>
    <w:rsid w:val="0DDD8AFB"/>
    <w:rsid w:val="0DE1FD07"/>
    <w:rsid w:val="0E24FD6C"/>
    <w:rsid w:val="0E3111DA"/>
    <w:rsid w:val="0EB6BFEC"/>
    <w:rsid w:val="0F1B7DD8"/>
    <w:rsid w:val="0F5ABFEB"/>
    <w:rsid w:val="0FCA6ADF"/>
    <w:rsid w:val="104405DC"/>
    <w:rsid w:val="105C19A4"/>
    <w:rsid w:val="106486A8"/>
    <w:rsid w:val="107D61BF"/>
    <w:rsid w:val="1097AA62"/>
    <w:rsid w:val="11C86057"/>
    <w:rsid w:val="1244651F"/>
    <w:rsid w:val="126E835B"/>
    <w:rsid w:val="128359E5"/>
    <w:rsid w:val="12A0CE3C"/>
    <w:rsid w:val="12B1D95B"/>
    <w:rsid w:val="12CE2CB7"/>
    <w:rsid w:val="130DE334"/>
    <w:rsid w:val="13BA812D"/>
    <w:rsid w:val="14217DB6"/>
    <w:rsid w:val="14C40EB1"/>
    <w:rsid w:val="1501905C"/>
    <w:rsid w:val="1528D06E"/>
    <w:rsid w:val="15BE660F"/>
    <w:rsid w:val="15D83257"/>
    <w:rsid w:val="15DC8838"/>
    <w:rsid w:val="15F3F251"/>
    <w:rsid w:val="15FE5B7F"/>
    <w:rsid w:val="160FC736"/>
    <w:rsid w:val="1632A71B"/>
    <w:rsid w:val="1673018C"/>
    <w:rsid w:val="169DBDE6"/>
    <w:rsid w:val="16B4DE6E"/>
    <w:rsid w:val="16DBE1D1"/>
    <w:rsid w:val="1702DFA9"/>
    <w:rsid w:val="1733EC05"/>
    <w:rsid w:val="1738FE4D"/>
    <w:rsid w:val="1766F113"/>
    <w:rsid w:val="17BD30B8"/>
    <w:rsid w:val="17F9E207"/>
    <w:rsid w:val="1802122F"/>
    <w:rsid w:val="18229B76"/>
    <w:rsid w:val="18502C5A"/>
    <w:rsid w:val="187E9925"/>
    <w:rsid w:val="189B7558"/>
    <w:rsid w:val="18A2D65D"/>
    <w:rsid w:val="18E7F044"/>
    <w:rsid w:val="19503313"/>
    <w:rsid w:val="195B70CB"/>
    <w:rsid w:val="19707BD6"/>
    <w:rsid w:val="19A974DC"/>
    <w:rsid w:val="19AC1521"/>
    <w:rsid w:val="19D36C32"/>
    <w:rsid w:val="19D430BA"/>
    <w:rsid w:val="1A3C9D4B"/>
    <w:rsid w:val="1A88B98E"/>
    <w:rsid w:val="1ABE041D"/>
    <w:rsid w:val="1B02AA61"/>
    <w:rsid w:val="1B195DB1"/>
    <w:rsid w:val="1B2BCDDE"/>
    <w:rsid w:val="1B358C08"/>
    <w:rsid w:val="1B3D5903"/>
    <w:rsid w:val="1B5570B5"/>
    <w:rsid w:val="1B9FFFD6"/>
    <w:rsid w:val="1BC8C507"/>
    <w:rsid w:val="1C01F70E"/>
    <w:rsid w:val="1C1AFAE0"/>
    <w:rsid w:val="1C6B35A0"/>
    <w:rsid w:val="1C9B7CF0"/>
    <w:rsid w:val="1CD021B5"/>
    <w:rsid w:val="1DD98628"/>
    <w:rsid w:val="1DDBBD64"/>
    <w:rsid w:val="1DDE9C35"/>
    <w:rsid w:val="1DEE4CD4"/>
    <w:rsid w:val="1EAA89C0"/>
    <w:rsid w:val="1EBA2B5D"/>
    <w:rsid w:val="1ED253A6"/>
    <w:rsid w:val="1EEC2026"/>
    <w:rsid w:val="1F124A8E"/>
    <w:rsid w:val="1F1FE75F"/>
    <w:rsid w:val="1F8FF5AA"/>
    <w:rsid w:val="1FAD93E3"/>
    <w:rsid w:val="1FBD27D1"/>
    <w:rsid w:val="2014A623"/>
    <w:rsid w:val="204D19A9"/>
    <w:rsid w:val="20FA91D5"/>
    <w:rsid w:val="20FD05E1"/>
    <w:rsid w:val="2129DB9F"/>
    <w:rsid w:val="213C4C18"/>
    <w:rsid w:val="2150922A"/>
    <w:rsid w:val="2158C4CF"/>
    <w:rsid w:val="2194CC00"/>
    <w:rsid w:val="21B636CA"/>
    <w:rsid w:val="21E2C281"/>
    <w:rsid w:val="21E5586E"/>
    <w:rsid w:val="21F7FC10"/>
    <w:rsid w:val="223B52E1"/>
    <w:rsid w:val="22A17795"/>
    <w:rsid w:val="22C60E17"/>
    <w:rsid w:val="22D61637"/>
    <w:rsid w:val="232B9A59"/>
    <w:rsid w:val="234E7ACF"/>
    <w:rsid w:val="235D864E"/>
    <w:rsid w:val="238F1369"/>
    <w:rsid w:val="23AA2A48"/>
    <w:rsid w:val="23E0043F"/>
    <w:rsid w:val="244E4984"/>
    <w:rsid w:val="252E3BFC"/>
    <w:rsid w:val="253F8B67"/>
    <w:rsid w:val="254672B8"/>
    <w:rsid w:val="2553F595"/>
    <w:rsid w:val="2575CE5C"/>
    <w:rsid w:val="2576D7A6"/>
    <w:rsid w:val="26064731"/>
    <w:rsid w:val="263E5A66"/>
    <w:rsid w:val="2650B462"/>
    <w:rsid w:val="267EBFA9"/>
    <w:rsid w:val="2697E3CC"/>
    <w:rsid w:val="27698B6A"/>
    <w:rsid w:val="27761CAA"/>
    <w:rsid w:val="2786950B"/>
    <w:rsid w:val="27A60585"/>
    <w:rsid w:val="27A9543E"/>
    <w:rsid w:val="28127E91"/>
    <w:rsid w:val="2834CAA0"/>
    <w:rsid w:val="283924C9"/>
    <w:rsid w:val="28537C0A"/>
    <w:rsid w:val="285D2F78"/>
    <w:rsid w:val="28C204E4"/>
    <w:rsid w:val="295E3E1E"/>
    <w:rsid w:val="295F638D"/>
    <w:rsid w:val="2981481C"/>
    <w:rsid w:val="2994614F"/>
    <w:rsid w:val="2995BF1C"/>
    <w:rsid w:val="29BCB311"/>
    <w:rsid w:val="29DAB156"/>
    <w:rsid w:val="29DDCCAF"/>
    <w:rsid w:val="2A12AF2B"/>
    <w:rsid w:val="2B38AA62"/>
    <w:rsid w:val="2B8C3275"/>
    <w:rsid w:val="2BEA9D6F"/>
    <w:rsid w:val="2CCD764E"/>
    <w:rsid w:val="2D5CCB1D"/>
    <w:rsid w:val="2D8C0CD6"/>
    <w:rsid w:val="2D9D5DBB"/>
    <w:rsid w:val="2DB06355"/>
    <w:rsid w:val="2DB1571C"/>
    <w:rsid w:val="2DDE867E"/>
    <w:rsid w:val="2E26A490"/>
    <w:rsid w:val="2E356B3D"/>
    <w:rsid w:val="2E38648B"/>
    <w:rsid w:val="2E492E56"/>
    <w:rsid w:val="2E4DBA63"/>
    <w:rsid w:val="2E7EE2EB"/>
    <w:rsid w:val="2EDB22A5"/>
    <w:rsid w:val="2EE8F7F8"/>
    <w:rsid w:val="2F078065"/>
    <w:rsid w:val="2F5C8D23"/>
    <w:rsid w:val="2F64C9C8"/>
    <w:rsid w:val="2FA177F1"/>
    <w:rsid w:val="2FD6771C"/>
    <w:rsid w:val="300FD985"/>
    <w:rsid w:val="30C203CB"/>
    <w:rsid w:val="30C68F24"/>
    <w:rsid w:val="30D01941"/>
    <w:rsid w:val="30E7CC30"/>
    <w:rsid w:val="31864137"/>
    <w:rsid w:val="3269361E"/>
    <w:rsid w:val="3269DB26"/>
    <w:rsid w:val="3294EDE5"/>
    <w:rsid w:val="32C0CCBB"/>
    <w:rsid w:val="32D72D89"/>
    <w:rsid w:val="32E43CE9"/>
    <w:rsid w:val="33189539"/>
    <w:rsid w:val="33C68512"/>
    <w:rsid w:val="33D70A9E"/>
    <w:rsid w:val="33EBDF51"/>
    <w:rsid w:val="34AEE247"/>
    <w:rsid w:val="3542E743"/>
    <w:rsid w:val="354885AA"/>
    <w:rsid w:val="356EAD99"/>
    <w:rsid w:val="35898722"/>
    <w:rsid w:val="358E675C"/>
    <w:rsid w:val="35DF41F9"/>
    <w:rsid w:val="35EBF8D2"/>
    <w:rsid w:val="3637D8AE"/>
    <w:rsid w:val="365F1C34"/>
    <w:rsid w:val="365F789C"/>
    <w:rsid w:val="36833D45"/>
    <w:rsid w:val="368828C4"/>
    <w:rsid w:val="36AFE345"/>
    <w:rsid w:val="36D16940"/>
    <w:rsid w:val="36DA9A4B"/>
    <w:rsid w:val="370951B7"/>
    <w:rsid w:val="377C5B64"/>
    <w:rsid w:val="37A5F630"/>
    <w:rsid w:val="37CAF89C"/>
    <w:rsid w:val="37FCA608"/>
    <w:rsid w:val="38351F92"/>
    <w:rsid w:val="385F60B7"/>
    <w:rsid w:val="38B50E6F"/>
    <w:rsid w:val="3909EDD3"/>
    <w:rsid w:val="390BF444"/>
    <w:rsid w:val="394FC111"/>
    <w:rsid w:val="395CD345"/>
    <w:rsid w:val="39781B2C"/>
    <w:rsid w:val="398705B5"/>
    <w:rsid w:val="3989ABEA"/>
    <w:rsid w:val="3A003119"/>
    <w:rsid w:val="3AEC4318"/>
    <w:rsid w:val="3AFC35CB"/>
    <w:rsid w:val="3B9EB1D2"/>
    <w:rsid w:val="3BDA2545"/>
    <w:rsid w:val="3C6C3B14"/>
    <w:rsid w:val="3C89EF86"/>
    <w:rsid w:val="3CB39804"/>
    <w:rsid w:val="3CC01587"/>
    <w:rsid w:val="3CC19BBB"/>
    <w:rsid w:val="3CFC1E27"/>
    <w:rsid w:val="3D0EFF73"/>
    <w:rsid w:val="3DA6BEBD"/>
    <w:rsid w:val="3DBD630B"/>
    <w:rsid w:val="3DE339A4"/>
    <w:rsid w:val="3E3522D0"/>
    <w:rsid w:val="3E64D856"/>
    <w:rsid w:val="3E668062"/>
    <w:rsid w:val="3E72F1ED"/>
    <w:rsid w:val="3E8C3EB6"/>
    <w:rsid w:val="3F491366"/>
    <w:rsid w:val="3F5824EC"/>
    <w:rsid w:val="3FDFDFBC"/>
    <w:rsid w:val="402A5784"/>
    <w:rsid w:val="406E206F"/>
    <w:rsid w:val="4087206B"/>
    <w:rsid w:val="40AD723F"/>
    <w:rsid w:val="40EF0D93"/>
    <w:rsid w:val="418BBC5F"/>
    <w:rsid w:val="41AC1296"/>
    <w:rsid w:val="41F139B8"/>
    <w:rsid w:val="421AE043"/>
    <w:rsid w:val="422652B2"/>
    <w:rsid w:val="42622F5F"/>
    <w:rsid w:val="426EC791"/>
    <w:rsid w:val="4292246D"/>
    <w:rsid w:val="42D4BABD"/>
    <w:rsid w:val="42E9C582"/>
    <w:rsid w:val="43044835"/>
    <w:rsid w:val="434C79CD"/>
    <w:rsid w:val="4398FC0D"/>
    <w:rsid w:val="43DD101D"/>
    <w:rsid w:val="43E4CE07"/>
    <w:rsid w:val="43F665A3"/>
    <w:rsid w:val="4408F5AC"/>
    <w:rsid w:val="44E6A056"/>
    <w:rsid w:val="454D66CA"/>
    <w:rsid w:val="45E62A97"/>
    <w:rsid w:val="464BBEDC"/>
    <w:rsid w:val="4697BC1A"/>
    <w:rsid w:val="46E4D89C"/>
    <w:rsid w:val="476D7FD6"/>
    <w:rsid w:val="4774DA4C"/>
    <w:rsid w:val="47D17B88"/>
    <w:rsid w:val="48556E49"/>
    <w:rsid w:val="48621773"/>
    <w:rsid w:val="48D284F5"/>
    <w:rsid w:val="490BF8EE"/>
    <w:rsid w:val="49889C44"/>
    <w:rsid w:val="49DFE9D9"/>
    <w:rsid w:val="4A411A00"/>
    <w:rsid w:val="4AF97F36"/>
    <w:rsid w:val="4B07EDF2"/>
    <w:rsid w:val="4B1465DD"/>
    <w:rsid w:val="4B3320E9"/>
    <w:rsid w:val="4B4309C9"/>
    <w:rsid w:val="4B9AE07B"/>
    <w:rsid w:val="4BC14AB6"/>
    <w:rsid w:val="4C16C22F"/>
    <w:rsid w:val="4C377472"/>
    <w:rsid w:val="4C40E8FF"/>
    <w:rsid w:val="4C7D6986"/>
    <w:rsid w:val="4C8CEF1A"/>
    <w:rsid w:val="4D9595A5"/>
    <w:rsid w:val="4DC7DE53"/>
    <w:rsid w:val="4DF1B262"/>
    <w:rsid w:val="4E084E55"/>
    <w:rsid w:val="4E286CDA"/>
    <w:rsid w:val="4EAD2912"/>
    <w:rsid w:val="4ECB7704"/>
    <w:rsid w:val="4EDCB276"/>
    <w:rsid w:val="4F165F50"/>
    <w:rsid w:val="4F54B037"/>
    <w:rsid w:val="4F554FB1"/>
    <w:rsid w:val="4F5C9B4E"/>
    <w:rsid w:val="4FBA8BB5"/>
    <w:rsid w:val="4FD43503"/>
    <w:rsid w:val="4FFB8183"/>
    <w:rsid w:val="5060AA3A"/>
    <w:rsid w:val="50964931"/>
    <w:rsid w:val="50C6CCA8"/>
    <w:rsid w:val="5141C825"/>
    <w:rsid w:val="5153DD10"/>
    <w:rsid w:val="519037F0"/>
    <w:rsid w:val="51D5B819"/>
    <w:rsid w:val="5223B726"/>
    <w:rsid w:val="523BF8B7"/>
    <w:rsid w:val="52502736"/>
    <w:rsid w:val="52A9534C"/>
    <w:rsid w:val="532FD312"/>
    <w:rsid w:val="538EC735"/>
    <w:rsid w:val="53C95EBD"/>
    <w:rsid w:val="53E87F16"/>
    <w:rsid w:val="5406DF83"/>
    <w:rsid w:val="540EB75D"/>
    <w:rsid w:val="54BE1F63"/>
    <w:rsid w:val="54E62724"/>
    <w:rsid w:val="55170C3C"/>
    <w:rsid w:val="552484BC"/>
    <w:rsid w:val="55BB67BB"/>
    <w:rsid w:val="55D45AA0"/>
    <w:rsid w:val="56B2141D"/>
    <w:rsid w:val="56C2779B"/>
    <w:rsid w:val="573F02B2"/>
    <w:rsid w:val="57796F1B"/>
    <w:rsid w:val="579BCAC5"/>
    <w:rsid w:val="57A18899"/>
    <w:rsid w:val="57C9A310"/>
    <w:rsid w:val="57E202B3"/>
    <w:rsid w:val="57F6D9BB"/>
    <w:rsid w:val="582C606E"/>
    <w:rsid w:val="583D5685"/>
    <w:rsid w:val="585D6FB5"/>
    <w:rsid w:val="587D1705"/>
    <w:rsid w:val="5914E642"/>
    <w:rsid w:val="595D866D"/>
    <w:rsid w:val="5995DEFF"/>
    <w:rsid w:val="59A4799D"/>
    <w:rsid w:val="59AB5F8E"/>
    <w:rsid w:val="59B78E5D"/>
    <w:rsid w:val="59F6389A"/>
    <w:rsid w:val="5A05A6AA"/>
    <w:rsid w:val="5A11AC5C"/>
    <w:rsid w:val="5A2EBFFE"/>
    <w:rsid w:val="5A965BD8"/>
    <w:rsid w:val="5B24DF2C"/>
    <w:rsid w:val="5B271A00"/>
    <w:rsid w:val="5B318EF5"/>
    <w:rsid w:val="5B55473D"/>
    <w:rsid w:val="5B76F169"/>
    <w:rsid w:val="5BD683B1"/>
    <w:rsid w:val="5BEE7E48"/>
    <w:rsid w:val="5C071FF8"/>
    <w:rsid w:val="5C40DAE6"/>
    <w:rsid w:val="5C6DC379"/>
    <w:rsid w:val="5C6F67E9"/>
    <w:rsid w:val="5CB72F9C"/>
    <w:rsid w:val="5CFAC398"/>
    <w:rsid w:val="5D0BDE12"/>
    <w:rsid w:val="5D8C0702"/>
    <w:rsid w:val="5DC21353"/>
    <w:rsid w:val="5DCBE888"/>
    <w:rsid w:val="5E30A58E"/>
    <w:rsid w:val="5E39E0FD"/>
    <w:rsid w:val="5E7A4404"/>
    <w:rsid w:val="5E7E1B4B"/>
    <w:rsid w:val="5E9E1E1D"/>
    <w:rsid w:val="5ED52C22"/>
    <w:rsid w:val="5EDC2C09"/>
    <w:rsid w:val="5EE6D5B1"/>
    <w:rsid w:val="5F0F7C36"/>
    <w:rsid w:val="5F523C5B"/>
    <w:rsid w:val="5FDDEB3A"/>
    <w:rsid w:val="5FEDBDB8"/>
    <w:rsid w:val="601C8C62"/>
    <w:rsid w:val="60488E1B"/>
    <w:rsid w:val="610A9EB0"/>
    <w:rsid w:val="61927024"/>
    <w:rsid w:val="61C741EE"/>
    <w:rsid w:val="61D7209B"/>
    <w:rsid w:val="62358558"/>
    <w:rsid w:val="623B784C"/>
    <w:rsid w:val="623BBB19"/>
    <w:rsid w:val="6242DB5C"/>
    <w:rsid w:val="62A11C9D"/>
    <w:rsid w:val="62A1AC62"/>
    <w:rsid w:val="62E41940"/>
    <w:rsid w:val="62E45341"/>
    <w:rsid w:val="6341B5C4"/>
    <w:rsid w:val="63CFC438"/>
    <w:rsid w:val="63D2B8B4"/>
    <w:rsid w:val="63F59D3A"/>
    <w:rsid w:val="644CF4DA"/>
    <w:rsid w:val="64880CD1"/>
    <w:rsid w:val="64EF77C0"/>
    <w:rsid w:val="6506E4C4"/>
    <w:rsid w:val="651A5A27"/>
    <w:rsid w:val="6590BAE6"/>
    <w:rsid w:val="6592221F"/>
    <w:rsid w:val="65941909"/>
    <w:rsid w:val="65C2740A"/>
    <w:rsid w:val="65C5EF77"/>
    <w:rsid w:val="65CC381B"/>
    <w:rsid w:val="6605C9D8"/>
    <w:rsid w:val="661B7C96"/>
    <w:rsid w:val="66538D6F"/>
    <w:rsid w:val="677F240A"/>
    <w:rsid w:val="67EF52DB"/>
    <w:rsid w:val="68095215"/>
    <w:rsid w:val="682191B9"/>
    <w:rsid w:val="6836ACBA"/>
    <w:rsid w:val="6890EFFE"/>
    <w:rsid w:val="68F44A51"/>
    <w:rsid w:val="697F8AC6"/>
    <w:rsid w:val="6984CE2A"/>
    <w:rsid w:val="6989C078"/>
    <w:rsid w:val="69E9CCA3"/>
    <w:rsid w:val="6A0FB6D0"/>
    <w:rsid w:val="6A24F8DC"/>
    <w:rsid w:val="6A89667F"/>
    <w:rsid w:val="6B1D549A"/>
    <w:rsid w:val="6B2186C7"/>
    <w:rsid w:val="6B3368DD"/>
    <w:rsid w:val="6B3B0F3A"/>
    <w:rsid w:val="6C8B88DC"/>
    <w:rsid w:val="6CB679EA"/>
    <w:rsid w:val="6CC6EC4E"/>
    <w:rsid w:val="6CE2FBA2"/>
    <w:rsid w:val="6CF853B0"/>
    <w:rsid w:val="6D17A939"/>
    <w:rsid w:val="6D28972E"/>
    <w:rsid w:val="6D43BDA8"/>
    <w:rsid w:val="6D56FEC7"/>
    <w:rsid w:val="6D65F6BC"/>
    <w:rsid w:val="6DAFC784"/>
    <w:rsid w:val="6E079824"/>
    <w:rsid w:val="6E6BB62E"/>
    <w:rsid w:val="6E926C74"/>
    <w:rsid w:val="6EB329C7"/>
    <w:rsid w:val="6EE5D431"/>
    <w:rsid w:val="6F3332D1"/>
    <w:rsid w:val="6F3BB2DB"/>
    <w:rsid w:val="6F40CB0D"/>
    <w:rsid w:val="6F47081E"/>
    <w:rsid w:val="6F552205"/>
    <w:rsid w:val="6F66DEB5"/>
    <w:rsid w:val="6F7F8258"/>
    <w:rsid w:val="6F81C1A7"/>
    <w:rsid w:val="7048D422"/>
    <w:rsid w:val="70923583"/>
    <w:rsid w:val="7098082C"/>
    <w:rsid w:val="711E0167"/>
    <w:rsid w:val="712D69E7"/>
    <w:rsid w:val="713508BA"/>
    <w:rsid w:val="71F61D10"/>
    <w:rsid w:val="720CDB5B"/>
    <w:rsid w:val="720E0A88"/>
    <w:rsid w:val="7213F546"/>
    <w:rsid w:val="72370861"/>
    <w:rsid w:val="72D3AE64"/>
    <w:rsid w:val="73413F00"/>
    <w:rsid w:val="7390242B"/>
    <w:rsid w:val="73CA0C03"/>
    <w:rsid w:val="73F39833"/>
    <w:rsid w:val="742181D8"/>
    <w:rsid w:val="7492AA9D"/>
    <w:rsid w:val="74DBEF2C"/>
    <w:rsid w:val="74F17F1A"/>
    <w:rsid w:val="750B723F"/>
    <w:rsid w:val="7579DDF4"/>
    <w:rsid w:val="75C72ADD"/>
    <w:rsid w:val="7602AEE9"/>
    <w:rsid w:val="7623EC3A"/>
    <w:rsid w:val="7673FFD3"/>
    <w:rsid w:val="768FD9C7"/>
    <w:rsid w:val="76966C01"/>
    <w:rsid w:val="76DAABD7"/>
    <w:rsid w:val="772A40B9"/>
    <w:rsid w:val="773EC348"/>
    <w:rsid w:val="77D15E8F"/>
    <w:rsid w:val="77DE336E"/>
    <w:rsid w:val="77F08D23"/>
    <w:rsid w:val="781340A8"/>
    <w:rsid w:val="784E0698"/>
    <w:rsid w:val="786595D4"/>
    <w:rsid w:val="78688D97"/>
    <w:rsid w:val="786CF948"/>
    <w:rsid w:val="786D66BC"/>
    <w:rsid w:val="78F2ECFA"/>
    <w:rsid w:val="78FD7BA6"/>
    <w:rsid w:val="790D9662"/>
    <w:rsid w:val="7947A8E1"/>
    <w:rsid w:val="794DF692"/>
    <w:rsid w:val="79536C52"/>
    <w:rsid w:val="79845473"/>
    <w:rsid w:val="79BB6FCD"/>
    <w:rsid w:val="79F83164"/>
    <w:rsid w:val="7A0FEFAE"/>
    <w:rsid w:val="7A19EEB7"/>
    <w:rsid w:val="7A96A810"/>
    <w:rsid w:val="7AB067E0"/>
    <w:rsid w:val="7B69C4D2"/>
    <w:rsid w:val="7B8CAFBD"/>
    <w:rsid w:val="7B8D3500"/>
    <w:rsid w:val="7BAE4AEE"/>
    <w:rsid w:val="7BE8A58C"/>
    <w:rsid w:val="7BF350A8"/>
    <w:rsid w:val="7C4DCEA7"/>
    <w:rsid w:val="7C560972"/>
    <w:rsid w:val="7CA100D0"/>
    <w:rsid w:val="7CBDA912"/>
    <w:rsid w:val="7CF69FF3"/>
    <w:rsid w:val="7D092D40"/>
    <w:rsid w:val="7D1D6B71"/>
    <w:rsid w:val="7D4F84BE"/>
    <w:rsid w:val="7DB0E3BA"/>
    <w:rsid w:val="7DDEDC3D"/>
    <w:rsid w:val="7E7019ED"/>
    <w:rsid w:val="7E9ECE2E"/>
    <w:rsid w:val="7EE4D74F"/>
    <w:rsid w:val="7EFDA982"/>
    <w:rsid w:val="7F09DA88"/>
    <w:rsid w:val="7F15063A"/>
    <w:rsid w:val="7F2BB90F"/>
    <w:rsid w:val="7F4240CE"/>
    <w:rsid w:val="7F67D4F7"/>
    <w:rsid w:val="7F9176C3"/>
    <w:rsid w:val="7FB63A78"/>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74FF2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lsdException w:name="heading 6" w:semiHidden="1" w:uiPriority="0" w:unhideWhenUsed="1"/>
    <w:lsdException w:name="heading 7" w:semiHidden="1" w:uiPriority="9"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qFormat="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D7159"/>
    <w:pPr>
      <w:spacing w:before="240" w:after="240" w:line="240" w:lineRule="auto"/>
    </w:pPr>
    <w:rPr>
      <w:rFonts w:ascii="Calibri Light" w:eastAsia="Times New Roman" w:hAnsi="Calibri Light" w:cs="Times New Roman"/>
      <w:color w:val="000000" w:themeColor="text1"/>
      <w:szCs w:val="20"/>
      <w:lang w:eastAsia="en-AU"/>
    </w:rPr>
  </w:style>
  <w:style w:type="paragraph" w:styleId="Heading1">
    <w:name w:val="heading 1"/>
    <w:next w:val="Normal"/>
    <w:link w:val="Heading1Char"/>
    <w:qFormat/>
    <w:rsid w:val="00557D2D"/>
    <w:pPr>
      <w:spacing w:before="240" w:after="240" w:line="560" w:lineRule="exact"/>
      <w:outlineLvl w:val="0"/>
    </w:pPr>
    <w:rPr>
      <w:rFonts w:asciiTheme="majorHAnsi" w:eastAsia="Times New Roman" w:hAnsiTheme="majorHAnsi" w:cs="Arial"/>
      <w:b/>
      <w:color w:val="000000" w:themeColor="text1"/>
      <w:kern w:val="32"/>
      <w:sz w:val="56"/>
      <w:szCs w:val="36"/>
      <w:lang w:eastAsia="en-AU"/>
    </w:rPr>
  </w:style>
  <w:style w:type="paragraph" w:styleId="Heading2">
    <w:name w:val="heading 2"/>
    <w:basedOn w:val="HeadingBase"/>
    <w:next w:val="Normal"/>
    <w:link w:val="Heading2Char"/>
    <w:qFormat/>
    <w:rsid w:val="002C4475"/>
    <w:pPr>
      <w:spacing w:before="360" w:line="460" w:lineRule="exact"/>
      <w:outlineLvl w:val="1"/>
    </w:pPr>
    <w:rPr>
      <w:bCs w:val="0"/>
      <w:iCs/>
      <w:szCs w:val="28"/>
    </w:rPr>
  </w:style>
  <w:style w:type="paragraph" w:styleId="Heading3">
    <w:name w:val="heading 3"/>
    <w:basedOn w:val="HeadingBase"/>
    <w:next w:val="Normal"/>
    <w:link w:val="Heading3Char"/>
    <w:qFormat/>
    <w:rsid w:val="00557D2D"/>
    <w:pPr>
      <w:spacing w:before="320" w:line="276" w:lineRule="auto"/>
      <w:outlineLvl w:val="2"/>
    </w:pPr>
    <w:rPr>
      <w:bCs w:val="0"/>
      <w:color w:val="B54A26"/>
      <w:sz w:val="36"/>
      <w:szCs w:val="26"/>
    </w:rPr>
  </w:style>
  <w:style w:type="paragraph" w:styleId="Heading4">
    <w:name w:val="heading 4"/>
    <w:next w:val="Normal"/>
    <w:link w:val="Heading4Char"/>
    <w:qFormat/>
    <w:rsid w:val="00042AA7"/>
    <w:pPr>
      <w:spacing w:before="280" w:after="0" w:line="240" w:lineRule="auto"/>
      <w:outlineLvl w:val="3"/>
    </w:pPr>
    <w:rPr>
      <w:rFonts w:ascii="Calibri Light" w:eastAsia="Times New Roman" w:hAnsi="Calibri Light" w:cs="Arial"/>
      <w:b/>
      <w:color w:val="000000" w:themeColor="text1"/>
      <w:kern w:val="32"/>
      <w:sz w:val="28"/>
      <w:szCs w:val="26"/>
      <w:lang w:eastAsia="en-AU"/>
    </w:rPr>
  </w:style>
  <w:style w:type="paragraph" w:styleId="Heading5">
    <w:name w:val="heading 5"/>
    <w:basedOn w:val="HeadingBase"/>
    <w:next w:val="Normal"/>
    <w:link w:val="Heading5Char"/>
    <w:rsid w:val="007F3CE0"/>
    <w:pPr>
      <w:spacing w:before="240" w:after="0" w:line="276" w:lineRule="auto"/>
      <w:outlineLvl w:val="4"/>
    </w:pPr>
    <w:rPr>
      <w:bCs w:val="0"/>
      <w:iCs/>
      <w:color w:val="4D4D4D" w:themeColor="accent6"/>
      <w:sz w:val="25"/>
    </w:rPr>
  </w:style>
  <w:style w:type="paragraph" w:styleId="Heading6">
    <w:name w:val="heading 6"/>
    <w:basedOn w:val="HeadingBase"/>
    <w:next w:val="Normal"/>
    <w:link w:val="Heading6Char"/>
    <w:rsid w:val="007F3CE0"/>
    <w:pPr>
      <w:spacing w:before="240" w:after="0" w:line="276" w:lineRule="auto"/>
      <w:outlineLvl w:val="5"/>
    </w:pPr>
    <w:rPr>
      <w:rFonts w:ascii="Calibri Light" w:hAnsi="Calibri Light"/>
      <w:b/>
      <w:bCs w:val="0"/>
      <w:color w:val="5F5F5F" w:themeColor="accent5"/>
      <w:sz w:val="23"/>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557D2D"/>
    <w:rPr>
      <w:rFonts w:asciiTheme="majorHAnsi" w:eastAsia="Times New Roman" w:hAnsiTheme="majorHAnsi" w:cs="Arial"/>
      <w:b/>
      <w:color w:val="000000" w:themeColor="text1"/>
      <w:kern w:val="32"/>
      <w:sz w:val="56"/>
      <w:szCs w:val="36"/>
      <w:lang w:eastAsia="en-AU"/>
    </w:rPr>
  </w:style>
  <w:style w:type="character" w:customStyle="1" w:styleId="Heading2Char">
    <w:name w:val="Heading 2 Char"/>
    <w:basedOn w:val="DefaultParagraphFont"/>
    <w:link w:val="Heading2"/>
    <w:rsid w:val="002C4475"/>
    <w:rPr>
      <w:rFonts w:asciiTheme="majorHAnsi" w:eastAsia="Times New Roman" w:hAnsiTheme="majorHAnsi" w:cs="Arial"/>
      <w:iCs/>
      <w:color w:val="000000" w:themeColor="text1"/>
      <w:kern w:val="32"/>
      <w:sz w:val="48"/>
      <w:szCs w:val="28"/>
      <w:lang w:eastAsia="en-AU"/>
    </w:rPr>
  </w:style>
  <w:style w:type="character" w:customStyle="1" w:styleId="Heading3Char">
    <w:name w:val="Heading 3 Char"/>
    <w:basedOn w:val="DefaultParagraphFont"/>
    <w:link w:val="Heading3"/>
    <w:rsid w:val="00557D2D"/>
    <w:rPr>
      <w:rFonts w:asciiTheme="majorHAnsi" w:eastAsia="Times New Roman" w:hAnsiTheme="majorHAnsi" w:cs="Arial"/>
      <w:color w:val="B54A26"/>
      <w:kern w:val="32"/>
      <w:sz w:val="36"/>
      <w:szCs w:val="26"/>
      <w:lang w:eastAsia="en-AU"/>
    </w:rPr>
  </w:style>
  <w:style w:type="character" w:customStyle="1" w:styleId="Heading4Char">
    <w:name w:val="Heading 4 Char"/>
    <w:basedOn w:val="DefaultParagraphFont"/>
    <w:link w:val="Heading4"/>
    <w:rsid w:val="00042AA7"/>
    <w:rPr>
      <w:rFonts w:ascii="Calibri Light" w:eastAsia="Times New Roman" w:hAnsi="Calibri Light" w:cs="Arial"/>
      <w:b/>
      <w:color w:val="000000" w:themeColor="text1"/>
      <w:kern w:val="32"/>
      <w:sz w:val="28"/>
      <w:szCs w:val="26"/>
      <w:lang w:eastAsia="en-AU"/>
    </w:rPr>
  </w:style>
  <w:style w:type="character" w:customStyle="1" w:styleId="Heading5Char">
    <w:name w:val="Heading 5 Char"/>
    <w:basedOn w:val="DefaultParagraphFont"/>
    <w:link w:val="Heading5"/>
    <w:rsid w:val="007F3CE0"/>
    <w:rPr>
      <w:rFonts w:asciiTheme="majorHAnsi" w:eastAsia="Times New Roman" w:hAnsiTheme="majorHAnsi" w:cs="Arial"/>
      <w:iCs/>
      <w:color w:val="4D4D4D" w:themeColor="accent6"/>
      <w:kern w:val="32"/>
      <w:sz w:val="25"/>
      <w:szCs w:val="36"/>
      <w:lang w:eastAsia="en-AU"/>
    </w:rPr>
  </w:style>
  <w:style w:type="character" w:customStyle="1" w:styleId="Heading6Char">
    <w:name w:val="Heading 6 Char"/>
    <w:basedOn w:val="DefaultParagraphFont"/>
    <w:link w:val="Heading6"/>
    <w:rsid w:val="007F3CE0"/>
    <w:rPr>
      <w:rFonts w:ascii="Calibri Light" w:eastAsia="Times New Roman" w:hAnsi="Calibri Light" w:cs="Arial"/>
      <w:b/>
      <w:color w:val="5F5F5F" w:themeColor="accent5"/>
      <w:kern w:val="32"/>
      <w:sz w:val="23"/>
      <w:lang w:eastAsia="en-AU"/>
    </w:rPr>
  </w:style>
  <w:style w:type="paragraph" w:customStyle="1" w:styleId="ChartGraphic">
    <w:name w:val="Chart Graphic"/>
    <w:basedOn w:val="Normal"/>
    <w:next w:val="Normal"/>
    <w:rsid w:val="00CB3822"/>
    <w:pPr>
      <w:keepNext/>
      <w:spacing w:after="0"/>
    </w:pPr>
    <w:rPr>
      <w:color w:val="4D4D4D" w:themeColor="accent6"/>
      <w:sz w:val="20"/>
    </w:rPr>
  </w:style>
  <w:style w:type="paragraph" w:customStyle="1" w:styleId="AlphaParagraph">
    <w:name w:val="Alpha Paragraph"/>
    <w:basedOn w:val="Normal"/>
    <w:qFormat/>
    <w:rsid w:val="007F3CE0"/>
    <w:pPr>
      <w:numPr>
        <w:ilvl w:val="1"/>
        <w:numId w:val="7"/>
      </w:numPr>
      <w:spacing w:before="0"/>
    </w:pPr>
  </w:style>
  <w:style w:type="character" w:customStyle="1" w:styleId="DashChar">
    <w:name w:val="Dash Char"/>
    <w:basedOn w:val="DefaultParagraphFont"/>
    <w:link w:val="Dash"/>
    <w:locked/>
    <w:rsid w:val="00656F7A"/>
    <w:rPr>
      <w:rFonts w:ascii="Calibri Light" w:eastAsia="Times New Roman" w:hAnsi="Calibri Light" w:cs="Times New Roman"/>
      <w:color w:val="000000" w:themeColor="text1"/>
      <w:szCs w:val="20"/>
      <w:lang w:eastAsia="en-AU"/>
    </w:rPr>
  </w:style>
  <w:style w:type="character" w:customStyle="1" w:styleId="DoubleDotChar">
    <w:name w:val="Double Dot Char"/>
    <w:basedOn w:val="DefaultParagraphFont"/>
    <w:link w:val="DoubleDot"/>
    <w:locked/>
    <w:rsid w:val="007F3CE0"/>
    <w:rPr>
      <w:rFonts w:eastAsia="Times New Roman" w:cs="Times New Roman"/>
      <w:color w:val="000000" w:themeColor="text1"/>
      <w:szCs w:val="20"/>
      <w:lang w:eastAsia="en-AU"/>
    </w:rPr>
  </w:style>
  <w:style w:type="character" w:customStyle="1" w:styleId="BulletChar">
    <w:name w:val="Bullet Char"/>
    <w:basedOn w:val="DefaultParagraphFont"/>
    <w:link w:val="Bullet"/>
    <w:locked/>
    <w:rsid w:val="00BA0320"/>
    <w:rPr>
      <w:rFonts w:ascii="Calibri Light" w:eastAsia="Times New Roman" w:hAnsi="Calibri Light" w:cs="Times New Roman"/>
      <w:color w:val="000000" w:themeColor="text1"/>
      <w:szCs w:val="20"/>
      <w:lang w:eastAsia="en-AU"/>
    </w:rPr>
  </w:style>
  <w:style w:type="paragraph" w:customStyle="1" w:styleId="BoxHeading">
    <w:name w:val="Box Heading"/>
    <w:basedOn w:val="Normal"/>
    <w:next w:val="Normal"/>
    <w:rsid w:val="00CE0F49"/>
    <w:pPr>
      <w:keepNext/>
      <w:spacing w:before="120" w:after="180"/>
    </w:pPr>
    <w:rPr>
      <w:b/>
      <w:sz w:val="26"/>
      <w:szCs w:val="26"/>
    </w:rPr>
  </w:style>
  <w:style w:type="paragraph" w:customStyle="1" w:styleId="BoxText">
    <w:name w:val="Box Text"/>
    <w:basedOn w:val="Normal"/>
    <w:link w:val="BoxTextChar"/>
    <w:rsid w:val="00D05E2B"/>
    <w:pPr>
      <w:spacing w:before="120" w:after="120"/>
    </w:pPr>
    <w:rPr>
      <w:szCs w:val="22"/>
    </w:rPr>
  </w:style>
  <w:style w:type="paragraph" w:customStyle="1" w:styleId="Bullet">
    <w:name w:val="Bullet"/>
    <w:basedOn w:val="Normal"/>
    <w:link w:val="BulletChar"/>
    <w:qFormat/>
    <w:rsid w:val="00BA0320"/>
    <w:pPr>
      <w:numPr>
        <w:numId w:val="8"/>
      </w:numPr>
      <w:spacing w:before="120" w:after="60"/>
      <w:ind w:left="284" w:hanging="284"/>
    </w:pPr>
  </w:style>
  <w:style w:type="paragraph" w:customStyle="1" w:styleId="ChartandTableFootnoteAlpha">
    <w:name w:val="Chart and Table Footnote Alpha"/>
    <w:rsid w:val="00E8671C"/>
    <w:pPr>
      <w:numPr>
        <w:numId w:val="23"/>
      </w:numPr>
      <w:spacing w:before="40" w:after="40" w:line="240" w:lineRule="auto"/>
      <w:contextualSpacing/>
      <w:jc w:val="both"/>
    </w:pPr>
    <w:rPr>
      <w:rFonts w:ascii="Calibri Light" w:eastAsia="Times New Roman" w:hAnsi="Calibri Light" w:cs="Times New Roman"/>
      <w:color w:val="000000"/>
      <w:sz w:val="18"/>
      <w:szCs w:val="16"/>
      <w:lang w:eastAsia="en-AU"/>
    </w:rPr>
  </w:style>
  <w:style w:type="paragraph" w:customStyle="1" w:styleId="ChartMainHeading">
    <w:name w:val="Chart Main Heading"/>
    <w:basedOn w:val="TableMainHeading"/>
    <w:next w:val="ChartGraphic"/>
    <w:rsid w:val="0019534E"/>
    <w:pPr>
      <w:pBdr>
        <w:bottom w:val="single" w:sz="2" w:space="1" w:color="B54A26"/>
      </w:pBdr>
    </w:pPr>
    <w:rPr>
      <w:szCs w:val="24"/>
    </w:rPr>
  </w:style>
  <w:style w:type="paragraph" w:customStyle="1" w:styleId="ChartorTableNote">
    <w:name w:val="Chart or Table Note"/>
    <w:next w:val="Normal"/>
    <w:rsid w:val="007F3CE0"/>
    <w:pPr>
      <w:spacing w:before="60" w:after="40" w:line="240" w:lineRule="auto"/>
      <w:jc w:val="both"/>
    </w:pPr>
    <w:rPr>
      <w:rFonts w:ascii="Calibri" w:eastAsia="Times New Roman" w:hAnsi="Calibri" w:cs="Times New Roman"/>
      <w:color w:val="000000"/>
      <w:sz w:val="18"/>
      <w:szCs w:val="20"/>
      <w:lang w:eastAsia="en-AU"/>
    </w:rPr>
  </w:style>
  <w:style w:type="paragraph" w:customStyle="1" w:styleId="ChartSecondHeading">
    <w:name w:val="Chart Second Heading"/>
    <w:basedOn w:val="TableSecondHeading"/>
    <w:next w:val="ChartGraphic"/>
    <w:rsid w:val="007F3CE0"/>
    <w:rPr>
      <w:bCs/>
    </w:rPr>
  </w:style>
  <w:style w:type="paragraph" w:customStyle="1" w:styleId="ReportDate">
    <w:name w:val="Report Date"/>
    <w:basedOn w:val="Normal"/>
    <w:link w:val="ReportDateChar"/>
    <w:rsid w:val="007F3CE0"/>
    <w:pPr>
      <w:keepNext/>
      <w:spacing w:before="0" w:after="360"/>
    </w:pPr>
    <w:rPr>
      <w:color w:val="auto"/>
      <w:sz w:val="32"/>
    </w:rPr>
  </w:style>
  <w:style w:type="paragraph" w:customStyle="1" w:styleId="Dash">
    <w:name w:val="Dash"/>
    <w:basedOn w:val="Normal"/>
    <w:link w:val="DashChar"/>
    <w:qFormat/>
    <w:rsid w:val="00656F7A"/>
    <w:pPr>
      <w:numPr>
        <w:ilvl w:val="1"/>
        <w:numId w:val="8"/>
      </w:numPr>
      <w:spacing w:before="120" w:after="120"/>
      <w:ind w:left="568" w:hanging="284"/>
    </w:pPr>
  </w:style>
  <w:style w:type="paragraph" w:customStyle="1" w:styleId="DoubleDot">
    <w:name w:val="Double Dot"/>
    <w:basedOn w:val="Normal"/>
    <w:link w:val="DoubleDotChar"/>
    <w:qFormat/>
    <w:rsid w:val="007F3CE0"/>
    <w:pPr>
      <w:numPr>
        <w:ilvl w:val="2"/>
        <w:numId w:val="8"/>
      </w:numPr>
      <w:spacing w:before="120" w:after="120"/>
    </w:pPr>
  </w:style>
  <w:style w:type="paragraph" w:customStyle="1" w:styleId="Table">
    <w:name w:val="Table"/>
    <w:basedOn w:val="Normal"/>
    <w:next w:val="Normal"/>
    <w:qFormat/>
    <w:rsid w:val="00175FC1"/>
    <w:pPr>
      <w:keepNext/>
      <w:spacing w:after="60"/>
      <w:outlineLvl w:val="3"/>
    </w:pPr>
    <w:rPr>
      <w:b/>
      <w:color w:val="auto"/>
      <w:sz w:val="26"/>
    </w:rPr>
  </w:style>
  <w:style w:type="paragraph" w:customStyle="1" w:styleId="FooterEven">
    <w:name w:val="Footer Even"/>
    <w:basedOn w:val="Footer"/>
    <w:rsid w:val="007F3CE0"/>
    <w:pPr>
      <w:keepNext/>
      <w:tabs>
        <w:tab w:val="clear" w:pos="4513"/>
        <w:tab w:val="clear" w:pos="9026"/>
      </w:tabs>
      <w:jc w:val="left"/>
    </w:pPr>
    <w:rPr>
      <w:noProof/>
      <w:color w:val="auto"/>
    </w:rPr>
  </w:style>
  <w:style w:type="paragraph" w:customStyle="1" w:styleId="FooterOdd">
    <w:name w:val="Footer Odd"/>
    <w:basedOn w:val="Footer"/>
    <w:rsid w:val="007F3CE0"/>
    <w:pPr>
      <w:keepNext/>
      <w:tabs>
        <w:tab w:val="clear" w:pos="4513"/>
        <w:tab w:val="clear" w:pos="9026"/>
      </w:tabs>
      <w:jc w:val="right"/>
    </w:pPr>
    <w:rPr>
      <w:color w:val="auto"/>
    </w:rPr>
  </w:style>
  <w:style w:type="character" w:styleId="Hyperlink">
    <w:name w:val="Hyperlink"/>
    <w:basedOn w:val="DefaultParagraphFont"/>
    <w:uiPriority w:val="99"/>
    <w:rsid w:val="007F17CB"/>
    <w:rPr>
      <w:u w:val="single" w:color="B54A26"/>
    </w:rPr>
  </w:style>
  <w:style w:type="paragraph" w:customStyle="1" w:styleId="OutlineNumbered1">
    <w:name w:val="Outline Numbered 1"/>
    <w:basedOn w:val="Normal"/>
    <w:rsid w:val="007F3CE0"/>
    <w:pPr>
      <w:numPr>
        <w:numId w:val="5"/>
      </w:numPr>
      <w:spacing w:before="0"/>
    </w:pPr>
  </w:style>
  <w:style w:type="paragraph" w:customStyle="1" w:styleId="OutlineNumbered2">
    <w:name w:val="Outline Numbered 2"/>
    <w:basedOn w:val="Normal"/>
    <w:rsid w:val="007F3CE0"/>
    <w:pPr>
      <w:numPr>
        <w:ilvl w:val="1"/>
        <w:numId w:val="5"/>
      </w:numPr>
      <w:spacing w:before="0"/>
    </w:pPr>
  </w:style>
  <w:style w:type="paragraph" w:customStyle="1" w:styleId="OutlineNumbered3">
    <w:name w:val="Outline Numbered 3"/>
    <w:basedOn w:val="Normal"/>
    <w:rsid w:val="007F3CE0"/>
    <w:pPr>
      <w:numPr>
        <w:ilvl w:val="2"/>
        <w:numId w:val="5"/>
      </w:numPr>
      <w:spacing w:before="0"/>
    </w:pPr>
  </w:style>
  <w:style w:type="paragraph" w:customStyle="1" w:styleId="SingleParagraph">
    <w:name w:val="Single Paragraph"/>
    <w:basedOn w:val="Normal"/>
    <w:link w:val="SingleParagraphChar"/>
    <w:rsid w:val="007F3CE0"/>
    <w:pPr>
      <w:spacing w:before="0" w:after="0"/>
    </w:pPr>
  </w:style>
  <w:style w:type="paragraph" w:customStyle="1" w:styleId="TableSecondHeading">
    <w:name w:val="Table Second Heading"/>
    <w:basedOn w:val="Normal"/>
    <w:next w:val="Normal"/>
    <w:rsid w:val="007F3CE0"/>
    <w:pPr>
      <w:keepNext/>
      <w:spacing w:before="60" w:after="60"/>
    </w:pPr>
    <w:rPr>
      <w:b/>
      <w:color w:val="5F5F5F" w:themeColor="accent5"/>
      <w:sz w:val="23"/>
    </w:rPr>
  </w:style>
  <w:style w:type="paragraph" w:customStyle="1" w:styleId="TableColumnHeadingCentred">
    <w:name w:val="Table Column Heading Centred"/>
    <w:basedOn w:val="TableTextLeft"/>
    <w:rsid w:val="007F3CE0"/>
    <w:pPr>
      <w:jc w:val="center"/>
    </w:pPr>
    <w:rPr>
      <w:b/>
      <w:sz w:val="20"/>
    </w:rPr>
  </w:style>
  <w:style w:type="paragraph" w:customStyle="1" w:styleId="TableColumnHeadingLeft">
    <w:name w:val="Table Column Heading Left"/>
    <w:basedOn w:val="TableTextLeft"/>
    <w:rsid w:val="006E5EF6"/>
    <w:rPr>
      <w:b/>
    </w:rPr>
  </w:style>
  <w:style w:type="paragraph" w:customStyle="1" w:styleId="TableColumnHeadingRight">
    <w:name w:val="Table Column Heading Right"/>
    <w:basedOn w:val="TableTextLeft"/>
    <w:rsid w:val="006E5EF6"/>
    <w:pPr>
      <w:jc w:val="right"/>
    </w:pPr>
    <w:rPr>
      <w:b/>
    </w:rPr>
  </w:style>
  <w:style w:type="table" w:styleId="TableGrid">
    <w:name w:val="Table Grid"/>
    <w:basedOn w:val="TableNormal"/>
    <w:rsid w:val="007F3CE0"/>
    <w:pPr>
      <w:spacing w:before="40" w:after="40" w:line="240" w:lineRule="auto"/>
    </w:pPr>
    <w:rPr>
      <w:rFonts w:ascii="Calibri Light" w:eastAsia="Times New Roman" w:hAnsi="Calibri Light" w:cs="Times New Roman"/>
      <w:sz w:val="18"/>
      <w:szCs w:val="20"/>
      <w:lang w:eastAsia="en-AU"/>
    </w:rPr>
    <w:tblPr/>
    <w:tcPr>
      <w:shd w:val="clear" w:color="auto" w:fill="auto"/>
    </w:tcPr>
    <w:tblStylePr w:type="firstRow">
      <w:pPr>
        <w:wordWrap/>
        <w:spacing w:beforeLines="0" w:before="40" w:beforeAutospacing="0" w:afterLines="0" w:after="40" w:afterAutospacing="0"/>
        <w:jc w:val="left"/>
      </w:pPr>
      <w:rPr>
        <w:rFonts w:ascii="Calibri Light" w:hAnsi="Calibri Light"/>
        <w:b/>
        <w:color w:val="E6E6E6" w:themeColor="accent1"/>
        <w:sz w:val="20"/>
      </w:rPr>
      <w:tblPr/>
      <w:tcPr>
        <w:shd w:val="clear" w:color="auto" w:fill="F8F8F8" w:themeFill="background2"/>
      </w:tcPr>
    </w:tblStylePr>
  </w:style>
  <w:style w:type="paragraph" w:customStyle="1" w:styleId="TableTextCentered">
    <w:name w:val="Table Text Centered"/>
    <w:basedOn w:val="TableTextRight"/>
    <w:rsid w:val="007F3CE0"/>
    <w:pPr>
      <w:jc w:val="center"/>
    </w:pPr>
    <w:rPr>
      <w:color w:val="auto"/>
    </w:rPr>
  </w:style>
  <w:style w:type="paragraph" w:customStyle="1" w:styleId="TableTextLeft">
    <w:name w:val="Table Text Left"/>
    <w:basedOn w:val="TableTextRight"/>
    <w:rsid w:val="007F3CE0"/>
    <w:pPr>
      <w:jc w:val="left"/>
    </w:pPr>
    <w:rPr>
      <w:color w:val="auto"/>
    </w:rPr>
  </w:style>
  <w:style w:type="paragraph" w:customStyle="1" w:styleId="TableTextRight">
    <w:name w:val="Table Text Right"/>
    <w:basedOn w:val="Normal"/>
    <w:rsid w:val="007F3CE0"/>
    <w:pPr>
      <w:spacing w:before="40" w:after="40"/>
      <w:jc w:val="right"/>
    </w:pPr>
    <w:rPr>
      <w:sz w:val="18"/>
    </w:rPr>
  </w:style>
  <w:style w:type="paragraph" w:styleId="TOC1">
    <w:name w:val="toc 1"/>
    <w:basedOn w:val="Normal"/>
    <w:next w:val="Normal"/>
    <w:uiPriority w:val="39"/>
    <w:rsid w:val="007F3CE0"/>
    <w:pPr>
      <w:keepNext/>
      <w:tabs>
        <w:tab w:val="right" w:leader="dot" w:pos="9072"/>
      </w:tabs>
      <w:spacing w:before="180" w:after="0"/>
      <w:ind w:right="-2"/>
    </w:pPr>
    <w:rPr>
      <w:b/>
      <w:noProof/>
      <w:sz w:val="24"/>
      <w:szCs w:val="22"/>
    </w:rPr>
  </w:style>
  <w:style w:type="paragraph" w:styleId="TOC2">
    <w:name w:val="toc 2"/>
    <w:basedOn w:val="Normal"/>
    <w:next w:val="Normal"/>
    <w:uiPriority w:val="39"/>
    <w:rsid w:val="007F3CE0"/>
    <w:pPr>
      <w:keepNext/>
      <w:tabs>
        <w:tab w:val="right" w:leader="dot" w:pos="9072"/>
      </w:tabs>
      <w:spacing w:before="40" w:after="20"/>
      <w:ind w:right="-2"/>
    </w:pPr>
    <w:rPr>
      <w:noProof/>
      <w:color w:val="000000" w:themeColor="text2"/>
    </w:rPr>
  </w:style>
  <w:style w:type="paragraph" w:styleId="TOC3">
    <w:name w:val="toc 3"/>
    <w:basedOn w:val="Normal"/>
    <w:next w:val="Normal"/>
    <w:uiPriority w:val="39"/>
    <w:rsid w:val="007F3CE0"/>
    <w:pPr>
      <w:tabs>
        <w:tab w:val="right" w:leader="dot" w:pos="9072"/>
      </w:tabs>
      <w:spacing w:before="20" w:after="0"/>
      <w:ind w:left="284" w:right="-2"/>
    </w:pPr>
    <w:rPr>
      <w:rFonts w:cs="Calibri"/>
      <w:noProof/>
    </w:rPr>
  </w:style>
  <w:style w:type="numbering" w:customStyle="1" w:styleId="OutlineList">
    <w:name w:val="OutlineList"/>
    <w:uiPriority w:val="99"/>
    <w:rsid w:val="007F3CE0"/>
    <w:pPr>
      <w:numPr>
        <w:numId w:val="4"/>
      </w:numPr>
    </w:pPr>
  </w:style>
  <w:style w:type="numbering" w:customStyle="1" w:styleId="BulletedList">
    <w:name w:val="Bulleted List"/>
    <w:uiPriority w:val="99"/>
    <w:rsid w:val="007F3CE0"/>
    <w:pPr>
      <w:numPr>
        <w:numId w:val="1"/>
      </w:numPr>
    </w:pPr>
  </w:style>
  <w:style w:type="numbering" w:customStyle="1" w:styleId="BoxBulletedList">
    <w:name w:val="Box Bulleted List"/>
    <w:uiPriority w:val="99"/>
    <w:rsid w:val="007F3CE0"/>
    <w:pPr>
      <w:numPr>
        <w:numId w:val="2"/>
      </w:numPr>
    </w:pPr>
  </w:style>
  <w:style w:type="numbering" w:customStyle="1" w:styleId="OneLevelList">
    <w:name w:val="OneLevelList"/>
    <w:uiPriority w:val="99"/>
    <w:rsid w:val="007F3CE0"/>
    <w:pPr>
      <w:numPr>
        <w:numId w:val="3"/>
      </w:numPr>
    </w:pPr>
  </w:style>
  <w:style w:type="numbering" w:customStyle="1" w:styleId="ChartandTableFootnoteAlphaList">
    <w:name w:val="ChartandTableFootnoteAlphaList"/>
    <w:uiPriority w:val="99"/>
    <w:rsid w:val="007F3CE0"/>
    <w:pPr>
      <w:numPr>
        <w:numId w:val="56"/>
      </w:numPr>
    </w:pPr>
  </w:style>
  <w:style w:type="paragraph" w:customStyle="1" w:styleId="Heading1Numbered">
    <w:name w:val="Heading 1 Numbered"/>
    <w:basedOn w:val="Heading1"/>
    <w:next w:val="Normal"/>
    <w:rsid w:val="007F3CE0"/>
    <w:pPr>
      <w:numPr>
        <w:numId w:val="6"/>
      </w:numPr>
    </w:pPr>
  </w:style>
  <w:style w:type="character" w:customStyle="1" w:styleId="SingleParagraphChar">
    <w:name w:val="Single Paragraph Char"/>
    <w:basedOn w:val="DefaultParagraphFont"/>
    <w:link w:val="SingleParagraph"/>
    <w:rsid w:val="007F3CE0"/>
    <w:rPr>
      <w:rFonts w:eastAsia="Times New Roman" w:cs="Times New Roman"/>
      <w:color w:val="000000" w:themeColor="text1"/>
      <w:szCs w:val="20"/>
      <w:lang w:eastAsia="en-AU"/>
    </w:rPr>
  </w:style>
  <w:style w:type="paragraph" w:customStyle="1" w:styleId="Heading2Numbered">
    <w:name w:val="Heading 2 Numbered"/>
    <w:basedOn w:val="Heading2"/>
    <w:next w:val="Normal"/>
    <w:rsid w:val="007F3CE0"/>
    <w:pPr>
      <w:numPr>
        <w:ilvl w:val="1"/>
        <w:numId w:val="6"/>
      </w:numPr>
      <w:ind w:left="284" w:hanging="284"/>
    </w:pPr>
  </w:style>
  <w:style w:type="paragraph" w:customStyle="1" w:styleId="Heading3Numbered">
    <w:name w:val="Heading 3 Numbered"/>
    <w:basedOn w:val="Heading3"/>
    <w:rsid w:val="007F3CE0"/>
    <w:pPr>
      <w:numPr>
        <w:ilvl w:val="2"/>
        <w:numId w:val="6"/>
      </w:numPr>
      <w:ind w:left="284" w:hanging="284"/>
    </w:pPr>
  </w:style>
  <w:style w:type="paragraph" w:styleId="Title">
    <w:name w:val="Title"/>
    <w:basedOn w:val="Normal"/>
    <w:next w:val="Normal"/>
    <w:link w:val="TitleChar"/>
    <w:uiPriority w:val="10"/>
    <w:rsid w:val="00E5564F"/>
    <w:pPr>
      <w:spacing w:before="2400" w:after="300" w:line="540" w:lineRule="exact"/>
      <w:contextualSpacing/>
      <w:outlineLvl w:val="0"/>
    </w:pPr>
    <w:rPr>
      <w:rFonts w:asciiTheme="majorHAnsi" w:eastAsiaTheme="majorEastAsia" w:hAnsiTheme="majorHAnsi" w:cstheme="majorBidi"/>
      <w:b/>
      <w:color w:val="auto"/>
      <w:spacing w:val="5"/>
      <w:kern w:val="28"/>
      <w:sz w:val="50"/>
      <w:szCs w:val="36"/>
    </w:rPr>
  </w:style>
  <w:style w:type="character" w:customStyle="1" w:styleId="TitleChar">
    <w:name w:val="Title Char"/>
    <w:basedOn w:val="DefaultParagraphFont"/>
    <w:link w:val="Title"/>
    <w:uiPriority w:val="10"/>
    <w:rsid w:val="00E5564F"/>
    <w:rPr>
      <w:rFonts w:asciiTheme="majorHAnsi" w:eastAsiaTheme="majorEastAsia" w:hAnsiTheme="majorHAnsi" w:cstheme="majorBidi"/>
      <w:b/>
      <w:spacing w:val="5"/>
      <w:kern w:val="28"/>
      <w:sz w:val="50"/>
      <w:szCs w:val="36"/>
      <w:lang w:eastAsia="en-AU"/>
    </w:rPr>
  </w:style>
  <w:style w:type="paragraph" w:styleId="Subtitle">
    <w:name w:val="Subtitle"/>
    <w:basedOn w:val="Normal"/>
    <w:next w:val="Normal"/>
    <w:link w:val="SubtitleChar"/>
    <w:uiPriority w:val="11"/>
    <w:rsid w:val="007F3CE0"/>
    <w:pPr>
      <w:numPr>
        <w:ilvl w:val="1"/>
      </w:numPr>
    </w:pPr>
    <w:rPr>
      <w:rFonts w:asciiTheme="majorHAnsi" w:eastAsiaTheme="majorEastAsia" w:hAnsiTheme="majorHAnsi" w:cstheme="majorBidi"/>
      <w:iCs/>
      <w:color w:val="auto"/>
      <w:sz w:val="44"/>
      <w:szCs w:val="44"/>
    </w:rPr>
  </w:style>
  <w:style w:type="character" w:customStyle="1" w:styleId="SubtitleChar">
    <w:name w:val="Subtitle Char"/>
    <w:basedOn w:val="DefaultParagraphFont"/>
    <w:link w:val="Subtitle"/>
    <w:uiPriority w:val="11"/>
    <w:rsid w:val="007F3CE0"/>
    <w:rPr>
      <w:rFonts w:asciiTheme="majorHAnsi" w:eastAsiaTheme="majorEastAsia" w:hAnsiTheme="majorHAnsi" w:cstheme="majorBidi"/>
      <w:iCs/>
      <w:sz w:val="44"/>
      <w:szCs w:val="44"/>
      <w:lang w:eastAsia="en-AU"/>
    </w:rPr>
  </w:style>
  <w:style w:type="character" w:styleId="SubtleEmphasis">
    <w:name w:val="Subtle Emphasis"/>
    <w:basedOn w:val="DefaultParagraphFont"/>
    <w:uiPriority w:val="19"/>
    <w:rsid w:val="007F3CE0"/>
    <w:rPr>
      <w:i/>
      <w:iCs/>
      <w:color w:val="808080" w:themeColor="text1" w:themeTint="7F"/>
    </w:rPr>
  </w:style>
  <w:style w:type="paragraph" w:styleId="Footer">
    <w:name w:val="footer"/>
    <w:basedOn w:val="Normal"/>
    <w:link w:val="FooterChar"/>
    <w:unhideWhenUsed/>
    <w:rsid w:val="007F3CE0"/>
    <w:pPr>
      <w:tabs>
        <w:tab w:val="center" w:pos="4513"/>
        <w:tab w:val="right" w:pos="9026"/>
      </w:tabs>
      <w:spacing w:before="0" w:after="0"/>
      <w:jc w:val="center"/>
    </w:pPr>
    <w:rPr>
      <w:sz w:val="20"/>
    </w:rPr>
  </w:style>
  <w:style w:type="character" w:customStyle="1" w:styleId="FooterChar">
    <w:name w:val="Footer Char"/>
    <w:basedOn w:val="DefaultParagraphFont"/>
    <w:link w:val="Footer"/>
    <w:rsid w:val="007F3CE0"/>
    <w:rPr>
      <w:rFonts w:eastAsia="Times New Roman" w:cs="Times New Roman"/>
      <w:color w:val="000000" w:themeColor="text1"/>
      <w:sz w:val="20"/>
      <w:szCs w:val="20"/>
      <w:lang w:eastAsia="en-AU"/>
    </w:rPr>
  </w:style>
  <w:style w:type="paragraph" w:styleId="Header">
    <w:name w:val="header"/>
    <w:basedOn w:val="Normal"/>
    <w:link w:val="HeaderChar"/>
    <w:uiPriority w:val="99"/>
    <w:unhideWhenUsed/>
    <w:rsid w:val="007F3CE0"/>
    <w:pPr>
      <w:keepNext/>
      <w:spacing w:before="0" w:after="0"/>
    </w:pPr>
    <w:rPr>
      <w:color w:val="auto"/>
      <w:sz w:val="20"/>
    </w:rPr>
  </w:style>
  <w:style w:type="character" w:customStyle="1" w:styleId="HeaderChar">
    <w:name w:val="Header Char"/>
    <w:basedOn w:val="DefaultParagraphFont"/>
    <w:link w:val="Header"/>
    <w:uiPriority w:val="99"/>
    <w:rsid w:val="007F3CE0"/>
    <w:rPr>
      <w:rFonts w:eastAsia="Times New Roman" w:cs="Times New Roman"/>
      <w:sz w:val="20"/>
      <w:szCs w:val="20"/>
      <w:lang w:eastAsia="en-AU"/>
    </w:rPr>
  </w:style>
  <w:style w:type="character" w:styleId="PlaceholderText">
    <w:name w:val="Placeholder Text"/>
    <w:basedOn w:val="DefaultParagraphFont"/>
    <w:uiPriority w:val="99"/>
    <w:semiHidden/>
    <w:rsid w:val="007F3CE0"/>
    <w:rPr>
      <w:color w:val="808080"/>
    </w:rPr>
  </w:style>
  <w:style w:type="paragraph" w:customStyle="1" w:styleId="AppendixHeading">
    <w:name w:val="Appendix Heading"/>
    <w:basedOn w:val="Heading1"/>
    <w:next w:val="Normal"/>
    <w:rsid w:val="007F3CE0"/>
  </w:style>
  <w:style w:type="paragraph" w:customStyle="1" w:styleId="HeadingBase">
    <w:name w:val="Heading Base"/>
    <w:rsid w:val="007F3CE0"/>
    <w:pPr>
      <w:keepNext/>
      <w:spacing w:after="120" w:line="240" w:lineRule="auto"/>
    </w:pPr>
    <w:rPr>
      <w:rFonts w:asciiTheme="majorHAnsi" w:eastAsia="Times New Roman" w:hAnsiTheme="majorHAnsi" w:cs="Arial"/>
      <w:bCs/>
      <w:color w:val="000000" w:themeColor="text1"/>
      <w:kern w:val="32"/>
      <w:sz w:val="48"/>
      <w:szCs w:val="36"/>
      <w:lang w:eastAsia="en-AU"/>
    </w:rPr>
  </w:style>
  <w:style w:type="character" w:customStyle="1" w:styleId="ReportDateChar">
    <w:name w:val="Report Date Char"/>
    <w:basedOn w:val="DefaultParagraphFont"/>
    <w:link w:val="ReportDate"/>
    <w:rsid w:val="007F3CE0"/>
    <w:rPr>
      <w:rFonts w:eastAsia="Times New Roman" w:cs="Times New Roman"/>
      <w:sz w:val="32"/>
      <w:szCs w:val="20"/>
      <w:lang w:eastAsia="en-AU"/>
    </w:rPr>
  </w:style>
  <w:style w:type="paragraph" w:customStyle="1" w:styleId="NotesHeading">
    <w:name w:val="Notes Heading"/>
    <w:basedOn w:val="Normal"/>
    <w:rsid w:val="007F3CE0"/>
    <w:pPr>
      <w:keepNext/>
      <w:spacing w:after="360"/>
      <w:jc w:val="center"/>
    </w:pPr>
    <w:rPr>
      <w:rFonts w:ascii="Century Gothic" w:hAnsi="Century Gothic"/>
      <w:smallCaps/>
      <w:color w:val="000000" w:themeColor="text2"/>
      <w:sz w:val="36"/>
      <w:szCs w:val="36"/>
    </w:rPr>
  </w:style>
  <w:style w:type="paragraph" w:styleId="ListParagraph">
    <w:name w:val="List Paragraph"/>
    <w:basedOn w:val="Normal"/>
    <w:uiPriority w:val="34"/>
    <w:rsid w:val="007F3CE0"/>
    <w:pPr>
      <w:ind w:left="720"/>
      <w:contextualSpacing/>
    </w:pPr>
  </w:style>
  <w:style w:type="paragraph" w:customStyle="1" w:styleId="TableTextIndented">
    <w:name w:val="Table Text Indented"/>
    <w:basedOn w:val="TableTextLeft"/>
    <w:rsid w:val="007F3CE0"/>
    <w:pPr>
      <w:ind w:left="284"/>
    </w:pPr>
  </w:style>
  <w:style w:type="paragraph" w:customStyle="1" w:styleId="TableHeadingContinued">
    <w:name w:val="Table Heading Continued"/>
    <w:basedOn w:val="TableMainHeading"/>
    <w:next w:val="TableGraphic"/>
    <w:rsid w:val="007F3CE0"/>
  </w:style>
  <w:style w:type="paragraph" w:customStyle="1" w:styleId="TableGraphic">
    <w:name w:val="Table Graphic"/>
    <w:basedOn w:val="HeadingBase"/>
    <w:next w:val="Normal"/>
    <w:rsid w:val="007F3CE0"/>
    <w:pPr>
      <w:spacing w:after="0"/>
    </w:pPr>
  </w:style>
  <w:style w:type="paragraph" w:customStyle="1" w:styleId="HeaderEven">
    <w:name w:val="Header Even"/>
    <w:basedOn w:val="Header"/>
    <w:qFormat/>
    <w:rsid w:val="00CB3822"/>
  </w:style>
  <w:style w:type="paragraph" w:customStyle="1" w:styleId="HeaderOdd">
    <w:name w:val="Header Odd"/>
    <w:basedOn w:val="Header"/>
    <w:qFormat/>
    <w:rsid w:val="00CB3822"/>
    <w:pPr>
      <w:jc w:val="right"/>
    </w:pPr>
  </w:style>
  <w:style w:type="paragraph" w:styleId="FootnoteText">
    <w:name w:val="footnote text"/>
    <w:basedOn w:val="Normal"/>
    <w:link w:val="FootnoteTextChar"/>
    <w:uiPriority w:val="99"/>
    <w:rsid w:val="007F3CE0"/>
    <w:pPr>
      <w:spacing w:before="0" w:after="0"/>
      <w:ind w:left="397" w:hanging="397"/>
    </w:pPr>
    <w:rPr>
      <w:sz w:val="20"/>
    </w:rPr>
  </w:style>
  <w:style w:type="character" w:customStyle="1" w:styleId="FootnoteTextChar">
    <w:name w:val="Footnote Text Char"/>
    <w:basedOn w:val="DefaultParagraphFont"/>
    <w:link w:val="FootnoteText"/>
    <w:uiPriority w:val="99"/>
    <w:rsid w:val="007F3CE0"/>
    <w:rPr>
      <w:rFonts w:eastAsia="Times New Roman" w:cs="Times New Roman"/>
      <w:color w:val="000000" w:themeColor="text1"/>
      <w:sz w:val="20"/>
      <w:szCs w:val="20"/>
      <w:lang w:eastAsia="en-AU"/>
    </w:rPr>
  </w:style>
  <w:style w:type="character" w:styleId="FootnoteReference">
    <w:name w:val="footnote reference"/>
    <w:basedOn w:val="DefaultParagraphFont"/>
    <w:uiPriority w:val="99"/>
    <w:rsid w:val="007F3CE0"/>
    <w:rPr>
      <w:sz w:val="18"/>
    </w:rPr>
  </w:style>
  <w:style w:type="paragraph" w:styleId="BalloonText">
    <w:name w:val="Balloon Text"/>
    <w:basedOn w:val="Normal"/>
    <w:link w:val="BalloonTextChar"/>
    <w:uiPriority w:val="99"/>
    <w:semiHidden/>
    <w:unhideWhenUsed/>
    <w:rsid w:val="007F3CE0"/>
    <w:pPr>
      <w:spacing w:before="0"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7F3CE0"/>
    <w:rPr>
      <w:rFonts w:ascii="Tahoma" w:eastAsia="Times New Roman" w:hAnsi="Tahoma" w:cs="Tahoma"/>
      <w:color w:val="000000" w:themeColor="text1"/>
      <w:sz w:val="16"/>
      <w:szCs w:val="16"/>
      <w:lang w:eastAsia="en-AU"/>
    </w:rPr>
  </w:style>
  <w:style w:type="character" w:customStyle="1" w:styleId="BoxTextChar">
    <w:name w:val="Box Text Char"/>
    <w:basedOn w:val="DefaultParagraphFont"/>
    <w:link w:val="BoxText"/>
    <w:locked/>
    <w:rsid w:val="00D05E2B"/>
    <w:rPr>
      <w:rFonts w:ascii="Calibri Light" w:eastAsia="Times New Roman" w:hAnsi="Calibri Light" w:cs="Times New Roman"/>
      <w:color w:val="000000" w:themeColor="text1"/>
      <w:lang w:eastAsia="en-AU"/>
    </w:rPr>
  </w:style>
  <w:style w:type="paragraph" w:customStyle="1" w:styleId="Boxbullet">
    <w:name w:val="Box bullet"/>
    <w:basedOn w:val="BoxText"/>
    <w:rsid w:val="00D05E2B"/>
    <w:pPr>
      <w:numPr>
        <w:numId w:val="9"/>
      </w:numPr>
    </w:pPr>
    <w:rPr>
      <w:lang w:eastAsia="en-US"/>
    </w:rPr>
  </w:style>
  <w:style w:type="paragraph" w:customStyle="1" w:styleId="Boxdash">
    <w:name w:val="Box dash"/>
    <w:basedOn w:val="Boxbullet"/>
    <w:rsid w:val="007F3CE0"/>
    <w:pPr>
      <w:numPr>
        <w:ilvl w:val="1"/>
      </w:numPr>
      <w:tabs>
        <w:tab w:val="num" w:pos="1040"/>
      </w:tabs>
      <w:spacing w:before="60" w:after="60" w:line="276" w:lineRule="auto"/>
    </w:pPr>
    <w:rPr>
      <w:rFonts w:eastAsiaTheme="minorHAnsi"/>
      <w:color w:val="0D0D0D" w:themeColor="text1" w:themeTint="F2"/>
    </w:rPr>
  </w:style>
  <w:style w:type="paragraph" w:customStyle="1" w:styleId="Boxdoubledot">
    <w:name w:val="Box double dot"/>
    <w:basedOn w:val="Boxdash"/>
    <w:rsid w:val="007F3CE0"/>
    <w:pPr>
      <w:numPr>
        <w:ilvl w:val="2"/>
      </w:numPr>
      <w:tabs>
        <w:tab w:val="left" w:pos="567"/>
        <w:tab w:val="num" w:pos="1560"/>
      </w:tabs>
    </w:pPr>
  </w:style>
  <w:style w:type="paragraph" w:customStyle="1" w:styleId="Instructions">
    <w:name w:val="Instructions"/>
    <w:basedOn w:val="Normal"/>
    <w:uiPriority w:val="1"/>
    <w:qFormat/>
    <w:rsid w:val="007F3CE0"/>
    <w:pPr>
      <w:shd w:val="clear" w:color="auto" w:fill="FFFF00"/>
      <w:ind w:left="170" w:hanging="170"/>
    </w:pPr>
    <w:rPr>
      <w:sz w:val="20"/>
      <w:szCs w:val="24"/>
    </w:rPr>
  </w:style>
  <w:style w:type="character" w:styleId="CommentReference">
    <w:name w:val="annotation reference"/>
    <w:basedOn w:val="DefaultParagraphFont"/>
    <w:uiPriority w:val="99"/>
    <w:unhideWhenUsed/>
    <w:rsid w:val="007F3CE0"/>
    <w:rPr>
      <w:sz w:val="16"/>
      <w:szCs w:val="16"/>
    </w:rPr>
  </w:style>
  <w:style w:type="paragraph" w:styleId="CommentText">
    <w:name w:val="annotation text"/>
    <w:basedOn w:val="Normal"/>
    <w:link w:val="CommentTextChar"/>
    <w:uiPriority w:val="99"/>
    <w:unhideWhenUsed/>
    <w:rsid w:val="007F3CE0"/>
    <w:rPr>
      <w:rFonts w:ascii="Calibri" w:hAnsi="Calibri"/>
      <w:sz w:val="20"/>
    </w:rPr>
  </w:style>
  <w:style w:type="character" w:customStyle="1" w:styleId="CommentTextChar">
    <w:name w:val="Comment Text Char"/>
    <w:basedOn w:val="DefaultParagraphFont"/>
    <w:link w:val="CommentText"/>
    <w:uiPriority w:val="99"/>
    <w:rsid w:val="007F3CE0"/>
    <w:rPr>
      <w:rFonts w:ascii="Calibri" w:eastAsia="Times New Roman" w:hAnsi="Calibri" w:cs="Times New Roman"/>
      <w:color w:val="000000" w:themeColor="text1"/>
      <w:sz w:val="20"/>
      <w:szCs w:val="20"/>
      <w:lang w:eastAsia="en-AU"/>
    </w:rPr>
  </w:style>
  <w:style w:type="paragraph" w:styleId="CommentSubject">
    <w:name w:val="annotation subject"/>
    <w:basedOn w:val="CommentText"/>
    <w:next w:val="CommentText"/>
    <w:link w:val="CommentSubjectChar"/>
    <w:uiPriority w:val="99"/>
    <w:semiHidden/>
    <w:unhideWhenUsed/>
    <w:rsid w:val="007F3CE0"/>
    <w:rPr>
      <w:b/>
      <w:bCs/>
    </w:rPr>
  </w:style>
  <w:style w:type="character" w:customStyle="1" w:styleId="CommentSubjectChar">
    <w:name w:val="Comment Subject Char"/>
    <w:basedOn w:val="CommentTextChar"/>
    <w:link w:val="CommentSubject"/>
    <w:uiPriority w:val="99"/>
    <w:semiHidden/>
    <w:rsid w:val="007F3CE0"/>
    <w:rPr>
      <w:rFonts w:ascii="Calibri" w:eastAsia="Times New Roman" w:hAnsi="Calibri" w:cs="Times New Roman"/>
      <w:b/>
      <w:bCs/>
      <w:color w:val="000000" w:themeColor="text1"/>
      <w:sz w:val="20"/>
      <w:szCs w:val="20"/>
      <w:lang w:eastAsia="en-AU"/>
    </w:rPr>
  </w:style>
  <w:style w:type="character" w:styleId="UnresolvedMention">
    <w:name w:val="Unresolved Mention"/>
    <w:basedOn w:val="DefaultParagraphFont"/>
    <w:uiPriority w:val="99"/>
    <w:semiHidden/>
    <w:unhideWhenUsed/>
    <w:rsid w:val="007F3CE0"/>
    <w:rPr>
      <w:color w:val="605E5C"/>
      <w:shd w:val="clear" w:color="auto" w:fill="E1DFDD"/>
    </w:rPr>
  </w:style>
  <w:style w:type="character" w:styleId="Emphasis">
    <w:name w:val="Emphasis"/>
    <w:basedOn w:val="DefaultParagraphFont"/>
    <w:uiPriority w:val="20"/>
    <w:rsid w:val="007F3CE0"/>
    <w:rPr>
      <w:i/>
      <w:iCs/>
    </w:rPr>
  </w:style>
  <w:style w:type="table" w:customStyle="1" w:styleId="SidebySideChartTable">
    <w:name w:val="Side by Side Chart Table"/>
    <w:basedOn w:val="TableNormal"/>
    <w:uiPriority w:val="99"/>
    <w:rsid w:val="007F3CE0"/>
    <w:pPr>
      <w:spacing w:after="0" w:line="240" w:lineRule="auto"/>
    </w:pPr>
    <w:tblPr>
      <w:tblStyleRowBandSize w:val="1"/>
      <w:tblStyleColBandSize w:val="1"/>
      <w:tblCellMar>
        <w:left w:w="0" w:type="dxa"/>
        <w:right w:w="0" w:type="dxa"/>
      </w:tblCellMar>
    </w:tblPr>
    <w:trPr>
      <w:cantSplit/>
    </w:trPr>
    <w:tblStylePr w:type="firstRow">
      <w:tblPr/>
      <w:trPr>
        <w:cantSplit/>
        <w:tblHeader/>
      </w:trPr>
    </w:tblStylePr>
  </w:style>
  <w:style w:type="table" w:customStyle="1" w:styleId="BoxStyle">
    <w:name w:val="Box Style"/>
    <w:basedOn w:val="TableNormal"/>
    <w:uiPriority w:val="99"/>
    <w:rsid w:val="007F3CE0"/>
    <w:pPr>
      <w:spacing w:after="0" w:line="240" w:lineRule="auto"/>
    </w:pPr>
    <w:rPr>
      <w:sz w:val="20"/>
    </w:rPr>
    <w:tblPr>
      <w:tblCellMar>
        <w:top w:w="284" w:type="dxa"/>
        <w:left w:w="284" w:type="dxa"/>
        <w:bottom w:w="284" w:type="dxa"/>
        <w:right w:w="284" w:type="dxa"/>
      </w:tblCellMar>
    </w:tblPr>
    <w:tcPr>
      <w:shd w:val="clear" w:color="auto" w:fill="F8F8F8" w:themeFill="background2"/>
    </w:tcPr>
  </w:style>
  <w:style w:type="character" w:styleId="Strong">
    <w:name w:val="Strong"/>
    <w:basedOn w:val="DefaultParagraphFont"/>
    <w:qFormat/>
    <w:rsid w:val="007F3CE0"/>
    <w:rPr>
      <w:b/>
      <w:bCs/>
    </w:rPr>
  </w:style>
  <w:style w:type="paragraph" w:styleId="EndnoteText">
    <w:name w:val="endnote text"/>
    <w:basedOn w:val="Normal"/>
    <w:link w:val="EndnoteTextChar"/>
    <w:uiPriority w:val="99"/>
    <w:unhideWhenUsed/>
    <w:rsid w:val="00DA549C"/>
    <w:pPr>
      <w:spacing w:before="0" w:after="0"/>
    </w:pPr>
    <w:rPr>
      <w:sz w:val="20"/>
    </w:rPr>
  </w:style>
  <w:style w:type="character" w:customStyle="1" w:styleId="EndnoteTextChar">
    <w:name w:val="Endnote Text Char"/>
    <w:basedOn w:val="DefaultParagraphFont"/>
    <w:link w:val="EndnoteText"/>
    <w:uiPriority w:val="99"/>
    <w:rsid w:val="00DA549C"/>
    <w:rPr>
      <w:rFonts w:eastAsia="Times New Roman" w:cs="Times New Roman"/>
      <w:color w:val="000000" w:themeColor="text1"/>
      <w:sz w:val="20"/>
      <w:szCs w:val="20"/>
      <w:lang w:eastAsia="en-AU"/>
    </w:rPr>
  </w:style>
  <w:style w:type="character" w:styleId="EndnoteReference">
    <w:name w:val="endnote reference"/>
    <w:basedOn w:val="DefaultParagraphFont"/>
    <w:uiPriority w:val="99"/>
    <w:unhideWhenUsed/>
    <w:rsid w:val="00DA549C"/>
    <w:rPr>
      <w:vertAlign w:val="superscript"/>
    </w:rPr>
  </w:style>
  <w:style w:type="table" w:styleId="GridTable4-Accent2">
    <w:name w:val="Grid Table 4 Accent 2"/>
    <w:basedOn w:val="TableNormal"/>
    <w:uiPriority w:val="49"/>
    <w:rsid w:val="009B24DD"/>
    <w:pPr>
      <w:spacing w:after="0" w:line="240" w:lineRule="auto"/>
    </w:pPr>
    <w:rPr>
      <w:rFonts w:ascii="Calibri" w:hAnsi="Calibri"/>
      <w:sz w:val="20"/>
    </w:rPr>
    <w:tblPr>
      <w:tblInd w:w="0" w:type="nil"/>
      <w:tblCellMar>
        <w:left w:w="57" w:type="dxa"/>
        <w:right w:w="57" w:type="dxa"/>
      </w:tblCellMar>
    </w:tblPr>
    <w:tblStylePr w:type="firstRow">
      <w:pPr>
        <w:keepNext/>
        <w:keepLines w:val="0"/>
        <w:pageBreakBefore w:val="0"/>
        <w:widowControl/>
        <w:suppressLineNumbers w:val="0"/>
        <w:suppressAutoHyphens w:val="0"/>
        <w:wordWrap/>
        <w:spacing w:beforeLines="0" w:before="40" w:beforeAutospacing="0" w:afterLines="0" w:after="40" w:afterAutospacing="0" w:line="240" w:lineRule="auto"/>
        <w:contextualSpacing w:val="0"/>
        <w:mirrorIndents w:val="0"/>
        <w:jc w:val="center"/>
      </w:pPr>
      <w:rPr>
        <w:rFonts w:asciiTheme="minorHAnsi" w:hAnsiTheme="minorHAnsi"/>
        <w:b/>
        <w:bCs/>
        <w:color w:val="FFFFFF" w:themeColor="background1"/>
        <w:sz w:val="20"/>
      </w:rPr>
    </w:tblStylePr>
    <w:tblStylePr w:type="lastRow">
      <w:rPr>
        <w:b w:val="0"/>
        <w:bCs/>
      </w:rPr>
    </w:tblStylePr>
    <w:tblStylePr w:type="firstCol">
      <w:rPr>
        <w:b w:val="0"/>
        <w:bCs/>
      </w:rPr>
    </w:tblStylePr>
    <w:tblStylePr w:type="lastCol">
      <w:rPr>
        <w:b/>
        <w:bCs/>
      </w:rPr>
    </w:tblStylePr>
    <w:tblStylePr w:type="band2Horz">
      <w:rPr>
        <w:rFonts w:ascii="Calibri" w:hAnsi="Calibri"/>
        <w:sz w:val="20"/>
      </w:rPr>
    </w:tblStylePr>
  </w:style>
  <w:style w:type="table" w:styleId="ListTable3-Accent2">
    <w:name w:val="List Table 3 Accent 2"/>
    <w:basedOn w:val="TableNormal"/>
    <w:uiPriority w:val="48"/>
    <w:rsid w:val="006C24FE"/>
    <w:pPr>
      <w:spacing w:after="0" w:line="240" w:lineRule="auto"/>
    </w:pPr>
    <w:tblPr>
      <w:tblInd w:w="0" w:type="nil"/>
      <w:tblCellMar>
        <w:left w:w="0" w:type="dxa"/>
        <w:right w:w="0" w:type="dxa"/>
      </w:tblCellMar>
    </w:tblPr>
    <w:tblStylePr w:type="firstRow">
      <w:rPr>
        <w:b/>
        <w:bCs/>
        <w:color w:val="FFFFFF" w:themeColor="background1"/>
      </w:rPr>
    </w:tblStylePr>
    <w:tblStylePr w:type="lastRow">
      <w:rPr>
        <w:b/>
        <w:bCs/>
      </w:rPr>
    </w:tblStylePr>
    <w:tblStylePr w:type="firstCol">
      <w:rPr>
        <w:b/>
        <w:bCs/>
      </w:rPr>
    </w:tblStylePr>
    <w:tblStylePr w:type="lastCol">
      <w:rPr>
        <w:b/>
        <w:bCs/>
      </w:rPr>
    </w:tblStylePr>
  </w:style>
  <w:style w:type="character" w:styleId="FollowedHyperlink">
    <w:name w:val="FollowedHyperlink"/>
    <w:basedOn w:val="DefaultParagraphFont"/>
    <w:uiPriority w:val="99"/>
    <w:semiHidden/>
    <w:unhideWhenUsed/>
    <w:rsid w:val="007A7E8B"/>
    <w:rPr>
      <w:color w:val="auto"/>
      <w:u w:val="single"/>
    </w:rPr>
  </w:style>
  <w:style w:type="paragraph" w:styleId="Revision">
    <w:name w:val="Revision"/>
    <w:hidden/>
    <w:uiPriority w:val="99"/>
    <w:semiHidden/>
    <w:rsid w:val="001344DB"/>
    <w:pPr>
      <w:spacing w:after="0" w:line="240" w:lineRule="auto"/>
    </w:pPr>
    <w:rPr>
      <w:rFonts w:eastAsia="Times New Roman" w:cs="Times New Roman"/>
      <w:color w:val="000000" w:themeColor="text1"/>
      <w:szCs w:val="20"/>
      <w:lang w:eastAsia="en-AU"/>
    </w:rPr>
  </w:style>
  <w:style w:type="table" w:customStyle="1" w:styleId="Style1">
    <w:name w:val="Style1"/>
    <w:basedOn w:val="TableNormal"/>
    <w:uiPriority w:val="99"/>
    <w:rsid w:val="00EE7895"/>
    <w:pPr>
      <w:spacing w:after="0" w:line="240" w:lineRule="auto"/>
    </w:pPr>
    <w:tblPr>
      <w:tblInd w:w="0" w:type="nil"/>
      <w:tblCellMar>
        <w:left w:w="0" w:type="dxa"/>
        <w:right w:w="0" w:type="dxa"/>
      </w:tblCellMar>
    </w:tblPr>
  </w:style>
  <w:style w:type="paragraph" w:customStyle="1" w:styleId="BoxTextNormalsize">
    <w:name w:val="Box Text Normal size"/>
    <w:basedOn w:val="Normal"/>
    <w:qFormat/>
    <w:rsid w:val="00F466AD"/>
    <w:pPr>
      <w:spacing w:before="120" w:after="120"/>
    </w:pPr>
    <w:rPr>
      <w:kern w:val="2"/>
      <w:sz w:val="24"/>
      <w:lang w:eastAsia="en-US"/>
      <w14:ligatures w14:val="standardContextual"/>
    </w:rPr>
  </w:style>
  <w:style w:type="character" w:styleId="Mention">
    <w:name w:val="Mention"/>
    <w:basedOn w:val="DefaultParagraphFont"/>
    <w:uiPriority w:val="99"/>
    <w:unhideWhenUsed/>
    <w:rsid w:val="008923D0"/>
    <w:rPr>
      <w:color w:val="2B579A"/>
      <w:shd w:val="clear" w:color="auto" w:fill="E1DFDD"/>
    </w:rPr>
  </w:style>
  <w:style w:type="paragraph" w:customStyle="1" w:styleId="TableHeadingNumbered">
    <w:name w:val="Table Heading Numbered"/>
    <w:basedOn w:val="OutlineNumbered1"/>
    <w:next w:val="Normal"/>
    <w:autoRedefine/>
    <w:qFormat/>
    <w:rsid w:val="00B134F6"/>
    <w:pPr>
      <w:keepNext/>
      <w:numPr>
        <w:numId w:val="14"/>
      </w:numPr>
      <w:spacing w:after="160" w:line="259" w:lineRule="auto"/>
      <w:outlineLvl w:val="0"/>
    </w:pPr>
    <w:rPr>
      <w:rFonts w:eastAsiaTheme="minorHAnsi" w:cs="Arial"/>
      <w:b/>
      <w:color w:val="auto"/>
      <w:kern w:val="32"/>
      <w:szCs w:val="26"/>
      <w:lang w:eastAsia="en-US"/>
      <w14:ligatures w14:val="standardContextual"/>
    </w:rPr>
  </w:style>
  <w:style w:type="paragraph" w:styleId="Caption">
    <w:name w:val="caption"/>
    <w:basedOn w:val="Normal"/>
    <w:next w:val="Normal"/>
    <w:autoRedefine/>
    <w:uiPriority w:val="35"/>
    <w:unhideWhenUsed/>
    <w:qFormat/>
    <w:rsid w:val="00CC1D97"/>
    <w:pPr>
      <w:keepNext/>
      <w:spacing w:before="120" w:after="120"/>
    </w:pPr>
    <w:rPr>
      <w:b/>
      <w:iCs/>
      <w:color w:val="000000" w:themeColor="text2"/>
      <w:szCs w:val="18"/>
    </w:rPr>
  </w:style>
  <w:style w:type="paragraph" w:styleId="TOC4">
    <w:name w:val="toc 4"/>
    <w:basedOn w:val="Normal"/>
    <w:next w:val="Normal"/>
    <w:autoRedefine/>
    <w:uiPriority w:val="39"/>
    <w:unhideWhenUsed/>
    <w:rsid w:val="004202A6"/>
    <w:pPr>
      <w:spacing w:before="0" w:after="100" w:line="259" w:lineRule="auto"/>
      <w:ind w:left="660"/>
    </w:pPr>
    <w:rPr>
      <w:rFonts w:eastAsiaTheme="minorEastAsia" w:cstheme="minorBidi"/>
      <w:color w:val="auto"/>
      <w:kern w:val="2"/>
      <w:szCs w:val="22"/>
      <w14:ligatures w14:val="standardContextual"/>
    </w:rPr>
  </w:style>
  <w:style w:type="paragraph" w:styleId="TOC5">
    <w:name w:val="toc 5"/>
    <w:basedOn w:val="Normal"/>
    <w:next w:val="Normal"/>
    <w:autoRedefine/>
    <w:uiPriority w:val="39"/>
    <w:unhideWhenUsed/>
    <w:rsid w:val="004202A6"/>
    <w:pPr>
      <w:spacing w:before="0" w:after="100" w:line="259" w:lineRule="auto"/>
      <w:ind w:left="880"/>
    </w:pPr>
    <w:rPr>
      <w:rFonts w:eastAsiaTheme="minorEastAsia" w:cstheme="minorBidi"/>
      <w:color w:val="auto"/>
      <w:kern w:val="2"/>
      <w:szCs w:val="22"/>
      <w14:ligatures w14:val="standardContextual"/>
    </w:rPr>
  </w:style>
  <w:style w:type="paragraph" w:styleId="TOC6">
    <w:name w:val="toc 6"/>
    <w:basedOn w:val="Normal"/>
    <w:next w:val="Normal"/>
    <w:autoRedefine/>
    <w:uiPriority w:val="39"/>
    <w:unhideWhenUsed/>
    <w:rsid w:val="004202A6"/>
    <w:pPr>
      <w:spacing w:before="0" w:after="100" w:line="259" w:lineRule="auto"/>
      <w:ind w:left="1100"/>
    </w:pPr>
    <w:rPr>
      <w:rFonts w:eastAsiaTheme="minorEastAsia" w:cstheme="minorBidi"/>
      <w:color w:val="auto"/>
      <w:kern w:val="2"/>
      <w:szCs w:val="22"/>
      <w14:ligatures w14:val="standardContextual"/>
    </w:rPr>
  </w:style>
  <w:style w:type="paragraph" w:styleId="TOC7">
    <w:name w:val="toc 7"/>
    <w:basedOn w:val="Normal"/>
    <w:next w:val="Normal"/>
    <w:autoRedefine/>
    <w:uiPriority w:val="39"/>
    <w:unhideWhenUsed/>
    <w:rsid w:val="004202A6"/>
    <w:pPr>
      <w:spacing w:before="0" w:after="100" w:line="259" w:lineRule="auto"/>
      <w:ind w:left="1320"/>
    </w:pPr>
    <w:rPr>
      <w:rFonts w:eastAsiaTheme="minorEastAsia" w:cstheme="minorBidi"/>
      <w:color w:val="auto"/>
      <w:kern w:val="2"/>
      <w:szCs w:val="22"/>
      <w14:ligatures w14:val="standardContextual"/>
    </w:rPr>
  </w:style>
  <w:style w:type="paragraph" w:styleId="TOC8">
    <w:name w:val="toc 8"/>
    <w:basedOn w:val="Normal"/>
    <w:next w:val="Normal"/>
    <w:autoRedefine/>
    <w:uiPriority w:val="39"/>
    <w:unhideWhenUsed/>
    <w:rsid w:val="004202A6"/>
    <w:pPr>
      <w:spacing w:before="0" w:after="100" w:line="259" w:lineRule="auto"/>
      <w:ind w:left="1540"/>
    </w:pPr>
    <w:rPr>
      <w:rFonts w:eastAsiaTheme="minorEastAsia" w:cstheme="minorBidi"/>
      <w:color w:val="auto"/>
      <w:kern w:val="2"/>
      <w:szCs w:val="22"/>
      <w14:ligatures w14:val="standardContextual"/>
    </w:rPr>
  </w:style>
  <w:style w:type="paragraph" w:styleId="TOC9">
    <w:name w:val="toc 9"/>
    <w:basedOn w:val="Normal"/>
    <w:next w:val="Normal"/>
    <w:autoRedefine/>
    <w:uiPriority w:val="39"/>
    <w:unhideWhenUsed/>
    <w:rsid w:val="004202A6"/>
    <w:pPr>
      <w:spacing w:before="0" w:after="100" w:line="259" w:lineRule="auto"/>
      <w:ind w:left="1760"/>
    </w:pPr>
    <w:rPr>
      <w:rFonts w:eastAsiaTheme="minorEastAsia" w:cstheme="minorBidi"/>
      <w:color w:val="auto"/>
      <w:kern w:val="2"/>
      <w:szCs w:val="22"/>
      <w14:ligatures w14:val="standardContextual"/>
    </w:rPr>
  </w:style>
  <w:style w:type="paragraph" w:styleId="TableofFigures">
    <w:name w:val="table of figures"/>
    <w:basedOn w:val="Normal"/>
    <w:next w:val="Normal"/>
    <w:uiPriority w:val="99"/>
    <w:unhideWhenUsed/>
    <w:rsid w:val="00D64F33"/>
    <w:pPr>
      <w:spacing w:after="0"/>
    </w:pPr>
  </w:style>
  <w:style w:type="table" w:styleId="TableGridLight">
    <w:name w:val="Grid Table Light"/>
    <w:basedOn w:val="TableNormal"/>
    <w:uiPriority w:val="40"/>
    <w:rsid w:val="00621DC7"/>
    <w:pPr>
      <w:spacing w:after="0" w:line="240" w:lineRule="auto"/>
    </w:pPr>
    <w:tblPr>
      <w:tblInd w:w="0" w:type="nil"/>
      <w:tblCellMar>
        <w:left w:w="0" w:type="dxa"/>
        <w:right w:w="0" w:type="dxa"/>
      </w:tblCellMar>
    </w:tblPr>
  </w:style>
  <w:style w:type="paragraph" w:styleId="NormalWeb">
    <w:name w:val="Normal (Web)"/>
    <w:basedOn w:val="Normal"/>
    <w:uiPriority w:val="99"/>
    <w:semiHidden/>
    <w:unhideWhenUsed/>
    <w:rsid w:val="003A1286"/>
    <w:pPr>
      <w:spacing w:before="100" w:beforeAutospacing="1" w:after="100" w:afterAutospacing="1"/>
    </w:pPr>
    <w:rPr>
      <w:rFonts w:ascii="Times New Roman" w:hAnsi="Times New Roman"/>
      <w:color w:val="auto"/>
      <w:sz w:val="24"/>
      <w:szCs w:val="24"/>
    </w:rPr>
  </w:style>
  <w:style w:type="table" w:customStyle="1" w:styleId="TabeladeGrade1Clara-nfase31">
    <w:name w:val="Tabela de Grade 1 Clara - Ênfase 31"/>
    <w:basedOn w:val="TableNormal"/>
    <w:uiPriority w:val="46"/>
    <w:rsid w:val="00A81FE0"/>
    <w:pPr>
      <w:spacing w:after="0" w:line="240" w:lineRule="auto"/>
    </w:pPr>
    <w:rPr>
      <w:rFonts w:ascii="Klavika Basic Light" w:hAnsi="Klavika Basic Light"/>
      <w:sz w:val="21"/>
      <w:szCs w:val="21"/>
      <w:lang w:val="en-US"/>
    </w:rPr>
    <w:tblPr>
      <w:tblInd w:w="0" w:type="nil"/>
      <w:tblCellMar>
        <w:left w:w="0" w:type="dxa"/>
        <w:right w:w="0" w:type="dxa"/>
      </w:tblCellMar>
    </w:tblPr>
    <w:tblStylePr w:type="firstRow">
      <w:rPr>
        <w:b/>
        <w:bCs/>
      </w:rPr>
    </w:tblStylePr>
    <w:tblStylePr w:type="lastRow">
      <w:rPr>
        <w:b/>
        <w:bCs/>
      </w:rPr>
    </w:tblStylePr>
    <w:tblStylePr w:type="firstCol">
      <w:rPr>
        <w:b/>
        <w:bCs/>
      </w:rPr>
    </w:tblStylePr>
    <w:tblStylePr w:type="lastCol">
      <w:rPr>
        <w:b/>
        <w:bCs/>
      </w:rPr>
    </w:tblStylePr>
  </w:style>
  <w:style w:type="table" w:styleId="GridTable1Light">
    <w:name w:val="Grid Table 1 Light"/>
    <w:basedOn w:val="TableNormal"/>
    <w:uiPriority w:val="46"/>
    <w:rsid w:val="005C737E"/>
    <w:pPr>
      <w:spacing w:after="0" w:line="240" w:lineRule="auto"/>
    </w:pPr>
    <w:tblPr>
      <w:tblInd w:w="0" w:type="nil"/>
      <w:tblCellMar>
        <w:left w:w="0" w:type="dxa"/>
        <w:right w:w="0" w:type="dxa"/>
      </w:tblCellMar>
    </w:tblPr>
    <w:tblStylePr w:type="firstRow">
      <w:rPr>
        <w:b/>
        <w:bCs/>
      </w:rPr>
    </w:tblStylePr>
    <w:tblStylePr w:type="lastRow">
      <w:rPr>
        <w:b/>
        <w:bCs/>
      </w:rPr>
    </w:tblStylePr>
    <w:tblStylePr w:type="firstCol">
      <w:rPr>
        <w:b/>
        <w:bCs/>
      </w:rPr>
    </w:tblStylePr>
    <w:tblStylePr w:type="lastCol">
      <w:rPr>
        <w:b/>
        <w:bCs/>
      </w:rPr>
    </w:tblStylePr>
  </w:style>
  <w:style w:type="paragraph" w:customStyle="1" w:styleId="HeadingBasic">
    <w:name w:val="Heading Basic"/>
    <w:basedOn w:val="Heading1"/>
    <w:next w:val="Normal"/>
    <w:qFormat/>
    <w:rsid w:val="00C8235D"/>
  </w:style>
  <w:style w:type="paragraph" w:customStyle="1" w:styleId="paragraph">
    <w:name w:val="paragraph"/>
    <w:basedOn w:val="Normal"/>
    <w:rsid w:val="00BA6DDA"/>
    <w:pPr>
      <w:spacing w:before="100" w:beforeAutospacing="1" w:after="100" w:afterAutospacing="1"/>
    </w:pPr>
    <w:rPr>
      <w:rFonts w:ascii="Times New Roman" w:hAnsi="Times New Roman"/>
      <w:color w:val="auto"/>
      <w:sz w:val="24"/>
      <w:szCs w:val="24"/>
    </w:rPr>
  </w:style>
  <w:style w:type="character" w:customStyle="1" w:styleId="normaltextrun">
    <w:name w:val="normaltextrun"/>
    <w:basedOn w:val="DefaultParagraphFont"/>
    <w:rsid w:val="00BA6DDA"/>
  </w:style>
  <w:style w:type="character" w:customStyle="1" w:styleId="eop">
    <w:name w:val="eop"/>
    <w:basedOn w:val="DefaultParagraphFont"/>
    <w:rsid w:val="00BA6DDA"/>
  </w:style>
  <w:style w:type="table" w:customStyle="1" w:styleId="Style2">
    <w:name w:val="Style2"/>
    <w:basedOn w:val="ListTable4-Accent2"/>
    <w:uiPriority w:val="99"/>
    <w:rsid w:val="004A74A3"/>
    <w:tblPr/>
    <w:tblStylePr w:type="firstRow">
      <w:rPr>
        <w:b/>
        <w:bCs/>
        <w:color w:val="FFFFFF" w:themeColor="background1"/>
      </w:rPr>
    </w:tblStylePr>
    <w:tblStylePr w:type="lastRow">
      <w:rPr>
        <w:b/>
        <w:bCs/>
      </w:rPr>
    </w:tblStylePr>
    <w:tblStylePr w:type="firstCol">
      <w:rPr>
        <w:b/>
        <w:bCs/>
      </w:rPr>
    </w:tblStylePr>
    <w:tblStylePr w:type="lastCol">
      <w:rPr>
        <w:b/>
        <w:bCs/>
      </w:rPr>
    </w:tblStylePr>
  </w:style>
  <w:style w:type="table" w:styleId="ListTable4-Accent2">
    <w:name w:val="List Table 4 Accent 2"/>
    <w:basedOn w:val="TableNormal"/>
    <w:uiPriority w:val="49"/>
    <w:rsid w:val="004A74A3"/>
    <w:pPr>
      <w:spacing w:after="0" w:line="240" w:lineRule="auto"/>
    </w:pPr>
    <w:tblPr>
      <w:tblInd w:w="0" w:type="nil"/>
      <w:tblCellMar>
        <w:left w:w="0" w:type="dxa"/>
        <w:right w:w="0" w:type="dxa"/>
      </w:tblCellMar>
    </w:tblPr>
    <w:tblStylePr w:type="firstRow">
      <w:rPr>
        <w:b/>
        <w:bCs/>
        <w:color w:val="FFFFFF" w:themeColor="background1"/>
      </w:rPr>
    </w:tblStylePr>
    <w:tblStylePr w:type="lastRow">
      <w:rPr>
        <w:b/>
        <w:bCs/>
      </w:rPr>
    </w:tblStylePr>
    <w:tblStylePr w:type="firstCol">
      <w:rPr>
        <w:b/>
        <w:bCs/>
      </w:rPr>
    </w:tblStylePr>
    <w:tblStylePr w:type="lastCol">
      <w:rPr>
        <w:b/>
        <w:bCs/>
      </w:rPr>
    </w:tblStylePr>
  </w:style>
  <w:style w:type="paragraph" w:styleId="ListBullet3">
    <w:name w:val="List Bullet 3"/>
    <w:basedOn w:val="Normal"/>
    <w:uiPriority w:val="99"/>
    <w:unhideWhenUsed/>
    <w:qFormat/>
    <w:rsid w:val="007672B6"/>
    <w:pPr>
      <w:numPr>
        <w:numId w:val="43"/>
      </w:numPr>
      <w:spacing w:before="0"/>
    </w:pPr>
  </w:style>
  <w:style w:type="paragraph" w:customStyle="1" w:styleId="TableMainHeading">
    <w:name w:val="Table Main Heading"/>
    <w:basedOn w:val="Heading3"/>
    <w:next w:val="Normal"/>
    <w:rsid w:val="0019534E"/>
    <w:pPr>
      <w:spacing w:before="240" w:line="240" w:lineRule="auto"/>
      <w:outlineLvl w:val="3"/>
    </w:pPr>
    <w:rPr>
      <w:b/>
      <w:sz w:val="22"/>
    </w:rPr>
  </w:style>
  <w:style w:type="paragraph" w:customStyle="1" w:styleId="Caseheading">
    <w:name w:val="Case heading"/>
    <w:basedOn w:val="BoxHeading"/>
    <w:qFormat/>
    <w:rsid w:val="009E1B98"/>
    <w:rPr>
      <w:color w:val="B54A26"/>
      <w:sz w:val="28"/>
      <w:szCs w:val="28"/>
    </w:rPr>
  </w:style>
  <w:style w:type="paragraph" w:customStyle="1" w:styleId="Coverdate">
    <w:name w:val="Cover date"/>
    <w:basedOn w:val="Normal"/>
    <w:qFormat/>
    <w:rsid w:val="00E5564F"/>
    <w:rPr>
      <w:sz w:val="34"/>
      <w:szCs w:val="34"/>
    </w:rPr>
  </w:style>
  <w:style w:type="paragraph" w:customStyle="1" w:styleId="SustainableDevelopmentGoals">
    <w:name w:val="Sustainable Development Goals"/>
    <w:basedOn w:val="TableTextLeft"/>
    <w:qFormat/>
    <w:rsid w:val="00745CFC"/>
    <w:pPr>
      <w:framePr w:hSpace="180" w:wrap="around" w:vAnchor="text" w:hAnchor="text" w:y="1"/>
      <w:ind w:left="-24"/>
      <w:suppressOverlap/>
    </w:pPr>
    <w:rPr>
      <w:noProof/>
    </w:rPr>
  </w:style>
  <w:style w:type="paragraph" w:customStyle="1" w:styleId="Signaturefont">
    <w:name w:val="Signature font"/>
    <w:basedOn w:val="Normal"/>
    <w:qFormat/>
    <w:rsid w:val="002C4475"/>
    <w:pPr>
      <w:spacing w:before="0" w:after="160" w:line="259" w:lineRule="auto"/>
    </w:pPr>
    <w:rPr>
      <w:sz w:val="18"/>
    </w:rPr>
  </w:style>
  <w:style w:type="paragraph" w:customStyle="1" w:styleId="TOCHeading1">
    <w:name w:val="TOC Heading 1"/>
    <w:qFormat/>
    <w:rsid w:val="004535A2"/>
    <w:rPr>
      <w:rFonts w:ascii="Calibri" w:eastAsiaTheme="majorEastAsia" w:hAnsi="Calibri" w:cs="Calibri"/>
      <w:b/>
      <w:noProof/>
      <w:color w:val="000000" w:themeColor="text1"/>
      <w:sz w:val="56"/>
      <w:szCs w:val="56"/>
      <w:lang w:eastAsia="en-AU"/>
    </w:rPr>
  </w:style>
  <w:style w:type="paragraph" w:customStyle="1" w:styleId="TOCHeading2">
    <w:name w:val="TOC Heading 2"/>
    <w:qFormat/>
    <w:rsid w:val="00743535"/>
    <w:pPr>
      <w:spacing w:before="120" w:after="120" w:line="240" w:lineRule="auto"/>
    </w:pPr>
    <w:rPr>
      <w:rFonts w:asciiTheme="majorHAnsi" w:eastAsia="Times New Roman" w:hAnsiTheme="majorHAnsi" w:cs="Arial"/>
      <w:iCs/>
      <w:color w:val="000000" w:themeColor="text1"/>
      <w:kern w:val="32"/>
      <w:sz w:val="40"/>
      <w:lang w:eastAsia="en-AU"/>
    </w:rPr>
  </w:style>
  <w:style w:type="paragraph" w:customStyle="1" w:styleId="Ghost">
    <w:name w:val="Ghost"/>
    <w:qFormat/>
    <w:rsid w:val="00743535"/>
    <w:pPr>
      <w:spacing w:after="0" w:line="240" w:lineRule="auto"/>
    </w:pPr>
    <w:rPr>
      <w:rFonts w:ascii="Calibri" w:eastAsia="Times New Roman" w:hAnsi="Calibri" w:cs="Times New Roman"/>
      <w:color w:val="000000"/>
      <w:sz w:val="2"/>
      <w:szCs w:val="2"/>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718263">
      <w:bodyDiv w:val="1"/>
      <w:marLeft w:val="0"/>
      <w:marRight w:val="0"/>
      <w:marTop w:val="0"/>
      <w:marBottom w:val="0"/>
      <w:divBdr>
        <w:top w:val="none" w:sz="0" w:space="0" w:color="auto"/>
        <w:left w:val="none" w:sz="0" w:space="0" w:color="auto"/>
        <w:bottom w:val="none" w:sz="0" w:space="0" w:color="auto"/>
        <w:right w:val="none" w:sz="0" w:space="0" w:color="auto"/>
      </w:divBdr>
    </w:div>
    <w:div w:id="8918724">
      <w:bodyDiv w:val="1"/>
      <w:marLeft w:val="0"/>
      <w:marRight w:val="0"/>
      <w:marTop w:val="0"/>
      <w:marBottom w:val="0"/>
      <w:divBdr>
        <w:top w:val="none" w:sz="0" w:space="0" w:color="auto"/>
        <w:left w:val="none" w:sz="0" w:space="0" w:color="auto"/>
        <w:bottom w:val="none" w:sz="0" w:space="0" w:color="auto"/>
        <w:right w:val="none" w:sz="0" w:space="0" w:color="auto"/>
      </w:divBdr>
    </w:div>
    <w:div w:id="49892079">
      <w:bodyDiv w:val="1"/>
      <w:marLeft w:val="0"/>
      <w:marRight w:val="0"/>
      <w:marTop w:val="0"/>
      <w:marBottom w:val="0"/>
      <w:divBdr>
        <w:top w:val="none" w:sz="0" w:space="0" w:color="auto"/>
        <w:left w:val="none" w:sz="0" w:space="0" w:color="auto"/>
        <w:bottom w:val="none" w:sz="0" w:space="0" w:color="auto"/>
        <w:right w:val="none" w:sz="0" w:space="0" w:color="auto"/>
      </w:divBdr>
      <w:divsChild>
        <w:div w:id="579798687">
          <w:marLeft w:val="0"/>
          <w:marRight w:val="0"/>
          <w:marTop w:val="0"/>
          <w:marBottom w:val="0"/>
          <w:divBdr>
            <w:top w:val="none" w:sz="0" w:space="0" w:color="auto"/>
            <w:left w:val="none" w:sz="0" w:space="0" w:color="auto"/>
            <w:bottom w:val="none" w:sz="0" w:space="0" w:color="auto"/>
            <w:right w:val="none" w:sz="0" w:space="0" w:color="auto"/>
          </w:divBdr>
          <w:divsChild>
            <w:div w:id="405104501">
              <w:marLeft w:val="0"/>
              <w:marRight w:val="0"/>
              <w:marTop w:val="0"/>
              <w:marBottom w:val="0"/>
              <w:divBdr>
                <w:top w:val="none" w:sz="0" w:space="0" w:color="auto"/>
                <w:left w:val="none" w:sz="0" w:space="0" w:color="auto"/>
                <w:bottom w:val="none" w:sz="0" w:space="0" w:color="auto"/>
                <w:right w:val="none" w:sz="0" w:space="0" w:color="auto"/>
              </w:divBdr>
            </w:div>
          </w:divsChild>
        </w:div>
        <w:div w:id="609434151">
          <w:marLeft w:val="0"/>
          <w:marRight w:val="0"/>
          <w:marTop w:val="0"/>
          <w:marBottom w:val="0"/>
          <w:divBdr>
            <w:top w:val="none" w:sz="0" w:space="0" w:color="auto"/>
            <w:left w:val="none" w:sz="0" w:space="0" w:color="auto"/>
            <w:bottom w:val="none" w:sz="0" w:space="0" w:color="auto"/>
            <w:right w:val="none" w:sz="0" w:space="0" w:color="auto"/>
          </w:divBdr>
          <w:divsChild>
            <w:div w:id="924455938">
              <w:marLeft w:val="0"/>
              <w:marRight w:val="0"/>
              <w:marTop w:val="0"/>
              <w:marBottom w:val="0"/>
              <w:divBdr>
                <w:top w:val="none" w:sz="0" w:space="0" w:color="auto"/>
                <w:left w:val="none" w:sz="0" w:space="0" w:color="auto"/>
                <w:bottom w:val="none" w:sz="0" w:space="0" w:color="auto"/>
                <w:right w:val="none" w:sz="0" w:space="0" w:color="auto"/>
              </w:divBdr>
            </w:div>
          </w:divsChild>
        </w:div>
        <w:div w:id="1185900733">
          <w:marLeft w:val="0"/>
          <w:marRight w:val="0"/>
          <w:marTop w:val="0"/>
          <w:marBottom w:val="0"/>
          <w:divBdr>
            <w:top w:val="none" w:sz="0" w:space="0" w:color="auto"/>
            <w:left w:val="none" w:sz="0" w:space="0" w:color="auto"/>
            <w:bottom w:val="none" w:sz="0" w:space="0" w:color="auto"/>
            <w:right w:val="none" w:sz="0" w:space="0" w:color="auto"/>
          </w:divBdr>
          <w:divsChild>
            <w:div w:id="282737079">
              <w:marLeft w:val="0"/>
              <w:marRight w:val="0"/>
              <w:marTop w:val="0"/>
              <w:marBottom w:val="0"/>
              <w:divBdr>
                <w:top w:val="none" w:sz="0" w:space="0" w:color="auto"/>
                <w:left w:val="none" w:sz="0" w:space="0" w:color="auto"/>
                <w:bottom w:val="none" w:sz="0" w:space="0" w:color="auto"/>
                <w:right w:val="none" w:sz="0" w:space="0" w:color="auto"/>
              </w:divBdr>
            </w:div>
          </w:divsChild>
        </w:div>
        <w:div w:id="1884831946">
          <w:marLeft w:val="0"/>
          <w:marRight w:val="0"/>
          <w:marTop w:val="0"/>
          <w:marBottom w:val="0"/>
          <w:divBdr>
            <w:top w:val="none" w:sz="0" w:space="0" w:color="auto"/>
            <w:left w:val="none" w:sz="0" w:space="0" w:color="auto"/>
            <w:bottom w:val="none" w:sz="0" w:space="0" w:color="auto"/>
            <w:right w:val="none" w:sz="0" w:space="0" w:color="auto"/>
          </w:divBdr>
          <w:divsChild>
            <w:div w:id="580677716">
              <w:marLeft w:val="0"/>
              <w:marRight w:val="0"/>
              <w:marTop w:val="0"/>
              <w:marBottom w:val="0"/>
              <w:divBdr>
                <w:top w:val="none" w:sz="0" w:space="0" w:color="auto"/>
                <w:left w:val="none" w:sz="0" w:space="0" w:color="auto"/>
                <w:bottom w:val="none" w:sz="0" w:space="0" w:color="auto"/>
                <w:right w:val="none" w:sz="0" w:space="0" w:color="auto"/>
              </w:divBdr>
            </w:div>
          </w:divsChild>
        </w:div>
        <w:div w:id="1948466908">
          <w:marLeft w:val="0"/>
          <w:marRight w:val="0"/>
          <w:marTop w:val="0"/>
          <w:marBottom w:val="0"/>
          <w:divBdr>
            <w:top w:val="none" w:sz="0" w:space="0" w:color="auto"/>
            <w:left w:val="none" w:sz="0" w:space="0" w:color="auto"/>
            <w:bottom w:val="none" w:sz="0" w:space="0" w:color="auto"/>
            <w:right w:val="none" w:sz="0" w:space="0" w:color="auto"/>
          </w:divBdr>
          <w:divsChild>
            <w:div w:id="986863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446561">
      <w:bodyDiv w:val="1"/>
      <w:marLeft w:val="0"/>
      <w:marRight w:val="0"/>
      <w:marTop w:val="0"/>
      <w:marBottom w:val="0"/>
      <w:divBdr>
        <w:top w:val="none" w:sz="0" w:space="0" w:color="auto"/>
        <w:left w:val="none" w:sz="0" w:space="0" w:color="auto"/>
        <w:bottom w:val="none" w:sz="0" w:space="0" w:color="auto"/>
        <w:right w:val="none" w:sz="0" w:space="0" w:color="auto"/>
      </w:divBdr>
      <w:divsChild>
        <w:div w:id="92016247">
          <w:marLeft w:val="0"/>
          <w:marRight w:val="0"/>
          <w:marTop w:val="0"/>
          <w:marBottom w:val="0"/>
          <w:divBdr>
            <w:top w:val="none" w:sz="0" w:space="0" w:color="auto"/>
            <w:left w:val="none" w:sz="0" w:space="0" w:color="auto"/>
            <w:bottom w:val="none" w:sz="0" w:space="0" w:color="auto"/>
            <w:right w:val="none" w:sz="0" w:space="0" w:color="auto"/>
          </w:divBdr>
        </w:div>
        <w:div w:id="410742198">
          <w:marLeft w:val="0"/>
          <w:marRight w:val="0"/>
          <w:marTop w:val="0"/>
          <w:marBottom w:val="0"/>
          <w:divBdr>
            <w:top w:val="none" w:sz="0" w:space="0" w:color="auto"/>
            <w:left w:val="none" w:sz="0" w:space="0" w:color="auto"/>
            <w:bottom w:val="none" w:sz="0" w:space="0" w:color="auto"/>
            <w:right w:val="none" w:sz="0" w:space="0" w:color="auto"/>
          </w:divBdr>
        </w:div>
      </w:divsChild>
    </w:div>
    <w:div w:id="92629068">
      <w:bodyDiv w:val="1"/>
      <w:marLeft w:val="0"/>
      <w:marRight w:val="0"/>
      <w:marTop w:val="0"/>
      <w:marBottom w:val="0"/>
      <w:divBdr>
        <w:top w:val="none" w:sz="0" w:space="0" w:color="auto"/>
        <w:left w:val="none" w:sz="0" w:space="0" w:color="auto"/>
        <w:bottom w:val="none" w:sz="0" w:space="0" w:color="auto"/>
        <w:right w:val="none" w:sz="0" w:space="0" w:color="auto"/>
      </w:divBdr>
      <w:divsChild>
        <w:div w:id="698047404">
          <w:marLeft w:val="0"/>
          <w:marRight w:val="0"/>
          <w:marTop w:val="0"/>
          <w:marBottom w:val="0"/>
          <w:divBdr>
            <w:top w:val="none" w:sz="0" w:space="0" w:color="auto"/>
            <w:left w:val="none" w:sz="0" w:space="0" w:color="auto"/>
            <w:bottom w:val="none" w:sz="0" w:space="0" w:color="auto"/>
            <w:right w:val="none" w:sz="0" w:space="0" w:color="auto"/>
          </w:divBdr>
        </w:div>
        <w:div w:id="1634873086">
          <w:marLeft w:val="0"/>
          <w:marRight w:val="0"/>
          <w:marTop w:val="0"/>
          <w:marBottom w:val="0"/>
          <w:divBdr>
            <w:top w:val="none" w:sz="0" w:space="0" w:color="auto"/>
            <w:left w:val="none" w:sz="0" w:space="0" w:color="auto"/>
            <w:bottom w:val="none" w:sz="0" w:space="0" w:color="auto"/>
            <w:right w:val="none" w:sz="0" w:space="0" w:color="auto"/>
          </w:divBdr>
        </w:div>
        <w:div w:id="1708674934">
          <w:marLeft w:val="0"/>
          <w:marRight w:val="0"/>
          <w:marTop w:val="0"/>
          <w:marBottom w:val="0"/>
          <w:divBdr>
            <w:top w:val="none" w:sz="0" w:space="0" w:color="auto"/>
            <w:left w:val="none" w:sz="0" w:space="0" w:color="auto"/>
            <w:bottom w:val="none" w:sz="0" w:space="0" w:color="auto"/>
            <w:right w:val="none" w:sz="0" w:space="0" w:color="auto"/>
          </w:divBdr>
        </w:div>
        <w:div w:id="1725061179">
          <w:marLeft w:val="0"/>
          <w:marRight w:val="0"/>
          <w:marTop w:val="0"/>
          <w:marBottom w:val="0"/>
          <w:divBdr>
            <w:top w:val="none" w:sz="0" w:space="0" w:color="auto"/>
            <w:left w:val="none" w:sz="0" w:space="0" w:color="auto"/>
            <w:bottom w:val="none" w:sz="0" w:space="0" w:color="auto"/>
            <w:right w:val="none" w:sz="0" w:space="0" w:color="auto"/>
          </w:divBdr>
        </w:div>
        <w:div w:id="1854605472">
          <w:marLeft w:val="0"/>
          <w:marRight w:val="0"/>
          <w:marTop w:val="0"/>
          <w:marBottom w:val="0"/>
          <w:divBdr>
            <w:top w:val="none" w:sz="0" w:space="0" w:color="auto"/>
            <w:left w:val="none" w:sz="0" w:space="0" w:color="auto"/>
            <w:bottom w:val="none" w:sz="0" w:space="0" w:color="auto"/>
            <w:right w:val="none" w:sz="0" w:space="0" w:color="auto"/>
          </w:divBdr>
        </w:div>
      </w:divsChild>
    </w:div>
    <w:div w:id="97336845">
      <w:bodyDiv w:val="1"/>
      <w:marLeft w:val="0"/>
      <w:marRight w:val="0"/>
      <w:marTop w:val="0"/>
      <w:marBottom w:val="0"/>
      <w:divBdr>
        <w:top w:val="none" w:sz="0" w:space="0" w:color="auto"/>
        <w:left w:val="none" w:sz="0" w:space="0" w:color="auto"/>
        <w:bottom w:val="none" w:sz="0" w:space="0" w:color="auto"/>
        <w:right w:val="none" w:sz="0" w:space="0" w:color="auto"/>
      </w:divBdr>
    </w:div>
    <w:div w:id="130754933">
      <w:bodyDiv w:val="1"/>
      <w:marLeft w:val="0"/>
      <w:marRight w:val="0"/>
      <w:marTop w:val="0"/>
      <w:marBottom w:val="0"/>
      <w:divBdr>
        <w:top w:val="none" w:sz="0" w:space="0" w:color="auto"/>
        <w:left w:val="none" w:sz="0" w:space="0" w:color="auto"/>
        <w:bottom w:val="none" w:sz="0" w:space="0" w:color="auto"/>
        <w:right w:val="none" w:sz="0" w:space="0" w:color="auto"/>
      </w:divBdr>
    </w:div>
    <w:div w:id="148790676">
      <w:bodyDiv w:val="1"/>
      <w:marLeft w:val="0"/>
      <w:marRight w:val="0"/>
      <w:marTop w:val="0"/>
      <w:marBottom w:val="0"/>
      <w:divBdr>
        <w:top w:val="none" w:sz="0" w:space="0" w:color="auto"/>
        <w:left w:val="none" w:sz="0" w:space="0" w:color="auto"/>
        <w:bottom w:val="none" w:sz="0" w:space="0" w:color="auto"/>
        <w:right w:val="none" w:sz="0" w:space="0" w:color="auto"/>
      </w:divBdr>
    </w:div>
    <w:div w:id="151875777">
      <w:bodyDiv w:val="1"/>
      <w:marLeft w:val="0"/>
      <w:marRight w:val="0"/>
      <w:marTop w:val="0"/>
      <w:marBottom w:val="0"/>
      <w:divBdr>
        <w:top w:val="none" w:sz="0" w:space="0" w:color="auto"/>
        <w:left w:val="none" w:sz="0" w:space="0" w:color="auto"/>
        <w:bottom w:val="none" w:sz="0" w:space="0" w:color="auto"/>
        <w:right w:val="none" w:sz="0" w:space="0" w:color="auto"/>
      </w:divBdr>
    </w:div>
    <w:div w:id="167914502">
      <w:bodyDiv w:val="1"/>
      <w:marLeft w:val="0"/>
      <w:marRight w:val="0"/>
      <w:marTop w:val="0"/>
      <w:marBottom w:val="0"/>
      <w:divBdr>
        <w:top w:val="none" w:sz="0" w:space="0" w:color="auto"/>
        <w:left w:val="none" w:sz="0" w:space="0" w:color="auto"/>
        <w:bottom w:val="none" w:sz="0" w:space="0" w:color="auto"/>
        <w:right w:val="none" w:sz="0" w:space="0" w:color="auto"/>
      </w:divBdr>
    </w:div>
    <w:div w:id="169636515">
      <w:bodyDiv w:val="1"/>
      <w:marLeft w:val="0"/>
      <w:marRight w:val="0"/>
      <w:marTop w:val="0"/>
      <w:marBottom w:val="0"/>
      <w:divBdr>
        <w:top w:val="none" w:sz="0" w:space="0" w:color="auto"/>
        <w:left w:val="none" w:sz="0" w:space="0" w:color="auto"/>
        <w:bottom w:val="none" w:sz="0" w:space="0" w:color="auto"/>
        <w:right w:val="none" w:sz="0" w:space="0" w:color="auto"/>
      </w:divBdr>
    </w:div>
    <w:div w:id="179900867">
      <w:bodyDiv w:val="1"/>
      <w:marLeft w:val="0"/>
      <w:marRight w:val="0"/>
      <w:marTop w:val="0"/>
      <w:marBottom w:val="0"/>
      <w:divBdr>
        <w:top w:val="none" w:sz="0" w:space="0" w:color="auto"/>
        <w:left w:val="none" w:sz="0" w:space="0" w:color="auto"/>
        <w:bottom w:val="none" w:sz="0" w:space="0" w:color="auto"/>
        <w:right w:val="none" w:sz="0" w:space="0" w:color="auto"/>
      </w:divBdr>
    </w:div>
    <w:div w:id="199437616">
      <w:bodyDiv w:val="1"/>
      <w:marLeft w:val="0"/>
      <w:marRight w:val="0"/>
      <w:marTop w:val="0"/>
      <w:marBottom w:val="0"/>
      <w:divBdr>
        <w:top w:val="none" w:sz="0" w:space="0" w:color="auto"/>
        <w:left w:val="none" w:sz="0" w:space="0" w:color="auto"/>
        <w:bottom w:val="none" w:sz="0" w:space="0" w:color="auto"/>
        <w:right w:val="none" w:sz="0" w:space="0" w:color="auto"/>
      </w:divBdr>
    </w:div>
    <w:div w:id="211039447">
      <w:bodyDiv w:val="1"/>
      <w:marLeft w:val="0"/>
      <w:marRight w:val="0"/>
      <w:marTop w:val="0"/>
      <w:marBottom w:val="0"/>
      <w:divBdr>
        <w:top w:val="none" w:sz="0" w:space="0" w:color="auto"/>
        <w:left w:val="none" w:sz="0" w:space="0" w:color="auto"/>
        <w:bottom w:val="none" w:sz="0" w:space="0" w:color="auto"/>
        <w:right w:val="none" w:sz="0" w:space="0" w:color="auto"/>
      </w:divBdr>
      <w:divsChild>
        <w:div w:id="76446148">
          <w:marLeft w:val="0"/>
          <w:marRight w:val="0"/>
          <w:marTop w:val="0"/>
          <w:marBottom w:val="0"/>
          <w:divBdr>
            <w:top w:val="none" w:sz="0" w:space="0" w:color="auto"/>
            <w:left w:val="none" w:sz="0" w:space="0" w:color="auto"/>
            <w:bottom w:val="none" w:sz="0" w:space="0" w:color="auto"/>
            <w:right w:val="none" w:sz="0" w:space="0" w:color="auto"/>
          </w:divBdr>
        </w:div>
        <w:div w:id="137650307">
          <w:marLeft w:val="0"/>
          <w:marRight w:val="0"/>
          <w:marTop w:val="0"/>
          <w:marBottom w:val="0"/>
          <w:divBdr>
            <w:top w:val="none" w:sz="0" w:space="0" w:color="auto"/>
            <w:left w:val="none" w:sz="0" w:space="0" w:color="auto"/>
            <w:bottom w:val="none" w:sz="0" w:space="0" w:color="auto"/>
            <w:right w:val="none" w:sz="0" w:space="0" w:color="auto"/>
          </w:divBdr>
        </w:div>
        <w:div w:id="187184346">
          <w:marLeft w:val="0"/>
          <w:marRight w:val="0"/>
          <w:marTop w:val="0"/>
          <w:marBottom w:val="0"/>
          <w:divBdr>
            <w:top w:val="none" w:sz="0" w:space="0" w:color="auto"/>
            <w:left w:val="none" w:sz="0" w:space="0" w:color="auto"/>
            <w:bottom w:val="none" w:sz="0" w:space="0" w:color="auto"/>
            <w:right w:val="none" w:sz="0" w:space="0" w:color="auto"/>
          </w:divBdr>
        </w:div>
      </w:divsChild>
    </w:div>
    <w:div w:id="240068337">
      <w:bodyDiv w:val="1"/>
      <w:marLeft w:val="0"/>
      <w:marRight w:val="0"/>
      <w:marTop w:val="0"/>
      <w:marBottom w:val="0"/>
      <w:divBdr>
        <w:top w:val="none" w:sz="0" w:space="0" w:color="auto"/>
        <w:left w:val="none" w:sz="0" w:space="0" w:color="auto"/>
        <w:bottom w:val="none" w:sz="0" w:space="0" w:color="auto"/>
        <w:right w:val="none" w:sz="0" w:space="0" w:color="auto"/>
      </w:divBdr>
    </w:div>
    <w:div w:id="254167321">
      <w:bodyDiv w:val="1"/>
      <w:marLeft w:val="0"/>
      <w:marRight w:val="0"/>
      <w:marTop w:val="0"/>
      <w:marBottom w:val="0"/>
      <w:divBdr>
        <w:top w:val="none" w:sz="0" w:space="0" w:color="auto"/>
        <w:left w:val="none" w:sz="0" w:space="0" w:color="auto"/>
        <w:bottom w:val="none" w:sz="0" w:space="0" w:color="auto"/>
        <w:right w:val="none" w:sz="0" w:space="0" w:color="auto"/>
      </w:divBdr>
      <w:divsChild>
        <w:div w:id="970282072">
          <w:marLeft w:val="0"/>
          <w:marRight w:val="0"/>
          <w:marTop w:val="0"/>
          <w:marBottom w:val="0"/>
          <w:divBdr>
            <w:top w:val="none" w:sz="0" w:space="0" w:color="auto"/>
            <w:left w:val="none" w:sz="0" w:space="0" w:color="auto"/>
            <w:bottom w:val="none" w:sz="0" w:space="0" w:color="auto"/>
            <w:right w:val="none" w:sz="0" w:space="0" w:color="auto"/>
          </w:divBdr>
        </w:div>
        <w:div w:id="1190946687">
          <w:marLeft w:val="0"/>
          <w:marRight w:val="0"/>
          <w:marTop w:val="0"/>
          <w:marBottom w:val="0"/>
          <w:divBdr>
            <w:top w:val="none" w:sz="0" w:space="0" w:color="auto"/>
            <w:left w:val="none" w:sz="0" w:space="0" w:color="auto"/>
            <w:bottom w:val="none" w:sz="0" w:space="0" w:color="auto"/>
            <w:right w:val="none" w:sz="0" w:space="0" w:color="auto"/>
          </w:divBdr>
        </w:div>
        <w:div w:id="1289168285">
          <w:marLeft w:val="0"/>
          <w:marRight w:val="0"/>
          <w:marTop w:val="0"/>
          <w:marBottom w:val="0"/>
          <w:divBdr>
            <w:top w:val="none" w:sz="0" w:space="0" w:color="auto"/>
            <w:left w:val="none" w:sz="0" w:space="0" w:color="auto"/>
            <w:bottom w:val="none" w:sz="0" w:space="0" w:color="auto"/>
            <w:right w:val="none" w:sz="0" w:space="0" w:color="auto"/>
          </w:divBdr>
        </w:div>
        <w:div w:id="2138912900">
          <w:marLeft w:val="0"/>
          <w:marRight w:val="0"/>
          <w:marTop w:val="0"/>
          <w:marBottom w:val="0"/>
          <w:divBdr>
            <w:top w:val="none" w:sz="0" w:space="0" w:color="auto"/>
            <w:left w:val="none" w:sz="0" w:space="0" w:color="auto"/>
            <w:bottom w:val="none" w:sz="0" w:space="0" w:color="auto"/>
            <w:right w:val="none" w:sz="0" w:space="0" w:color="auto"/>
          </w:divBdr>
        </w:div>
      </w:divsChild>
    </w:div>
    <w:div w:id="267935545">
      <w:bodyDiv w:val="1"/>
      <w:marLeft w:val="0"/>
      <w:marRight w:val="0"/>
      <w:marTop w:val="0"/>
      <w:marBottom w:val="0"/>
      <w:divBdr>
        <w:top w:val="none" w:sz="0" w:space="0" w:color="auto"/>
        <w:left w:val="none" w:sz="0" w:space="0" w:color="auto"/>
        <w:bottom w:val="none" w:sz="0" w:space="0" w:color="auto"/>
        <w:right w:val="none" w:sz="0" w:space="0" w:color="auto"/>
      </w:divBdr>
    </w:div>
    <w:div w:id="281806095">
      <w:bodyDiv w:val="1"/>
      <w:marLeft w:val="0"/>
      <w:marRight w:val="0"/>
      <w:marTop w:val="0"/>
      <w:marBottom w:val="0"/>
      <w:divBdr>
        <w:top w:val="none" w:sz="0" w:space="0" w:color="auto"/>
        <w:left w:val="none" w:sz="0" w:space="0" w:color="auto"/>
        <w:bottom w:val="none" w:sz="0" w:space="0" w:color="auto"/>
        <w:right w:val="none" w:sz="0" w:space="0" w:color="auto"/>
      </w:divBdr>
      <w:divsChild>
        <w:div w:id="17514488">
          <w:marLeft w:val="0"/>
          <w:marRight w:val="0"/>
          <w:marTop w:val="0"/>
          <w:marBottom w:val="0"/>
          <w:divBdr>
            <w:top w:val="none" w:sz="0" w:space="0" w:color="auto"/>
            <w:left w:val="none" w:sz="0" w:space="0" w:color="auto"/>
            <w:bottom w:val="none" w:sz="0" w:space="0" w:color="auto"/>
            <w:right w:val="none" w:sz="0" w:space="0" w:color="auto"/>
          </w:divBdr>
        </w:div>
        <w:div w:id="83502968">
          <w:marLeft w:val="0"/>
          <w:marRight w:val="0"/>
          <w:marTop w:val="0"/>
          <w:marBottom w:val="0"/>
          <w:divBdr>
            <w:top w:val="none" w:sz="0" w:space="0" w:color="auto"/>
            <w:left w:val="none" w:sz="0" w:space="0" w:color="auto"/>
            <w:bottom w:val="none" w:sz="0" w:space="0" w:color="auto"/>
            <w:right w:val="none" w:sz="0" w:space="0" w:color="auto"/>
          </w:divBdr>
        </w:div>
        <w:div w:id="121274219">
          <w:marLeft w:val="0"/>
          <w:marRight w:val="0"/>
          <w:marTop w:val="0"/>
          <w:marBottom w:val="0"/>
          <w:divBdr>
            <w:top w:val="none" w:sz="0" w:space="0" w:color="auto"/>
            <w:left w:val="none" w:sz="0" w:space="0" w:color="auto"/>
            <w:bottom w:val="none" w:sz="0" w:space="0" w:color="auto"/>
            <w:right w:val="none" w:sz="0" w:space="0" w:color="auto"/>
          </w:divBdr>
        </w:div>
        <w:div w:id="620654720">
          <w:marLeft w:val="0"/>
          <w:marRight w:val="0"/>
          <w:marTop w:val="0"/>
          <w:marBottom w:val="0"/>
          <w:divBdr>
            <w:top w:val="none" w:sz="0" w:space="0" w:color="auto"/>
            <w:left w:val="none" w:sz="0" w:space="0" w:color="auto"/>
            <w:bottom w:val="none" w:sz="0" w:space="0" w:color="auto"/>
            <w:right w:val="none" w:sz="0" w:space="0" w:color="auto"/>
          </w:divBdr>
        </w:div>
        <w:div w:id="814763946">
          <w:marLeft w:val="0"/>
          <w:marRight w:val="0"/>
          <w:marTop w:val="0"/>
          <w:marBottom w:val="0"/>
          <w:divBdr>
            <w:top w:val="none" w:sz="0" w:space="0" w:color="auto"/>
            <w:left w:val="none" w:sz="0" w:space="0" w:color="auto"/>
            <w:bottom w:val="none" w:sz="0" w:space="0" w:color="auto"/>
            <w:right w:val="none" w:sz="0" w:space="0" w:color="auto"/>
          </w:divBdr>
        </w:div>
        <w:div w:id="1042828697">
          <w:marLeft w:val="0"/>
          <w:marRight w:val="0"/>
          <w:marTop w:val="0"/>
          <w:marBottom w:val="0"/>
          <w:divBdr>
            <w:top w:val="none" w:sz="0" w:space="0" w:color="auto"/>
            <w:left w:val="none" w:sz="0" w:space="0" w:color="auto"/>
            <w:bottom w:val="none" w:sz="0" w:space="0" w:color="auto"/>
            <w:right w:val="none" w:sz="0" w:space="0" w:color="auto"/>
          </w:divBdr>
        </w:div>
        <w:div w:id="1348485021">
          <w:marLeft w:val="0"/>
          <w:marRight w:val="0"/>
          <w:marTop w:val="0"/>
          <w:marBottom w:val="0"/>
          <w:divBdr>
            <w:top w:val="none" w:sz="0" w:space="0" w:color="auto"/>
            <w:left w:val="none" w:sz="0" w:space="0" w:color="auto"/>
            <w:bottom w:val="none" w:sz="0" w:space="0" w:color="auto"/>
            <w:right w:val="none" w:sz="0" w:space="0" w:color="auto"/>
          </w:divBdr>
        </w:div>
        <w:div w:id="2111732993">
          <w:marLeft w:val="0"/>
          <w:marRight w:val="0"/>
          <w:marTop w:val="0"/>
          <w:marBottom w:val="0"/>
          <w:divBdr>
            <w:top w:val="none" w:sz="0" w:space="0" w:color="auto"/>
            <w:left w:val="none" w:sz="0" w:space="0" w:color="auto"/>
            <w:bottom w:val="none" w:sz="0" w:space="0" w:color="auto"/>
            <w:right w:val="none" w:sz="0" w:space="0" w:color="auto"/>
          </w:divBdr>
        </w:div>
      </w:divsChild>
    </w:div>
    <w:div w:id="313684154">
      <w:bodyDiv w:val="1"/>
      <w:marLeft w:val="0"/>
      <w:marRight w:val="0"/>
      <w:marTop w:val="0"/>
      <w:marBottom w:val="0"/>
      <w:divBdr>
        <w:top w:val="none" w:sz="0" w:space="0" w:color="auto"/>
        <w:left w:val="none" w:sz="0" w:space="0" w:color="auto"/>
        <w:bottom w:val="none" w:sz="0" w:space="0" w:color="auto"/>
        <w:right w:val="none" w:sz="0" w:space="0" w:color="auto"/>
      </w:divBdr>
    </w:div>
    <w:div w:id="315575050">
      <w:bodyDiv w:val="1"/>
      <w:marLeft w:val="0"/>
      <w:marRight w:val="0"/>
      <w:marTop w:val="0"/>
      <w:marBottom w:val="0"/>
      <w:divBdr>
        <w:top w:val="none" w:sz="0" w:space="0" w:color="auto"/>
        <w:left w:val="none" w:sz="0" w:space="0" w:color="auto"/>
        <w:bottom w:val="none" w:sz="0" w:space="0" w:color="auto"/>
        <w:right w:val="none" w:sz="0" w:space="0" w:color="auto"/>
      </w:divBdr>
    </w:div>
    <w:div w:id="316812176">
      <w:bodyDiv w:val="1"/>
      <w:marLeft w:val="0"/>
      <w:marRight w:val="0"/>
      <w:marTop w:val="0"/>
      <w:marBottom w:val="0"/>
      <w:divBdr>
        <w:top w:val="none" w:sz="0" w:space="0" w:color="auto"/>
        <w:left w:val="none" w:sz="0" w:space="0" w:color="auto"/>
        <w:bottom w:val="none" w:sz="0" w:space="0" w:color="auto"/>
        <w:right w:val="none" w:sz="0" w:space="0" w:color="auto"/>
      </w:divBdr>
      <w:divsChild>
        <w:div w:id="541791304">
          <w:marLeft w:val="0"/>
          <w:marRight w:val="0"/>
          <w:marTop w:val="0"/>
          <w:marBottom w:val="0"/>
          <w:divBdr>
            <w:top w:val="none" w:sz="0" w:space="0" w:color="auto"/>
            <w:left w:val="none" w:sz="0" w:space="0" w:color="auto"/>
            <w:bottom w:val="none" w:sz="0" w:space="0" w:color="auto"/>
            <w:right w:val="none" w:sz="0" w:space="0" w:color="auto"/>
          </w:divBdr>
        </w:div>
        <w:div w:id="592711129">
          <w:marLeft w:val="0"/>
          <w:marRight w:val="0"/>
          <w:marTop w:val="0"/>
          <w:marBottom w:val="0"/>
          <w:divBdr>
            <w:top w:val="none" w:sz="0" w:space="0" w:color="auto"/>
            <w:left w:val="none" w:sz="0" w:space="0" w:color="auto"/>
            <w:bottom w:val="none" w:sz="0" w:space="0" w:color="auto"/>
            <w:right w:val="none" w:sz="0" w:space="0" w:color="auto"/>
          </w:divBdr>
        </w:div>
        <w:div w:id="953366743">
          <w:marLeft w:val="0"/>
          <w:marRight w:val="0"/>
          <w:marTop w:val="0"/>
          <w:marBottom w:val="0"/>
          <w:divBdr>
            <w:top w:val="none" w:sz="0" w:space="0" w:color="auto"/>
            <w:left w:val="none" w:sz="0" w:space="0" w:color="auto"/>
            <w:bottom w:val="none" w:sz="0" w:space="0" w:color="auto"/>
            <w:right w:val="none" w:sz="0" w:space="0" w:color="auto"/>
          </w:divBdr>
        </w:div>
        <w:div w:id="1367946004">
          <w:marLeft w:val="0"/>
          <w:marRight w:val="0"/>
          <w:marTop w:val="0"/>
          <w:marBottom w:val="0"/>
          <w:divBdr>
            <w:top w:val="none" w:sz="0" w:space="0" w:color="auto"/>
            <w:left w:val="none" w:sz="0" w:space="0" w:color="auto"/>
            <w:bottom w:val="none" w:sz="0" w:space="0" w:color="auto"/>
            <w:right w:val="none" w:sz="0" w:space="0" w:color="auto"/>
          </w:divBdr>
        </w:div>
        <w:div w:id="1950430213">
          <w:marLeft w:val="0"/>
          <w:marRight w:val="0"/>
          <w:marTop w:val="0"/>
          <w:marBottom w:val="0"/>
          <w:divBdr>
            <w:top w:val="none" w:sz="0" w:space="0" w:color="auto"/>
            <w:left w:val="none" w:sz="0" w:space="0" w:color="auto"/>
            <w:bottom w:val="none" w:sz="0" w:space="0" w:color="auto"/>
            <w:right w:val="none" w:sz="0" w:space="0" w:color="auto"/>
          </w:divBdr>
        </w:div>
      </w:divsChild>
    </w:div>
    <w:div w:id="329912658">
      <w:bodyDiv w:val="1"/>
      <w:marLeft w:val="0"/>
      <w:marRight w:val="0"/>
      <w:marTop w:val="0"/>
      <w:marBottom w:val="0"/>
      <w:divBdr>
        <w:top w:val="none" w:sz="0" w:space="0" w:color="auto"/>
        <w:left w:val="none" w:sz="0" w:space="0" w:color="auto"/>
        <w:bottom w:val="none" w:sz="0" w:space="0" w:color="auto"/>
        <w:right w:val="none" w:sz="0" w:space="0" w:color="auto"/>
      </w:divBdr>
      <w:divsChild>
        <w:div w:id="72168253">
          <w:marLeft w:val="0"/>
          <w:marRight w:val="0"/>
          <w:marTop w:val="0"/>
          <w:marBottom w:val="0"/>
          <w:divBdr>
            <w:top w:val="none" w:sz="0" w:space="0" w:color="auto"/>
            <w:left w:val="none" w:sz="0" w:space="0" w:color="auto"/>
            <w:bottom w:val="none" w:sz="0" w:space="0" w:color="auto"/>
            <w:right w:val="none" w:sz="0" w:space="0" w:color="auto"/>
          </w:divBdr>
        </w:div>
        <w:div w:id="341324371">
          <w:marLeft w:val="0"/>
          <w:marRight w:val="0"/>
          <w:marTop w:val="0"/>
          <w:marBottom w:val="0"/>
          <w:divBdr>
            <w:top w:val="none" w:sz="0" w:space="0" w:color="auto"/>
            <w:left w:val="none" w:sz="0" w:space="0" w:color="auto"/>
            <w:bottom w:val="none" w:sz="0" w:space="0" w:color="auto"/>
            <w:right w:val="none" w:sz="0" w:space="0" w:color="auto"/>
          </w:divBdr>
        </w:div>
        <w:div w:id="786897174">
          <w:marLeft w:val="0"/>
          <w:marRight w:val="0"/>
          <w:marTop w:val="0"/>
          <w:marBottom w:val="0"/>
          <w:divBdr>
            <w:top w:val="none" w:sz="0" w:space="0" w:color="auto"/>
            <w:left w:val="none" w:sz="0" w:space="0" w:color="auto"/>
            <w:bottom w:val="none" w:sz="0" w:space="0" w:color="auto"/>
            <w:right w:val="none" w:sz="0" w:space="0" w:color="auto"/>
          </w:divBdr>
        </w:div>
        <w:div w:id="813791484">
          <w:marLeft w:val="0"/>
          <w:marRight w:val="0"/>
          <w:marTop w:val="0"/>
          <w:marBottom w:val="0"/>
          <w:divBdr>
            <w:top w:val="none" w:sz="0" w:space="0" w:color="auto"/>
            <w:left w:val="none" w:sz="0" w:space="0" w:color="auto"/>
            <w:bottom w:val="none" w:sz="0" w:space="0" w:color="auto"/>
            <w:right w:val="none" w:sz="0" w:space="0" w:color="auto"/>
          </w:divBdr>
        </w:div>
        <w:div w:id="1040594270">
          <w:marLeft w:val="0"/>
          <w:marRight w:val="0"/>
          <w:marTop w:val="0"/>
          <w:marBottom w:val="0"/>
          <w:divBdr>
            <w:top w:val="none" w:sz="0" w:space="0" w:color="auto"/>
            <w:left w:val="none" w:sz="0" w:space="0" w:color="auto"/>
            <w:bottom w:val="none" w:sz="0" w:space="0" w:color="auto"/>
            <w:right w:val="none" w:sz="0" w:space="0" w:color="auto"/>
          </w:divBdr>
        </w:div>
        <w:div w:id="1108507925">
          <w:marLeft w:val="0"/>
          <w:marRight w:val="0"/>
          <w:marTop w:val="0"/>
          <w:marBottom w:val="0"/>
          <w:divBdr>
            <w:top w:val="none" w:sz="0" w:space="0" w:color="auto"/>
            <w:left w:val="none" w:sz="0" w:space="0" w:color="auto"/>
            <w:bottom w:val="none" w:sz="0" w:space="0" w:color="auto"/>
            <w:right w:val="none" w:sz="0" w:space="0" w:color="auto"/>
          </w:divBdr>
        </w:div>
        <w:div w:id="1141197092">
          <w:marLeft w:val="0"/>
          <w:marRight w:val="0"/>
          <w:marTop w:val="0"/>
          <w:marBottom w:val="0"/>
          <w:divBdr>
            <w:top w:val="none" w:sz="0" w:space="0" w:color="auto"/>
            <w:left w:val="none" w:sz="0" w:space="0" w:color="auto"/>
            <w:bottom w:val="none" w:sz="0" w:space="0" w:color="auto"/>
            <w:right w:val="none" w:sz="0" w:space="0" w:color="auto"/>
          </w:divBdr>
        </w:div>
        <w:div w:id="2096247484">
          <w:marLeft w:val="0"/>
          <w:marRight w:val="0"/>
          <w:marTop w:val="0"/>
          <w:marBottom w:val="0"/>
          <w:divBdr>
            <w:top w:val="none" w:sz="0" w:space="0" w:color="auto"/>
            <w:left w:val="none" w:sz="0" w:space="0" w:color="auto"/>
            <w:bottom w:val="none" w:sz="0" w:space="0" w:color="auto"/>
            <w:right w:val="none" w:sz="0" w:space="0" w:color="auto"/>
          </w:divBdr>
        </w:div>
      </w:divsChild>
    </w:div>
    <w:div w:id="346635605">
      <w:bodyDiv w:val="1"/>
      <w:marLeft w:val="0"/>
      <w:marRight w:val="0"/>
      <w:marTop w:val="0"/>
      <w:marBottom w:val="0"/>
      <w:divBdr>
        <w:top w:val="none" w:sz="0" w:space="0" w:color="auto"/>
        <w:left w:val="none" w:sz="0" w:space="0" w:color="auto"/>
        <w:bottom w:val="none" w:sz="0" w:space="0" w:color="auto"/>
        <w:right w:val="none" w:sz="0" w:space="0" w:color="auto"/>
      </w:divBdr>
    </w:div>
    <w:div w:id="362678586">
      <w:bodyDiv w:val="1"/>
      <w:marLeft w:val="0"/>
      <w:marRight w:val="0"/>
      <w:marTop w:val="0"/>
      <w:marBottom w:val="0"/>
      <w:divBdr>
        <w:top w:val="none" w:sz="0" w:space="0" w:color="auto"/>
        <w:left w:val="none" w:sz="0" w:space="0" w:color="auto"/>
        <w:bottom w:val="none" w:sz="0" w:space="0" w:color="auto"/>
        <w:right w:val="none" w:sz="0" w:space="0" w:color="auto"/>
      </w:divBdr>
      <w:divsChild>
        <w:div w:id="23753938">
          <w:marLeft w:val="0"/>
          <w:marRight w:val="0"/>
          <w:marTop w:val="0"/>
          <w:marBottom w:val="0"/>
          <w:divBdr>
            <w:top w:val="none" w:sz="0" w:space="0" w:color="auto"/>
            <w:left w:val="none" w:sz="0" w:space="0" w:color="auto"/>
            <w:bottom w:val="none" w:sz="0" w:space="0" w:color="auto"/>
            <w:right w:val="none" w:sz="0" w:space="0" w:color="auto"/>
          </w:divBdr>
        </w:div>
        <w:div w:id="37361975">
          <w:marLeft w:val="0"/>
          <w:marRight w:val="0"/>
          <w:marTop w:val="0"/>
          <w:marBottom w:val="0"/>
          <w:divBdr>
            <w:top w:val="none" w:sz="0" w:space="0" w:color="auto"/>
            <w:left w:val="none" w:sz="0" w:space="0" w:color="auto"/>
            <w:bottom w:val="none" w:sz="0" w:space="0" w:color="auto"/>
            <w:right w:val="none" w:sz="0" w:space="0" w:color="auto"/>
          </w:divBdr>
        </w:div>
        <w:div w:id="177697807">
          <w:marLeft w:val="0"/>
          <w:marRight w:val="0"/>
          <w:marTop w:val="0"/>
          <w:marBottom w:val="0"/>
          <w:divBdr>
            <w:top w:val="none" w:sz="0" w:space="0" w:color="auto"/>
            <w:left w:val="none" w:sz="0" w:space="0" w:color="auto"/>
            <w:bottom w:val="none" w:sz="0" w:space="0" w:color="auto"/>
            <w:right w:val="none" w:sz="0" w:space="0" w:color="auto"/>
          </w:divBdr>
        </w:div>
        <w:div w:id="771239621">
          <w:marLeft w:val="0"/>
          <w:marRight w:val="0"/>
          <w:marTop w:val="0"/>
          <w:marBottom w:val="0"/>
          <w:divBdr>
            <w:top w:val="none" w:sz="0" w:space="0" w:color="auto"/>
            <w:left w:val="none" w:sz="0" w:space="0" w:color="auto"/>
            <w:bottom w:val="none" w:sz="0" w:space="0" w:color="auto"/>
            <w:right w:val="none" w:sz="0" w:space="0" w:color="auto"/>
          </w:divBdr>
        </w:div>
        <w:div w:id="915478464">
          <w:marLeft w:val="0"/>
          <w:marRight w:val="0"/>
          <w:marTop w:val="0"/>
          <w:marBottom w:val="0"/>
          <w:divBdr>
            <w:top w:val="none" w:sz="0" w:space="0" w:color="auto"/>
            <w:left w:val="none" w:sz="0" w:space="0" w:color="auto"/>
            <w:bottom w:val="none" w:sz="0" w:space="0" w:color="auto"/>
            <w:right w:val="none" w:sz="0" w:space="0" w:color="auto"/>
          </w:divBdr>
        </w:div>
        <w:div w:id="1004818657">
          <w:marLeft w:val="0"/>
          <w:marRight w:val="0"/>
          <w:marTop w:val="0"/>
          <w:marBottom w:val="0"/>
          <w:divBdr>
            <w:top w:val="none" w:sz="0" w:space="0" w:color="auto"/>
            <w:left w:val="none" w:sz="0" w:space="0" w:color="auto"/>
            <w:bottom w:val="none" w:sz="0" w:space="0" w:color="auto"/>
            <w:right w:val="none" w:sz="0" w:space="0" w:color="auto"/>
          </w:divBdr>
        </w:div>
        <w:div w:id="1027368678">
          <w:marLeft w:val="0"/>
          <w:marRight w:val="0"/>
          <w:marTop w:val="0"/>
          <w:marBottom w:val="0"/>
          <w:divBdr>
            <w:top w:val="none" w:sz="0" w:space="0" w:color="auto"/>
            <w:left w:val="none" w:sz="0" w:space="0" w:color="auto"/>
            <w:bottom w:val="none" w:sz="0" w:space="0" w:color="auto"/>
            <w:right w:val="none" w:sz="0" w:space="0" w:color="auto"/>
          </w:divBdr>
        </w:div>
        <w:div w:id="1073964388">
          <w:marLeft w:val="0"/>
          <w:marRight w:val="0"/>
          <w:marTop w:val="0"/>
          <w:marBottom w:val="0"/>
          <w:divBdr>
            <w:top w:val="none" w:sz="0" w:space="0" w:color="auto"/>
            <w:left w:val="none" w:sz="0" w:space="0" w:color="auto"/>
            <w:bottom w:val="none" w:sz="0" w:space="0" w:color="auto"/>
            <w:right w:val="none" w:sz="0" w:space="0" w:color="auto"/>
          </w:divBdr>
        </w:div>
        <w:div w:id="1380326764">
          <w:marLeft w:val="0"/>
          <w:marRight w:val="0"/>
          <w:marTop w:val="0"/>
          <w:marBottom w:val="0"/>
          <w:divBdr>
            <w:top w:val="none" w:sz="0" w:space="0" w:color="auto"/>
            <w:left w:val="none" w:sz="0" w:space="0" w:color="auto"/>
            <w:bottom w:val="none" w:sz="0" w:space="0" w:color="auto"/>
            <w:right w:val="none" w:sz="0" w:space="0" w:color="auto"/>
          </w:divBdr>
        </w:div>
        <w:div w:id="1998536438">
          <w:marLeft w:val="0"/>
          <w:marRight w:val="0"/>
          <w:marTop w:val="0"/>
          <w:marBottom w:val="0"/>
          <w:divBdr>
            <w:top w:val="none" w:sz="0" w:space="0" w:color="auto"/>
            <w:left w:val="none" w:sz="0" w:space="0" w:color="auto"/>
            <w:bottom w:val="none" w:sz="0" w:space="0" w:color="auto"/>
            <w:right w:val="none" w:sz="0" w:space="0" w:color="auto"/>
          </w:divBdr>
        </w:div>
      </w:divsChild>
    </w:div>
    <w:div w:id="378743041">
      <w:bodyDiv w:val="1"/>
      <w:marLeft w:val="0"/>
      <w:marRight w:val="0"/>
      <w:marTop w:val="0"/>
      <w:marBottom w:val="0"/>
      <w:divBdr>
        <w:top w:val="none" w:sz="0" w:space="0" w:color="auto"/>
        <w:left w:val="none" w:sz="0" w:space="0" w:color="auto"/>
        <w:bottom w:val="none" w:sz="0" w:space="0" w:color="auto"/>
        <w:right w:val="none" w:sz="0" w:space="0" w:color="auto"/>
      </w:divBdr>
      <w:divsChild>
        <w:div w:id="932513644">
          <w:marLeft w:val="0"/>
          <w:marRight w:val="0"/>
          <w:marTop w:val="0"/>
          <w:marBottom w:val="0"/>
          <w:divBdr>
            <w:top w:val="none" w:sz="0" w:space="0" w:color="auto"/>
            <w:left w:val="none" w:sz="0" w:space="0" w:color="auto"/>
            <w:bottom w:val="none" w:sz="0" w:space="0" w:color="auto"/>
            <w:right w:val="none" w:sz="0" w:space="0" w:color="auto"/>
          </w:divBdr>
        </w:div>
        <w:div w:id="1228154557">
          <w:marLeft w:val="0"/>
          <w:marRight w:val="0"/>
          <w:marTop w:val="0"/>
          <w:marBottom w:val="0"/>
          <w:divBdr>
            <w:top w:val="none" w:sz="0" w:space="0" w:color="auto"/>
            <w:left w:val="none" w:sz="0" w:space="0" w:color="auto"/>
            <w:bottom w:val="none" w:sz="0" w:space="0" w:color="auto"/>
            <w:right w:val="none" w:sz="0" w:space="0" w:color="auto"/>
          </w:divBdr>
        </w:div>
        <w:div w:id="1301618229">
          <w:marLeft w:val="0"/>
          <w:marRight w:val="0"/>
          <w:marTop w:val="0"/>
          <w:marBottom w:val="0"/>
          <w:divBdr>
            <w:top w:val="none" w:sz="0" w:space="0" w:color="auto"/>
            <w:left w:val="none" w:sz="0" w:space="0" w:color="auto"/>
            <w:bottom w:val="none" w:sz="0" w:space="0" w:color="auto"/>
            <w:right w:val="none" w:sz="0" w:space="0" w:color="auto"/>
          </w:divBdr>
        </w:div>
        <w:div w:id="1737430221">
          <w:marLeft w:val="0"/>
          <w:marRight w:val="0"/>
          <w:marTop w:val="0"/>
          <w:marBottom w:val="0"/>
          <w:divBdr>
            <w:top w:val="none" w:sz="0" w:space="0" w:color="auto"/>
            <w:left w:val="none" w:sz="0" w:space="0" w:color="auto"/>
            <w:bottom w:val="none" w:sz="0" w:space="0" w:color="auto"/>
            <w:right w:val="none" w:sz="0" w:space="0" w:color="auto"/>
          </w:divBdr>
        </w:div>
      </w:divsChild>
    </w:div>
    <w:div w:id="383255209">
      <w:bodyDiv w:val="1"/>
      <w:marLeft w:val="0"/>
      <w:marRight w:val="0"/>
      <w:marTop w:val="0"/>
      <w:marBottom w:val="0"/>
      <w:divBdr>
        <w:top w:val="none" w:sz="0" w:space="0" w:color="auto"/>
        <w:left w:val="none" w:sz="0" w:space="0" w:color="auto"/>
        <w:bottom w:val="none" w:sz="0" w:space="0" w:color="auto"/>
        <w:right w:val="none" w:sz="0" w:space="0" w:color="auto"/>
      </w:divBdr>
    </w:div>
    <w:div w:id="397676445">
      <w:bodyDiv w:val="1"/>
      <w:marLeft w:val="0"/>
      <w:marRight w:val="0"/>
      <w:marTop w:val="0"/>
      <w:marBottom w:val="0"/>
      <w:divBdr>
        <w:top w:val="none" w:sz="0" w:space="0" w:color="auto"/>
        <w:left w:val="none" w:sz="0" w:space="0" w:color="auto"/>
        <w:bottom w:val="none" w:sz="0" w:space="0" w:color="auto"/>
        <w:right w:val="none" w:sz="0" w:space="0" w:color="auto"/>
      </w:divBdr>
      <w:divsChild>
        <w:div w:id="273024410">
          <w:marLeft w:val="0"/>
          <w:marRight w:val="0"/>
          <w:marTop w:val="0"/>
          <w:marBottom w:val="0"/>
          <w:divBdr>
            <w:top w:val="none" w:sz="0" w:space="0" w:color="auto"/>
            <w:left w:val="none" w:sz="0" w:space="0" w:color="auto"/>
            <w:bottom w:val="none" w:sz="0" w:space="0" w:color="auto"/>
            <w:right w:val="none" w:sz="0" w:space="0" w:color="auto"/>
          </w:divBdr>
        </w:div>
        <w:div w:id="736711101">
          <w:marLeft w:val="0"/>
          <w:marRight w:val="0"/>
          <w:marTop w:val="0"/>
          <w:marBottom w:val="0"/>
          <w:divBdr>
            <w:top w:val="none" w:sz="0" w:space="0" w:color="auto"/>
            <w:left w:val="none" w:sz="0" w:space="0" w:color="auto"/>
            <w:bottom w:val="none" w:sz="0" w:space="0" w:color="auto"/>
            <w:right w:val="none" w:sz="0" w:space="0" w:color="auto"/>
          </w:divBdr>
        </w:div>
        <w:div w:id="768159670">
          <w:marLeft w:val="0"/>
          <w:marRight w:val="0"/>
          <w:marTop w:val="0"/>
          <w:marBottom w:val="0"/>
          <w:divBdr>
            <w:top w:val="none" w:sz="0" w:space="0" w:color="auto"/>
            <w:left w:val="none" w:sz="0" w:space="0" w:color="auto"/>
            <w:bottom w:val="none" w:sz="0" w:space="0" w:color="auto"/>
            <w:right w:val="none" w:sz="0" w:space="0" w:color="auto"/>
          </w:divBdr>
        </w:div>
        <w:div w:id="1002199170">
          <w:marLeft w:val="0"/>
          <w:marRight w:val="0"/>
          <w:marTop w:val="0"/>
          <w:marBottom w:val="0"/>
          <w:divBdr>
            <w:top w:val="none" w:sz="0" w:space="0" w:color="auto"/>
            <w:left w:val="none" w:sz="0" w:space="0" w:color="auto"/>
            <w:bottom w:val="none" w:sz="0" w:space="0" w:color="auto"/>
            <w:right w:val="none" w:sz="0" w:space="0" w:color="auto"/>
          </w:divBdr>
        </w:div>
        <w:div w:id="1335305482">
          <w:marLeft w:val="0"/>
          <w:marRight w:val="0"/>
          <w:marTop w:val="0"/>
          <w:marBottom w:val="0"/>
          <w:divBdr>
            <w:top w:val="none" w:sz="0" w:space="0" w:color="auto"/>
            <w:left w:val="none" w:sz="0" w:space="0" w:color="auto"/>
            <w:bottom w:val="none" w:sz="0" w:space="0" w:color="auto"/>
            <w:right w:val="none" w:sz="0" w:space="0" w:color="auto"/>
          </w:divBdr>
        </w:div>
        <w:div w:id="1352099483">
          <w:marLeft w:val="0"/>
          <w:marRight w:val="0"/>
          <w:marTop w:val="0"/>
          <w:marBottom w:val="0"/>
          <w:divBdr>
            <w:top w:val="none" w:sz="0" w:space="0" w:color="auto"/>
            <w:left w:val="none" w:sz="0" w:space="0" w:color="auto"/>
            <w:bottom w:val="none" w:sz="0" w:space="0" w:color="auto"/>
            <w:right w:val="none" w:sz="0" w:space="0" w:color="auto"/>
          </w:divBdr>
        </w:div>
        <w:div w:id="1988897983">
          <w:marLeft w:val="0"/>
          <w:marRight w:val="0"/>
          <w:marTop w:val="0"/>
          <w:marBottom w:val="0"/>
          <w:divBdr>
            <w:top w:val="none" w:sz="0" w:space="0" w:color="auto"/>
            <w:left w:val="none" w:sz="0" w:space="0" w:color="auto"/>
            <w:bottom w:val="none" w:sz="0" w:space="0" w:color="auto"/>
            <w:right w:val="none" w:sz="0" w:space="0" w:color="auto"/>
          </w:divBdr>
        </w:div>
        <w:div w:id="1996640462">
          <w:marLeft w:val="0"/>
          <w:marRight w:val="0"/>
          <w:marTop w:val="0"/>
          <w:marBottom w:val="0"/>
          <w:divBdr>
            <w:top w:val="none" w:sz="0" w:space="0" w:color="auto"/>
            <w:left w:val="none" w:sz="0" w:space="0" w:color="auto"/>
            <w:bottom w:val="none" w:sz="0" w:space="0" w:color="auto"/>
            <w:right w:val="none" w:sz="0" w:space="0" w:color="auto"/>
          </w:divBdr>
        </w:div>
        <w:div w:id="2056813136">
          <w:marLeft w:val="0"/>
          <w:marRight w:val="0"/>
          <w:marTop w:val="0"/>
          <w:marBottom w:val="0"/>
          <w:divBdr>
            <w:top w:val="none" w:sz="0" w:space="0" w:color="auto"/>
            <w:left w:val="none" w:sz="0" w:space="0" w:color="auto"/>
            <w:bottom w:val="none" w:sz="0" w:space="0" w:color="auto"/>
            <w:right w:val="none" w:sz="0" w:space="0" w:color="auto"/>
          </w:divBdr>
        </w:div>
      </w:divsChild>
    </w:div>
    <w:div w:id="428040047">
      <w:bodyDiv w:val="1"/>
      <w:marLeft w:val="0"/>
      <w:marRight w:val="0"/>
      <w:marTop w:val="0"/>
      <w:marBottom w:val="0"/>
      <w:divBdr>
        <w:top w:val="none" w:sz="0" w:space="0" w:color="auto"/>
        <w:left w:val="none" w:sz="0" w:space="0" w:color="auto"/>
        <w:bottom w:val="none" w:sz="0" w:space="0" w:color="auto"/>
        <w:right w:val="none" w:sz="0" w:space="0" w:color="auto"/>
      </w:divBdr>
    </w:div>
    <w:div w:id="438376837">
      <w:bodyDiv w:val="1"/>
      <w:marLeft w:val="0"/>
      <w:marRight w:val="0"/>
      <w:marTop w:val="0"/>
      <w:marBottom w:val="0"/>
      <w:divBdr>
        <w:top w:val="none" w:sz="0" w:space="0" w:color="auto"/>
        <w:left w:val="none" w:sz="0" w:space="0" w:color="auto"/>
        <w:bottom w:val="none" w:sz="0" w:space="0" w:color="auto"/>
        <w:right w:val="none" w:sz="0" w:space="0" w:color="auto"/>
      </w:divBdr>
    </w:div>
    <w:div w:id="440538376">
      <w:bodyDiv w:val="1"/>
      <w:marLeft w:val="0"/>
      <w:marRight w:val="0"/>
      <w:marTop w:val="0"/>
      <w:marBottom w:val="0"/>
      <w:divBdr>
        <w:top w:val="none" w:sz="0" w:space="0" w:color="auto"/>
        <w:left w:val="none" w:sz="0" w:space="0" w:color="auto"/>
        <w:bottom w:val="none" w:sz="0" w:space="0" w:color="auto"/>
        <w:right w:val="none" w:sz="0" w:space="0" w:color="auto"/>
      </w:divBdr>
    </w:div>
    <w:div w:id="443228909">
      <w:bodyDiv w:val="1"/>
      <w:marLeft w:val="0"/>
      <w:marRight w:val="0"/>
      <w:marTop w:val="0"/>
      <w:marBottom w:val="0"/>
      <w:divBdr>
        <w:top w:val="none" w:sz="0" w:space="0" w:color="auto"/>
        <w:left w:val="none" w:sz="0" w:space="0" w:color="auto"/>
        <w:bottom w:val="none" w:sz="0" w:space="0" w:color="auto"/>
        <w:right w:val="none" w:sz="0" w:space="0" w:color="auto"/>
      </w:divBdr>
      <w:divsChild>
        <w:div w:id="907501564">
          <w:marLeft w:val="0"/>
          <w:marRight w:val="0"/>
          <w:marTop w:val="0"/>
          <w:marBottom w:val="0"/>
          <w:divBdr>
            <w:top w:val="none" w:sz="0" w:space="0" w:color="auto"/>
            <w:left w:val="none" w:sz="0" w:space="0" w:color="auto"/>
            <w:bottom w:val="none" w:sz="0" w:space="0" w:color="auto"/>
            <w:right w:val="none" w:sz="0" w:space="0" w:color="auto"/>
          </w:divBdr>
        </w:div>
        <w:div w:id="1999576897">
          <w:marLeft w:val="0"/>
          <w:marRight w:val="0"/>
          <w:marTop w:val="0"/>
          <w:marBottom w:val="0"/>
          <w:divBdr>
            <w:top w:val="none" w:sz="0" w:space="0" w:color="auto"/>
            <w:left w:val="none" w:sz="0" w:space="0" w:color="auto"/>
            <w:bottom w:val="none" w:sz="0" w:space="0" w:color="auto"/>
            <w:right w:val="none" w:sz="0" w:space="0" w:color="auto"/>
          </w:divBdr>
        </w:div>
      </w:divsChild>
    </w:div>
    <w:div w:id="450321291">
      <w:bodyDiv w:val="1"/>
      <w:marLeft w:val="0"/>
      <w:marRight w:val="0"/>
      <w:marTop w:val="0"/>
      <w:marBottom w:val="0"/>
      <w:divBdr>
        <w:top w:val="none" w:sz="0" w:space="0" w:color="auto"/>
        <w:left w:val="none" w:sz="0" w:space="0" w:color="auto"/>
        <w:bottom w:val="none" w:sz="0" w:space="0" w:color="auto"/>
        <w:right w:val="none" w:sz="0" w:space="0" w:color="auto"/>
      </w:divBdr>
      <w:divsChild>
        <w:div w:id="399181659">
          <w:marLeft w:val="0"/>
          <w:marRight w:val="0"/>
          <w:marTop w:val="0"/>
          <w:marBottom w:val="0"/>
          <w:divBdr>
            <w:top w:val="none" w:sz="0" w:space="0" w:color="auto"/>
            <w:left w:val="none" w:sz="0" w:space="0" w:color="auto"/>
            <w:bottom w:val="none" w:sz="0" w:space="0" w:color="auto"/>
            <w:right w:val="none" w:sz="0" w:space="0" w:color="auto"/>
          </w:divBdr>
        </w:div>
        <w:div w:id="558713813">
          <w:marLeft w:val="0"/>
          <w:marRight w:val="0"/>
          <w:marTop w:val="0"/>
          <w:marBottom w:val="0"/>
          <w:divBdr>
            <w:top w:val="none" w:sz="0" w:space="0" w:color="auto"/>
            <w:left w:val="none" w:sz="0" w:space="0" w:color="auto"/>
            <w:bottom w:val="none" w:sz="0" w:space="0" w:color="auto"/>
            <w:right w:val="none" w:sz="0" w:space="0" w:color="auto"/>
          </w:divBdr>
        </w:div>
        <w:div w:id="753820774">
          <w:marLeft w:val="0"/>
          <w:marRight w:val="0"/>
          <w:marTop w:val="0"/>
          <w:marBottom w:val="0"/>
          <w:divBdr>
            <w:top w:val="none" w:sz="0" w:space="0" w:color="auto"/>
            <w:left w:val="none" w:sz="0" w:space="0" w:color="auto"/>
            <w:bottom w:val="none" w:sz="0" w:space="0" w:color="auto"/>
            <w:right w:val="none" w:sz="0" w:space="0" w:color="auto"/>
          </w:divBdr>
        </w:div>
        <w:div w:id="899173219">
          <w:marLeft w:val="0"/>
          <w:marRight w:val="0"/>
          <w:marTop w:val="0"/>
          <w:marBottom w:val="0"/>
          <w:divBdr>
            <w:top w:val="none" w:sz="0" w:space="0" w:color="auto"/>
            <w:left w:val="none" w:sz="0" w:space="0" w:color="auto"/>
            <w:bottom w:val="none" w:sz="0" w:space="0" w:color="auto"/>
            <w:right w:val="none" w:sz="0" w:space="0" w:color="auto"/>
          </w:divBdr>
        </w:div>
        <w:div w:id="1094934478">
          <w:marLeft w:val="0"/>
          <w:marRight w:val="0"/>
          <w:marTop w:val="0"/>
          <w:marBottom w:val="0"/>
          <w:divBdr>
            <w:top w:val="none" w:sz="0" w:space="0" w:color="auto"/>
            <w:left w:val="none" w:sz="0" w:space="0" w:color="auto"/>
            <w:bottom w:val="none" w:sz="0" w:space="0" w:color="auto"/>
            <w:right w:val="none" w:sz="0" w:space="0" w:color="auto"/>
          </w:divBdr>
        </w:div>
        <w:div w:id="1130830778">
          <w:marLeft w:val="0"/>
          <w:marRight w:val="0"/>
          <w:marTop w:val="0"/>
          <w:marBottom w:val="0"/>
          <w:divBdr>
            <w:top w:val="none" w:sz="0" w:space="0" w:color="auto"/>
            <w:left w:val="none" w:sz="0" w:space="0" w:color="auto"/>
            <w:bottom w:val="none" w:sz="0" w:space="0" w:color="auto"/>
            <w:right w:val="none" w:sz="0" w:space="0" w:color="auto"/>
          </w:divBdr>
        </w:div>
        <w:div w:id="1479687514">
          <w:marLeft w:val="0"/>
          <w:marRight w:val="0"/>
          <w:marTop w:val="0"/>
          <w:marBottom w:val="0"/>
          <w:divBdr>
            <w:top w:val="none" w:sz="0" w:space="0" w:color="auto"/>
            <w:left w:val="none" w:sz="0" w:space="0" w:color="auto"/>
            <w:bottom w:val="none" w:sz="0" w:space="0" w:color="auto"/>
            <w:right w:val="none" w:sz="0" w:space="0" w:color="auto"/>
          </w:divBdr>
        </w:div>
        <w:div w:id="1539853127">
          <w:marLeft w:val="0"/>
          <w:marRight w:val="0"/>
          <w:marTop w:val="0"/>
          <w:marBottom w:val="0"/>
          <w:divBdr>
            <w:top w:val="none" w:sz="0" w:space="0" w:color="auto"/>
            <w:left w:val="none" w:sz="0" w:space="0" w:color="auto"/>
            <w:bottom w:val="none" w:sz="0" w:space="0" w:color="auto"/>
            <w:right w:val="none" w:sz="0" w:space="0" w:color="auto"/>
          </w:divBdr>
        </w:div>
        <w:div w:id="1829008893">
          <w:marLeft w:val="0"/>
          <w:marRight w:val="0"/>
          <w:marTop w:val="0"/>
          <w:marBottom w:val="0"/>
          <w:divBdr>
            <w:top w:val="none" w:sz="0" w:space="0" w:color="auto"/>
            <w:left w:val="none" w:sz="0" w:space="0" w:color="auto"/>
            <w:bottom w:val="none" w:sz="0" w:space="0" w:color="auto"/>
            <w:right w:val="none" w:sz="0" w:space="0" w:color="auto"/>
          </w:divBdr>
        </w:div>
      </w:divsChild>
    </w:div>
    <w:div w:id="450518044">
      <w:bodyDiv w:val="1"/>
      <w:marLeft w:val="0"/>
      <w:marRight w:val="0"/>
      <w:marTop w:val="0"/>
      <w:marBottom w:val="0"/>
      <w:divBdr>
        <w:top w:val="none" w:sz="0" w:space="0" w:color="auto"/>
        <w:left w:val="none" w:sz="0" w:space="0" w:color="auto"/>
        <w:bottom w:val="none" w:sz="0" w:space="0" w:color="auto"/>
        <w:right w:val="none" w:sz="0" w:space="0" w:color="auto"/>
      </w:divBdr>
    </w:div>
    <w:div w:id="450780679">
      <w:bodyDiv w:val="1"/>
      <w:marLeft w:val="0"/>
      <w:marRight w:val="0"/>
      <w:marTop w:val="0"/>
      <w:marBottom w:val="0"/>
      <w:divBdr>
        <w:top w:val="none" w:sz="0" w:space="0" w:color="auto"/>
        <w:left w:val="none" w:sz="0" w:space="0" w:color="auto"/>
        <w:bottom w:val="none" w:sz="0" w:space="0" w:color="auto"/>
        <w:right w:val="none" w:sz="0" w:space="0" w:color="auto"/>
      </w:divBdr>
    </w:div>
    <w:div w:id="451022649">
      <w:bodyDiv w:val="1"/>
      <w:marLeft w:val="0"/>
      <w:marRight w:val="0"/>
      <w:marTop w:val="0"/>
      <w:marBottom w:val="0"/>
      <w:divBdr>
        <w:top w:val="none" w:sz="0" w:space="0" w:color="auto"/>
        <w:left w:val="none" w:sz="0" w:space="0" w:color="auto"/>
        <w:bottom w:val="none" w:sz="0" w:space="0" w:color="auto"/>
        <w:right w:val="none" w:sz="0" w:space="0" w:color="auto"/>
      </w:divBdr>
    </w:div>
    <w:div w:id="457187692">
      <w:bodyDiv w:val="1"/>
      <w:marLeft w:val="0"/>
      <w:marRight w:val="0"/>
      <w:marTop w:val="0"/>
      <w:marBottom w:val="0"/>
      <w:divBdr>
        <w:top w:val="none" w:sz="0" w:space="0" w:color="auto"/>
        <w:left w:val="none" w:sz="0" w:space="0" w:color="auto"/>
        <w:bottom w:val="none" w:sz="0" w:space="0" w:color="auto"/>
        <w:right w:val="none" w:sz="0" w:space="0" w:color="auto"/>
      </w:divBdr>
    </w:div>
    <w:div w:id="458648209">
      <w:bodyDiv w:val="1"/>
      <w:marLeft w:val="0"/>
      <w:marRight w:val="0"/>
      <w:marTop w:val="0"/>
      <w:marBottom w:val="0"/>
      <w:divBdr>
        <w:top w:val="none" w:sz="0" w:space="0" w:color="auto"/>
        <w:left w:val="none" w:sz="0" w:space="0" w:color="auto"/>
        <w:bottom w:val="none" w:sz="0" w:space="0" w:color="auto"/>
        <w:right w:val="none" w:sz="0" w:space="0" w:color="auto"/>
      </w:divBdr>
      <w:divsChild>
        <w:div w:id="54672147">
          <w:marLeft w:val="0"/>
          <w:marRight w:val="0"/>
          <w:marTop w:val="0"/>
          <w:marBottom w:val="0"/>
          <w:divBdr>
            <w:top w:val="none" w:sz="0" w:space="0" w:color="auto"/>
            <w:left w:val="none" w:sz="0" w:space="0" w:color="auto"/>
            <w:bottom w:val="none" w:sz="0" w:space="0" w:color="auto"/>
            <w:right w:val="none" w:sz="0" w:space="0" w:color="auto"/>
          </w:divBdr>
        </w:div>
        <w:div w:id="136805233">
          <w:marLeft w:val="0"/>
          <w:marRight w:val="0"/>
          <w:marTop w:val="0"/>
          <w:marBottom w:val="0"/>
          <w:divBdr>
            <w:top w:val="none" w:sz="0" w:space="0" w:color="auto"/>
            <w:left w:val="none" w:sz="0" w:space="0" w:color="auto"/>
            <w:bottom w:val="none" w:sz="0" w:space="0" w:color="auto"/>
            <w:right w:val="none" w:sz="0" w:space="0" w:color="auto"/>
          </w:divBdr>
        </w:div>
        <w:div w:id="546138257">
          <w:marLeft w:val="0"/>
          <w:marRight w:val="0"/>
          <w:marTop w:val="0"/>
          <w:marBottom w:val="0"/>
          <w:divBdr>
            <w:top w:val="none" w:sz="0" w:space="0" w:color="auto"/>
            <w:left w:val="none" w:sz="0" w:space="0" w:color="auto"/>
            <w:bottom w:val="none" w:sz="0" w:space="0" w:color="auto"/>
            <w:right w:val="none" w:sz="0" w:space="0" w:color="auto"/>
          </w:divBdr>
        </w:div>
        <w:div w:id="606885099">
          <w:marLeft w:val="0"/>
          <w:marRight w:val="0"/>
          <w:marTop w:val="0"/>
          <w:marBottom w:val="0"/>
          <w:divBdr>
            <w:top w:val="none" w:sz="0" w:space="0" w:color="auto"/>
            <w:left w:val="none" w:sz="0" w:space="0" w:color="auto"/>
            <w:bottom w:val="none" w:sz="0" w:space="0" w:color="auto"/>
            <w:right w:val="none" w:sz="0" w:space="0" w:color="auto"/>
          </w:divBdr>
        </w:div>
        <w:div w:id="1174151640">
          <w:marLeft w:val="0"/>
          <w:marRight w:val="0"/>
          <w:marTop w:val="0"/>
          <w:marBottom w:val="0"/>
          <w:divBdr>
            <w:top w:val="none" w:sz="0" w:space="0" w:color="auto"/>
            <w:left w:val="none" w:sz="0" w:space="0" w:color="auto"/>
            <w:bottom w:val="none" w:sz="0" w:space="0" w:color="auto"/>
            <w:right w:val="none" w:sz="0" w:space="0" w:color="auto"/>
          </w:divBdr>
        </w:div>
        <w:div w:id="1530070964">
          <w:marLeft w:val="0"/>
          <w:marRight w:val="0"/>
          <w:marTop w:val="0"/>
          <w:marBottom w:val="0"/>
          <w:divBdr>
            <w:top w:val="none" w:sz="0" w:space="0" w:color="auto"/>
            <w:left w:val="none" w:sz="0" w:space="0" w:color="auto"/>
            <w:bottom w:val="none" w:sz="0" w:space="0" w:color="auto"/>
            <w:right w:val="none" w:sz="0" w:space="0" w:color="auto"/>
          </w:divBdr>
        </w:div>
        <w:div w:id="1601599401">
          <w:marLeft w:val="0"/>
          <w:marRight w:val="0"/>
          <w:marTop w:val="0"/>
          <w:marBottom w:val="0"/>
          <w:divBdr>
            <w:top w:val="none" w:sz="0" w:space="0" w:color="auto"/>
            <w:left w:val="none" w:sz="0" w:space="0" w:color="auto"/>
            <w:bottom w:val="none" w:sz="0" w:space="0" w:color="auto"/>
            <w:right w:val="none" w:sz="0" w:space="0" w:color="auto"/>
          </w:divBdr>
        </w:div>
        <w:div w:id="1794399599">
          <w:marLeft w:val="0"/>
          <w:marRight w:val="0"/>
          <w:marTop w:val="0"/>
          <w:marBottom w:val="0"/>
          <w:divBdr>
            <w:top w:val="none" w:sz="0" w:space="0" w:color="auto"/>
            <w:left w:val="none" w:sz="0" w:space="0" w:color="auto"/>
            <w:bottom w:val="none" w:sz="0" w:space="0" w:color="auto"/>
            <w:right w:val="none" w:sz="0" w:space="0" w:color="auto"/>
          </w:divBdr>
        </w:div>
        <w:div w:id="1901212080">
          <w:marLeft w:val="0"/>
          <w:marRight w:val="0"/>
          <w:marTop w:val="0"/>
          <w:marBottom w:val="0"/>
          <w:divBdr>
            <w:top w:val="none" w:sz="0" w:space="0" w:color="auto"/>
            <w:left w:val="none" w:sz="0" w:space="0" w:color="auto"/>
            <w:bottom w:val="none" w:sz="0" w:space="0" w:color="auto"/>
            <w:right w:val="none" w:sz="0" w:space="0" w:color="auto"/>
          </w:divBdr>
        </w:div>
        <w:div w:id="1932885875">
          <w:marLeft w:val="0"/>
          <w:marRight w:val="0"/>
          <w:marTop w:val="0"/>
          <w:marBottom w:val="0"/>
          <w:divBdr>
            <w:top w:val="none" w:sz="0" w:space="0" w:color="auto"/>
            <w:left w:val="none" w:sz="0" w:space="0" w:color="auto"/>
            <w:bottom w:val="none" w:sz="0" w:space="0" w:color="auto"/>
            <w:right w:val="none" w:sz="0" w:space="0" w:color="auto"/>
          </w:divBdr>
        </w:div>
      </w:divsChild>
    </w:div>
    <w:div w:id="460147540">
      <w:bodyDiv w:val="1"/>
      <w:marLeft w:val="0"/>
      <w:marRight w:val="0"/>
      <w:marTop w:val="0"/>
      <w:marBottom w:val="0"/>
      <w:divBdr>
        <w:top w:val="none" w:sz="0" w:space="0" w:color="auto"/>
        <w:left w:val="none" w:sz="0" w:space="0" w:color="auto"/>
        <w:bottom w:val="none" w:sz="0" w:space="0" w:color="auto"/>
        <w:right w:val="none" w:sz="0" w:space="0" w:color="auto"/>
      </w:divBdr>
    </w:div>
    <w:div w:id="480275075">
      <w:bodyDiv w:val="1"/>
      <w:marLeft w:val="0"/>
      <w:marRight w:val="0"/>
      <w:marTop w:val="0"/>
      <w:marBottom w:val="0"/>
      <w:divBdr>
        <w:top w:val="none" w:sz="0" w:space="0" w:color="auto"/>
        <w:left w:val="none" w:sz="0" w:space="0" w:color="auto"/>
        <w:bottom w:val="none" w:sz="0" w:space="0" w:color="auto"/>
        <w:right w:val="none" w:sz="0" w:space="0" w:color="auto"/>
      </w:divBdr>
    </w:div>
    <w:div w:id="484861223">
      <w:bodyDiv w:val="1"/>
      <w:marLeft w:val="0"/>
      <w:marRight w:val="0"/>
      <w:marTop w:val="0"/>
      <w:marBottom w:val="0"/>
      <w:divBdr>
        <w:top w:val="none" w:sz="0" w:space="0" w:color="auto"/>
        <w:left w:val="none" w:sz="0" w:space="0" w:color="auto"/>
        <w:bottom w:val="none" w:sz="0" w:space="0" w:color="auto"/>
        <w:right w:val="none" w:sz="0" w:space="0" w:color="auto"/>
      </w:divBdr>
    </w:div>
    <w:div w:id="496654881">
      <w:bodyDiv w:val="1"/>
      <w:marLeft w:val="0"/>
      <w:marRight w:val="0"/>
      <w:marTop w:val="0"/>
      <w:marBottom w:val="0"/>
      <w:divBdr>
        <w:top w:val="none" w:sz="0" w:space="0" w:color="auto"/>
        <w:left w:val="none" w:sz="0" w:space="0" w:color="auto"/>
        <w:bottom w:val="none" w:sz="0" w:space="0" w:color="auto"/>
        <w:right w:val="none" w:sz="0" w:space="0" w:color="auto"/>
      </w:divBdr>
    </w:div>
    <w:div w:id="504245047">
      <w:bodyDiv w:val="1"/>
      <w:marLeft w:val="0"/>
      <w:marRight w:val="0"/>
      <w:marTop w:val="0"/>
      <w:marBottom w:val="0"/>
      <w:divBdr>
        <w:top w:val="none" w:sz="0" w:space="0" w:color="auto"/>
        <w:left w:val="none" w:sz="0" w:space="0" w:color="auto"/>
        <w:bottom w:val="none" w:sz="0" w:space="0" w:color="auto"/>
        <w:right w:val="none" w:sz="0" w:space="0" w:color="auto"/>
      </w:divBdr>
    </w:div>
    <w:div w:id="514072889">
      <w:bodyDiv w:val="1"/>
      <w:marLeft w:val="0"/>
      <w:marRight w:val="0"/>
      <w:marTop w:val="0"/>
      <w:marBottom w:val="0"/>
      <w:divBdr>
        <w:top w:val="none" w:sz="0" w:space="0" w:color="auto"/>
        <w:left w:val="none" w:sz="0" w:space="0" w:color="auto"/>
        <w:bottom w:val="none" w:sz="0" w:space="0" w:color="auto"/>
        <w:right w:val="none" w:sz="0" w:space="0" w:color="auto"/>
      </w:divBdr>
    </w:div>
    <w:div w:id="518587263">
      <w:bodyDiv w:val="1"/>
      <w:marLeft w:val="0"/>
      <w:marRight w:val="0"/>
      <w:marTop w:val="0"/>
      <w:marBottom w:val="0"/>
      <w:divBdr>
        <w:top w:val="none" w:sz="0" w:space="0" w:color="auto"/>
        <w:left w:val="none" w:sz="0" w:space="0" w:color="auto"/>
        <w:bottom w:val="none" w:sz="0" w:space="0" w:color="auto"/>
        <w:right w:val="none" w:sz="0" w:space="0" w:color="auto"/>
      </w:divBdr>
    </w:div>
    <w:div w:id="538668984">
      <w:bodyDiv w:val="1"/>
      <w:marLeft w:val="0"/>
      <w:marRight w:val="0"/>
      <w:marTop w:val="0"/>
      <w:marBottom w:val="0"/>
      <w:divBdr>
        <w:top w:val="none" w:sz="0" w:space="0" w:color="auto"/>
        <w:left w:val="none" w:sz="0" w:space="0" w:color="auto"/>
        <w:bottom w:val="none" w:sz="0" w:space="0" w:color="auto"/>
        <w:right w:val="none" w:sz="0" w:space="0" w:color="auto"/>
      </w:divBdr>
    </w:div>
    <w:div w:id="544103083">
      <w:bodyDiv w:val="1"/>
      <w:marLeft w:val="0"/>
      <w:marRight w:val="0"/>
      <w:marTop w:val="0"/>
      <w:marBottom w:val="0"/>
      <w:divBdr>
        <w:top w:val="none" w:sz="0" w:space="0" w:color="auto"/>
        <w:left w:val="none" w:sz="0" w:space="0" w:color="auto"/>
        <w:bottom w:val="none" w:sz="0" w:space="0" w:color="auto"/>
        <w:right w:val="none" w:sz="0" w:space="0" w:color="auto"/>
      </w:divBdr>
    </w:div>
    <w:div w:id="551889667">
      <w:bodyDiv w:val="1"/>
      <w:marLeft w:val="0"/>
      <w:marRight w:val="0"/>
      <w:marTop w:val="0"/>
      <w:marBottom w:val="0"/>
      <w:divBdr>
        <w:top w:val="none" w:sz="0" w:space="0" w:color="auto"/>
        <w:left w:val="none" w:sz="0" w:space="0" w:color="auto"/>
        <w:bottom w:val="none" w:sz="0" w:space="0" w:color="auto"/>
        <w:right w:val="none" w:sz="0" w:space="0" w:color="auto"/>
      </w:divBdr>
    </w:div>
    <w:div w:id="553392381">
      <w:bodyDiv w:val="1"/>
      <w:marLeft w:val="0"/>
      <w:marRight w:val="0"/>
      <w:marTop w:val="0"/>
      <w:marBottom w:val="0"/>
      <w:divBdr>
        <w:top w:val="none" w:sz="0" w:space="0" w:color="auto"/>
        <w:left w:val="none" w:sz="0" w:space="0" w:color="auto"/>
        <w:bottom w:val="none" w:sz="0" w:space="0" w:color="auto"/>
        <w:right w:val="none" w:sz="0" w:space="0" w:color="auto"/>
      </w:divBdr>
    </w:div>
    <w:div w:id="556553700">
      <w:bodyDiv w:val="1"/>
      <w:marLeft w:val="0"/>
      <w:marRight w:val="0"/>
      <w:marTop w:val="0"/>
      <w:marBottom w:val="0"/>
      <w:divBdr>
        <w:top w:val="none" w:sz="0" w:space="0" w:color="auto"/>
        <w:left w:val="none" w:sz="0" w:space="0" w:color="auto"/>
        <w:bottom w:val="none" w:sz="0" w:space="0" w:color="auto"/>
        <w:right w:val="none" w:sz="0" w:space="0" w:color="auto"/>
      </w:divBdr>
    </w:div>
    <w:div w:id="557516601">
      <w:bodyDiv w:val="1"/>
      <w:marLeft w:val="0"/>
      <w:marRight w:val="0"/>
      <w:marTop w:val="0"/>
      <w:marBottom w:val="0"/>
      <w:divBdr>
        <w:top w:val="none" w:sz="0" w:space="0" w:color="auto"/>
        <w:left w:val="none" w:sz="0" w:space="0" w:color="auto"/>
        <w:bottom w:val="none" w:sz="0" w:space="0" w:color="auto"/>
        <w:right w:val="none" w:sz="0" w:space="0" w:color="auto"/>
      </w:divBdr>
      <w:divsChild>
        <w:div w:id="62916232">
          <w:marLeft w:val="0"/>
          <w:marRight w:val="0"/>
          <w:marTop w:val="0"/>
          <w:marBottom w:val="0"/>
          <w:divBdr>
            <w:top w:val="none" w:sz="0" w:space="0" w:color="auto"/>
            <w:left w:val="none" w:sz="0" w:space="0" w:color="auto"/>
            <w:bottom w:val="none" w:sz="0" w:space="0" w:color="auto"/>
            <w:right w:val="none" w:sz="0" w:space="0" w:color="auto"/>
          </w:divBdr>
        </w:div>
        <w:div w:id="362756334">
          <w:marLeft w:val="0"/>
          <w:marRight w:val="0"/>
          <w:marTop w:val="0"/>
          <w:marBottom w:val="0"/>
          <w:divBdr>
            <w:top w:val="none" w:sz="0" w:space="0" w:color="auto"/>
            <w:left w:val="none" w:sz="0" w:space="0" w:color="auto"/>
            <w:bottom w:val="none" w:sz="0" w:space="0" w:color="auto"/>
            <w:right w:val="none" w:sz="0" w:space="0" w:color="auto"/>
          </w:divBdr>
        </w:div>
        <w:div w:id="1400441353">
          <w:marLeft w:val="0"/>
          <w:marRight w:val="0"/>
          <w:marTop w:val="0"/>
          <w:marBottom w:val="0"/>
          <w:divBdr>
            <w:top w:val="none" w:sz="0" w:space="0" w:color="auto"/>
            <w:left w:val="none" w:sz="0" w:space="0" w:color="auto"/>
            <w:bottom w:val="none" w:sz="0" w:space="0" w:color="auto"/>
            <w:right w:val="none" w:sz="0" w:space="0" w:color="auto"/>
          </w:divBdr>
        </w:div>
        <w:div w:id="1593706469">
          <w:marLeft w:val="0"/>
          <w:marRight w:val="0"/>
          <w:marTop w:val="0"/>
          <w:marBottom w:val="0"/>
          <w:divBdr>
            <w:top w:val="none" w:sz="0" w:space="0" w:color="auto"/>
            <w:left w:val="none" w:sz="0" w:space="0" w:color="auto"/>
            <w:bottom w:val="none" w:sz="0" w:space="0" w:color="auto"/>
            <w:right w:val="none" w:sz="0" w:space="0" w:color="auto"/>
          </w:divBdr>
        </w:div>
        <w:div w:id="1921870617">
          <w:marLeft w:val="0"/>
          <w:marRight w:val="0"/>
          <w:marTop w:val="0"/>
          <w:marBottom w:val="0"/>
          <w:divBdr>
            <w:top w:val="none" w:sz="0" w:space="0" w:color="auto"/>
            <w:left w:val="none" w:sz="0" w:space="0" w:color="auto"/>
            <w:bottom w:val="none" w:sz="0" w:space="0" w:color="auto"/>
            <w:right w:val="none" w:sz="0" w:space="0" w:color="auto"/>
          </w:divBdr>
        </w:div>
      </w:divsChild>
    </w:div>
    <w:div w:id="560101338">
      <w:bodyDiv w:val="1"/>
      <w:marLeft w:val="0"/>
      <w:marRight w:val="0"/>
      <w:marTop w:val="0"/>
      <w:marBottom w:val="0"/>
      <w:divBdr>
        <w:top w:val="none" w:sz="0" w:space="0" w:color="auto"/>
        <w:left w:val="none" w:sz="0" w:space="0" w:color="auto"/>
        <w:bottom w:val="none" w:sz="0" w:space="0" w:color="auto"/>
        <w:right w:val="none" w:sz="0" w:space="0" w:color="auto"/>
      </w:divBdr>
    </w:div>
    <w:div w:id="608854760">
      <w:bodyDiv w:val="1"/>
      <w:marLeft w:val="0"/>
      <w:marRight w:val="0"/>
      <w:marTop w:val="0"/>
      <w:marBottom w:val="0"/>
      <w:divBdr>
        <w:top w:val="none" w:sz="0" w:space="0" w:color="auto"/>
        <w:left w:val="none" w:sz="0" w:space="0" w:color="auto"/>
        <w:bottom w:val="none" w:sz="0" w:space="0" w:color="auto"/>
        <w:right w:val="none" w:sz="0" w:space="0" w:color="auto"/>
      </w:divBdr>
    </w:div>
    <w:div w:id="614095174">
      <w:bodyDiv w:val="1"/>
      <w:marLeft w:val="0"/>
      <w:marRight w:val="0"/>
      <w:marTop w:val="0"/>
      <w:marBottom w:val="0"/>
      <w:divBdr>
        <w:top w:val="none" w:sz="0" w:space="0" w:color="auto"/>
        <w:left w:val="none" w:sz="0" w:space="0" w:color="auto"/>
        <w:bottom w:val="none" w:sz="0" w:space="0" w:color="auto"/>
        <w:right w:val="none" w:sz="0" w:space="0" w:color="auto"/>
      </w:divBdr>
      <w:divsChild>
        <w:div w:id="298342450">
          <w:marLeft w:val="0"/>
          <w:marRight w:val="0"/>
          <w:marTop w:val="0"/>
          <w:marBottom w:val="0"/>
          <w:divBdr>
            <w:top w:val="none" w:sz="0" w:space="0" w:color="auto"/>
            <w:left w:val="none" w:sz="0" w:space="0" w:color="auto"/>
            <w:bottom w:val="none" w:sz="0" w:space="0" w:color="auto"/>
            <w:right w:val="none" w:sz="0" w:space="0" w:color="auto"/>
          </w:divBdr>
        </w:div>
        <w:div w:id="526603364">
          <w:marLeft w:val="0"/>
          <w:marRight w:val="0"/>
          <w:marTop w:val="0"/>
          <w:marBottom w:val="0"/>
          <w:divBdr>
            <w:top w:val="none" w:sz="0" w:space="0" w:color="auto"/>
            <w:left w:val="none" w:sz="0" w:space="0" w:color="auto"/>
            <w:bottom w:val="none" w:sz="0" w:space="0" w:color="auto"/>
            <w:right w:val="none" w:sz="0" w:space="0" w:color="auto"/>
          </w:divBdr>
        </w:div>
        <w:div w:id="878981428">
          <w:marLeft w:val="0"/>
          <w:marRight w:val="0"/>
          <w:marTop w:val="0"/>
          <w:marBottom w:val="0"/>
          <w:divBdr>
            <w:top w:val="none" w:sz="0" w:space="0" w:color="auto"/>
            <w:left w:val="none" w:sz="0" w:space="0" w:color="auto"/>
            <w:bottom w:val="none" w:sz="0" w:space="0" w:color="auto"/>
            <w:right w:val="none" w:sz="0" w:space="0" w:color="auto"/>
          </w:divBdr>
        </w:div>
        <w:div w:id="1027222331">
          <w:marLeft w:val="0"/>
          <w:marRight w:val="0"/>
          <w:marTop w:val="0"/>
          <w:marBottom w:val="0"/>
          <w:divBdr>
            <w:top w:val="none" w:sz="0" w:space="0" w:color="auto"/>
            <w:left w:val="none" w:sz="0" w:space="0" w:color="auto"/>
            <w:bottom w:val="none" w:sz="0" w:space="0" w:color="auto"/>
            <w:right w:val="none" w:sz="0" w:space="0" w:color="auto"/>
          </w:divBdr>
        </w:div>
      </w:divsChild>
    </w:div>
    <w:div w:id="616445845">
      <w:bodyDiv w:val="1"/>
      <w:marLeft w:val="0"/>
      <w:marRight w:val="0"/>
      <w:marTop w:val="0"/>
      <w:marBottom w:val="0"/>
      <w:divBdr>
        <w:top w:val="none" w:sz="0" w:space="0" w:color="auto"/>
        <w:left w:val="none" w:sz="0" w:space="0" w:color="auto"/>
        <w:bottom w:val="none" w:sz="0" w:space="0" w:color="auto"/>
        <w:right w:val="none" w:sz="0" w:space="0" w:color="auto"/>
      </w:divBdr>
      <w:divsChild>
        <w:div w:id="246885473">
          <w:marLeft w:val="0"/>
          <w:marRight w:val="0"/>
          <w:marTop w:val="0"/>
          <w:marBottom w:val="0"/>
          <w:divBdr>
            <w:top w:val="none" w:sz="0" w:space="0" w:color="auto"/>
            <w:left w:val="none" w:sz="0" w:space="0" w:color="auto"/>
            <w:bottom w:val="none" w:sz="0" w:space="0" w:color="auto"/>
            <w:right w:val="none" w:sz="0" w:space="0" w:color="auto"/>
          </w:divBdr>
        </w:div>
        <w:div w:id="427165027">
          <w:marLeft w:val="0"/>
          <w:marRight w:val="0"/>
          <w:marTop w:val="0"/>
          <w:marBottom w:val="0"/>
          <w:divBdr>
            <w:top w:val="none" w:sz="0" w:space="0" w:color="auto"/>
            <w:left w:val="none" w:sz="0" w:space="0" w:color="auto"/>
            <w:bottom w:val="none" w:sz="0" w:space="0" w:color="auto"/>
            <w:right w:val="none" w:sz="0" w:space="0" w:color="auto"/>
          </w:divBdr>
        </w:div>
        <w:div w:id="622728931">
          <w:marLeft w:val="0"/>
          <w:marRight w:val="0"/>
          <w:marTop w:val="0"/>
          <w:marBottom w:val="0"/>
          <w:divBdr>
            <w:top w:val="none" w:sz="0" w:space="0" w:color="auto"/>
            <w:left w:val="none" w:sz="0" w:space="0" w:color="auto"/>
            <w:bottom w:val="none" w:sz="0" w:space="0" w:color="auto"/>
            <w:right w:val="none" w:sz="0" w:space="0" w:color="auto"/>
          </w:divBdr>
        </w:div>
        <w:div w:id="1307736960">
          <w:marLeft w:val="0"/>
          <w:marRight w:val="0"/>
          <w:marTop w:val="0"/>
          <w:marBottom w:val="0"/>
          <w:divBdr>
            <w:top w:val="none" w:sz="0" w:space="0" w:color="auto"/>
            <w:left w:val="none" w:sz="0" w:space="0" w:color="auto"/>
            <w:bottom w:val="none" w:sz="0" w:space="0" w:color="auto"/>
            <w:right w:val="none" w:sz="0" w:space="0" w:color="auto"/>
          </w:divBdr>
        </w:div>
      </w:divsChild>
    </w:div>
    <w:div w:id="625543810">
      <w:bodyDiv w:val="1"/>
      <w:marLeft w:val="0"/>
      <w:marRight w:val="0"/>
      <w:marTop w:val="0"/>
      <w:marBottom w:val="0"/>
      <w:divBdr>
        <w:top w:val="none" w:sz="0" w:space="0" w:color="auto"/>
        <w:left w:val="none" w:sz="0" w:space="0" w:color="auto"/>
        <w:bottom w:val="none" w:sz="0" w:space="0" w:color="auto"/>
        <w:right w:val="none" w:sz="0" w:space="0" w:color="auto"/>
      </w:divBdr>
    </w:div>
    <w:div w:id="638607811">
      <w:bodyDiv w:val="1"/>
      <w:marLeft w:val="0"/>
      <w:marRight w:val="0"/>
      <w:marTop w:val="0"/>
      <w:marBottom w:val="0"/>
      <w:divBdr>
        <w:top w:val="none" w:sz="0" w:space="0" w:color="auto"/>
        <w:left w:val="none" w:sz="0" w:space="0" w:color="auto"/>
        <w:bottom w:val="none" w:sz="0" w:space="0" w:color="auto"/>
        <w:right w:val="none" w:sz="0" w:space="0" w:color="auto"/>
      </w:divBdr>
    </w:div>
    <w:div w:id="672218152">
      <w:bodyDiv w:val="1"/>
      <w:marLeft w:val="0"/>
      <w:marRight w:val="0"/>
      <w:marTop w:val="0"/>
      <w:marBottom w:val="0"/>
      <w:divBdr>
        <w:top w:val="none" w:sz="0" w:space="0" w:color="auto"/>
        <w:left w:val="none" w:sz="0" w:space="0" w:color="auto"/>
        <w:bottom w:val="none" w:sz="0" w:space="0" w:color="auto"/>
        <w:right w:val="none" w:sz="0" w:space="0" w:color="auto"/>
      </w:divBdr>
      <w:divsChild>
        <w:div w:id="5519999">
          <w:marLeft w:val="0"/>
          <w:marRight w:val="0"/>
          <w:marTop w:val="0"/>
          <w:marBottom w:val="0"/>
          <w:divBdr>
            <w:top w:val="none" w:sz="0" w:space="0" w:color="auto"/>
            <w:left w:val="none" w:sz="0" w:space="0" w:color="auto"/>
            <w:bottom w:val="none" w:sz="0" w:space="0" w:color="auto"/>
            <w:right w:val="none" w:sz="0" w:space="0" w:color="auto"/>
          </w:divBdr>
        </w:div>
        <w:div w:id="1166020463">
          <w:marLeft w:val="0"/>
          <w:marRight w:val="0"/>
          <w:marTop w:val="0"/>
          <w:marBottom w:val="0"/>
          <w:divBdr>
            <w:top w:val="none" w:sz="0" w:space="0" w:color="auto"/>
            <w:left w:val="none" w:sz="0" w:space="0" w:color="auto"/>
            <w:bottom w:val="none" w:sz="0" w:space="0" w:color="auto"/>
            <w:right w:val="none" w:sz="0" w:space="0" w:color="auto"/>
          </w:divBdr>
        </w:div>
        <w:div w:id="1613902638">
          <w:marLeft w:val="0"/>
          <w:marRight w:val="0"/>
          <w:marTop w:val="0"/>
          <w:marBottom w:val="0"/>
          <w:divBdr>
            <w:top w:val="none" w:sz="0" w:space="0" w:color="auto"/>
            <w:left w:val="none" w:sz="0" w:space="0" w:color="auto"/>
            <w:bottom w:val="none" w:sz="0" w:space="0" w:color="auto"/>
            <w:right w:val="none" w:sz="0" w:space="0" w:color="auto"/>
          </w:divBdr>
        </w:div>
      </w:divsChild>
    </w:div>
    <w:div w:id="704065050">
      <w:bodyDiv w:val="1"/>
      <w:marLeft w:val="0"/>
      <w:marRight w:val="0"/>
      <w:marTop w:val="0"/>
      <w:marBottom w:val="0"/>
      <w:divBdr>
        <w:top w:val="none" w:sz="0" w:space="0" w:color="auto"/>
        <w:left w:val="none" w:sz="0" w:space="0" w:color="auto"/>
        <w:bottom w:val="none" w:sz="0" w:space="0" w:color="auto"/>
        <w:right w:val="none" w:sz="0" w:space="0" w:color="auto"/>
      </w:divBdr>
    </w:div>
    <w:div w:id="710954268">
      <w:bodyDiv w:val="1"/>
      <w:marLeft w:val="0"/>
      <w:marRight w:val="0"/>
      <w:marTop w:val="0"/>
      <w:marBottom w:val="0"/>
      <w:divBdr>
        <w:top w:val="none" w:sz="0" w:space="0" w:color="auto"/>
        <w:left w:val="none" w:sz="0" w:space="0" w:color="auto"/>
        <w:bottom w:val="none" w:sz="0" w:space="0" w:color="auto"/>
        <w:right w:val="none" w:sz="0" w:space="0" w:color="auto"/>
      </w:divBdr>
      <w:divsChild>
        <w:div w:id="15620554">
          <w:marLeft w:val="0"/>
          <w:marRight w:val="0"/>
          <w:marTop w:val="0"/>
          <w:marBottom w:val="0"/>
          <w:divBdr>
            <w:top w:val="none" w:sz="0" w:space="0" w:color="auto"/>
            <w:left w:val="none" w:sz="0" w:space="0" w:color="auto"/>
            <w:bottom w:val="none" w:sz="0" w:space="0" w:color="auto"/>
            <w:right w:val="none" w:sz="0" w:space="0" w:color="auto"/>
          </w:divBdr>
        </w:div>
        <w:div w:id="186018413">
          <w:marLeft w:val="0"/>
          <w:marRight w:val="0"/>
          <w:marTop w:val="0"/>
          <w:marBottom w:val="0"/>
          <w:divBdr>
            <w:top w:val="none" w:sz="0" w:space="0" w:color="auto"/>
            <w:left w:val="none" w:sz="0" w:space="0" w:color="auto"/>
            <w:bottom w:val="none" w:sz="0" w:space="0" w:color="auto"/>
            <w:right w:val="none" w:sz="0" w:space="0" w:color="auto"/>
          </w:divBdr>
        </w:div>
        <w:div w:id="638463708">
          <w:marLeft w:val="0"/>
          <w:marRight w:val="0"/>
          <w:marTop w:val="0"/>
          <w:marBottom w:val="0"/>
          <w:divBdr>
            <w:top w:val="none" w:sz="0" w:space="0" w:color="auto"/>
            <w:left w:val="none" w:sz="0" w:space="0" w:color="auto"/>
            <w:bottom w:val="none" w:sz="0" w:space="0" w:color="auto"/>
            <w:right w:val="none" w:sz="0" w:space="0" w:color="auto"/>
          </w:divBdr>
        </w:div>
        <w:div w:id="1025715446">
          <w:marLeft w:val="0"/>
          <w:marRight w:val="0"/>
          <w:marTop w:val="0"/>
          <w:marBottom w:val="0"/>
          <w:divBdr>
            <w:top w:val="none" w:sz="0" w:space="0" w:color="auto"/>
            <w:left w:val="none" w:sz="0" w:space="0" w:color="auto"/>
            <w:bottom w:val="none" w:sz="0" w:space="0" w:color="auto"/>
            <w:right w:val="none" w:sz="0" w:space="0" w:color="auto"/>
          </w:divBdr>
        </w:div>
        <w:div w:id="1618677131">
          <w:marLeft w:val="0"/>
          <w:marRight w:val="0"/>
          <w:marTop w:val="0"/>
          <w:marBottom w:val="0"/>
          <w:divBdr>
            <w:top w:val="none" w:sz="0" w:space="0" w:color="auto"/>
            <w:left w:val="none" w:sz="0" w:space="0" w:color="auto"/>
            <w:bottom w:val="none" w:sz="0" w:space="0" w:color="auto"/>
            <w:right w:val="none" w:sz="0" w:space="0" w:color="auto"/>
          </w:divBdr>
        </w:div>
      </w:divsChild>
    </w:div>
    <w:div w:id="735011040">
      <w:bodyDiv w:val="1"/>
      <w:marLeft w:val="0"/>
      <w:marRight w:val="0"/>
      <w:marTop w:val="0"/>
      <w:marBottom w:val="0"/>
      <w:divBdr>
        <w:top w:val="none" w:sz="0" w:space="0" w:color="auto"/>
        <w:left w:val="none" w:sz="0" w:space="0" w:color="auto"/>
        <w:bottom w:val="none" w:sz="0" w:space="0" w:color="auto"/>
        <w:right w:val="none" w:sz="0" w:space="0" w:color="auto"/>
      </w:divBdr>
    </w:div>
    <w:div w:id="735204771">
      <w:bodyDiv w:val="1"/>
      <w:marLeft w:val="0"/>
      <w:marRight w:val="0"/>
      <w:marTop w:val="0"/>
      <w:marBottom w:val="0"/>
      <w:divBdr>
        <w:top w:val="none" w:sz="0" w:space="0" w:color="auto"/>
        <w:left w:val="none" w:sz="0" w:space="0" w:color="auto"/>
        <w:bottom w:val="none" w:sz="0" w:space="0" w:color="auto"/>
        <w:right w:val="none" w:sz="0" w:space="0" w:color="auto"/>
      </w:divBdr>
    </w:div>
    <w:div w:id="740369449">
      <w:bodyDiv w:val="1"/>
      <w:marLeft w:val="0"/>
      <w:marRight w:val="0"/>
      <w:marTop w:val="0"/>
      <w:marBottom w:val="0"/>
      <w:divBdr>
        <w:top w:val="none" w:sz="0" w:space="0" w:color="auto"/>
        <w:left w:val="none" w:sz="0" w:space="0" w:color="auto"/>
        <w:bottom w:val="none" w:sz="0" w:space="0" w:color="auto"/>
        <w:right w:val="none" w:sz="0" w:space="0" w:color="auto"/>
      </w:divBdr>
      <w:divsChild>
        <w:div w:id="140387960">
          <w:marLeft w:val="0"/>
          <w:marRight w:val="0"/>
          <w:marTop w:val="0"/>
          <w:marBottom w:val="0"/>
          <w:divBdr>
            <w:top w:val="none" w:sz="0" w:space="0" w:color="auto"/>
            <w:left w:val="none" w:sz="0" w:space="0" w:color="auto"/>
            <w:bottom w:val="none" w:sz="0" w:space="0" w:color="auto"/>
            <w:right w:val="none" w:sz="0" w:space="0" w:color="auto"/>
          </w:divBdr>
        </w:div>
        <w:div w:id="529955335">
          <w:marLeft w:val="0"/>
          <w:marRight w:val="0"/>
          <w:marTop w:val="0"/>
          <w:marBottom w:val="0"/>
          <w:divBdr>
            <w:top w:val="none" w:sz="0" w:space="0" w:color="auto"/>
            <w:left w:val="none" w:sz="0" w:space="0" w:color="auto"/>
            <w:bottom w:val="none" w:sz="0" w:space="0" w:color="auto"/>
            <w:right w:val="none" w:sz="0" w:space="0" w:color="auto"/>
          </w:divBdr>
        </w:div>
        <w:div w:id="805469132">
          <w:marLeft w:val="0"/>
          <w:marRight w:val="0"/>
          <w:marTop w:val="0"/>
          <w:marBottom w:val="0"/>
          <w:divBdr>
            <w:top w:val="none" w:sz="0" w:space="0" w:color="auto"/>
            <w:left w:val="none" w:sz="0" w:space="0" w:color="auto"/>
            <w:bottom w:val="none" w:sz="0" w:space="0" w:color="auto"/>
            <w:right w:val="none" w:sz="0" w:space="0" w:color="auto"/>
          </w:divBdr>
        </w:div>
        <w:div w:id="811944969">
          <w:marLeft w:val="0"/>
          <w:marRight w:val="0"/>
          <w:marTop w:val="0"/>
          <w:marBottom w:val="0"/>
          <w:divBdr>
            <w:top w:val="none" w:sz="0" w:space="0" w:color="auto"/>
            <w:left w:val="none" w:sz="0" w:space="0" w:color="auto"/>
            <w:bottom w:val="none" w:sz="0" w:space="0" w:color="auto"/>
            <w:right w:val="none" w:sz="0" w:space="0" w:color="auto"/>
          </w:divBdr>
        </w:div>
        <w:div w:id="969281376">
          <w:marLeft w:val="0"/>
          <w:marRight w:val="0"/>
          <w:marTop w:val="0"/>
          <w:marBottom w:val="0"/>
          <w:divBdr>
            <w:top w:val="none" w:sz="0" w:space="0" w:color="auto"/>
            <w:left w:val="none" w:sz="0" w:space="0" w:color="auto"/>
            <w:bottom w:val="none" w:sz="0" w:space="0" w:color="auto"/>
            <w:right w:val="none" w:sz="0" w:space="0" w:color="auto"/>
          </w:divBdr>
        </w:div>
        <w:div w:id="1083336941">
          <w:marLeft w:val="0"/>
          <w:marRight w:val="0"/>
          <w:marTop w:val="0"/>
          <w:marBottom w:val="0"/>
          <w:divBdr>
            <w:top w:val="none" w:sz="0" w:space="0" w:color="auto"/>
            <w:left w:val="none" w:sz="0" w:space="0" w:color="auto"/>
            <w:bottom w:val="none" w:sz="0" w:space="0" w:color="auto"/>
            <w:right w:val="none" w:sz="0" w:space="0" w:color="auto"/>
          </w:divBdr>
        </w:div>
        <w:div w:id="1161658237">
          <w:marLeft w:val="0"/>
          <w:marRight w:val="0"/>
          <w:marTop w:val="0"/>
          <w:marBottom w:val="0"/>
          <w:divBdr>
            <w:top w:val="none" w:sz="0" w:space="0" w:color="auto"/>
            <w:left w:val="none" w:sz="0" w:space="0" w:color="auto"/>
            <w:bottom w:val="none" w:sz="0" w:space="0" w:color="auto"/>
            <w:right w:val="none" w:sz="0" w:space="0" w:color="auto"/>
          </w:divBdr>
        </w:div>
        <w:div w:id="1550846160">
          <w:marLeft w:val="0"/>
          <w:marRight w:val="0"/>
          <w:marTop w:val="0"/>
          <w:marBottom w:val="0"/>
          <w:divBdr>
            <w:top w:val="none" w:sz="0" w:space="0" w:color="auto"/>
            <w:left w:val="none" w:sz="0" w:space="0" w:color="auto"/>
            <w:bottom w:val="none" w:sz="0" w:space="0" w:color="auto"/>
            <w:right w:val="none" w:sz="0" w:space="0" w:color="auto"/>
          </w:divBdr>
        </w:div>
        <w:div w:id="1603535087">
          <w:marLeft w:val="0"/>
          <w:marRight w:val="0"/>
          <w:marTop w:val="0"/>
          <w:marBottom w:val="0"/>
          <w:divBdr>
            <w:top w:val="none" w:sz="0" w:space="0" w:color="auto"/>
            <w:left w:val="none" w:sz="0" w:space="0" w:color="auto"/>
            <w:bottom w:val="none" w:sz="0" w:space="0" w:color="auto"/>
            <w:right w:val="none" w:sz="0" w:space="0" w:color="auto"/>
          </w:divBdr>
        </w:div>
        <w:div w:id="2064744256">
          <w:marLeft w:val="0"/>
          <w:marRight w:val="0"/>
          <w:marTop w:val="0"/>
          <w:marBottom w:val="0"/>
          <w:divBdr>
            <w:top w:val="none" w:sz="0" w:space="0" w:color="auto"/>
            <w:left w:val="none" w:sz="0" w:space="0" w:color="auto"/>
            <w:bottom w:val="none" w:sz="0" w:space="0" w:color="auto"/>
            <w:right w:val="none" w:sz="0" w:space="0" w:color="auto"/>
          </w:divBdr>
        </w:div>
      </w:divsChild>
    </w:div>
    <w:div w:id="740953607">
      <w:bodyDiv w:val="1"/>
      <w:marLeft w:val="0"/>
      <w:marRight w:val="0"/>
      <w:marTop w:val="0"/>
      <w:marBottom w:val="0"/>
      <w:divBdr>
        <w:top w:val="none" w:sz="0" w:space="0" w:color="auto"/>
        <w:left w:val="none" w:sz="0" w:space="0" w:color="auto"/>
        <w:bottom w:val="none" w:sz="0" w:space="0" w:color="auto"/>
        <w:right w:val="none" w:sz="0" w:space="0" w:color="auto"/>
      </w:divBdr>
    </w:div>
    <w:div w:id="747116328">
      <w:bodyDiv w:val="1"/>
      <w:marLeft w:val="0"/>
      <w:marRight w:val="0"/>
      <w:marTop w:val="0"/>
      <w:marBottom w:val="0"/>
      <w:divBdr>
        <w:top w:val="none" w:sz="0" w:space="0" w:color="auto"/>
        <w:left w:val="none" w:sz="0" w:space="0" w:color="auto"/>
        <w:bottom w:val="none" w:sz="0" w:space="0" w:color="auto"/>
        <w:right w:val="none" w:sz="0" w:space="0" w:color="auto"/>
      </w:divBdr>
    </w:div>
    <w:div w:id="754209796">
      <w:bodyDiv w:val="1"/>
      <w:marLeft w:val="0"/>
      <w:marRight w:val="0"/>
      <w:marTop w:val="0"/>
      <w:marBottom w:val="0"/>
      <w:divBdr>
        <w:top w:val="none" w:sz="0" w:space="0" w:color="auto"/>
        <w:left w:val="none" w:sz="0" w:space="0" w:color="auto"/>
        <w:bottom w:val="none" w:sz="0" w:space="0" w:color="auto"/>
        <w:right w:val="none" w:sz="0" w:space="0" w:color="auto"/>
      </w:divBdr>
    </w:div>
    <w:div w:id="773478430">
      <w:bodyDiv w:val="1"/>
      <w:marLeft w:val="0"/>
      <w:marRight w:val="0"/>
      <w:marTop w:val="0"/>
      <w:marBottom w:val="0"/>
      <w:divBdr>
        <w:top w:val="none" w:sz="0" w:space="0" w:color="auto"/>
        <w:left w:val="none" w:sz="0" w:space="0" w:color="auto"/>
        <w:bottom w:val="none" w:sz="0" w:space="0" w:color="auto"/>
        <w:right w:val="none" w:sz="0" w:space="0" w:color="auto"/>
      </w:divBdr>
    </w:div>
    <w:div w:id="781918622">
      <w:bodyDiv w:val="1"/>
      <w:marLeft w:val="0"/>
      <w:marRight w:val="0"/>
      <w:marTop w:val="0"/>
      <w:marBottom w:val="0"/>
      <w:divBdr>
        <w:top w:val="none" w:sz="0" w:space="0" w:color="auto"/>
        <w:left w:val="none" w:sz="0" w:space="0" w:color="auto"/>
        <w:bottom w:val="none" w:sz="0" w:space="0" w:color="auto"/>
        <w:right w:val="none" w:sz="0" w:space="0" w:color="auto"/>
      </w:divBdr>
    </w:div>
    <w:div w:id="782575045">
      <w:bodyDiv w:val="1"/>
      <w:marLeft w:val="0"/>
      <w:marRight w:val="0"/>
      <w:marTop w:val="0"/>
      <w:marBottom w:val="0"/>
      <w:divBdr>
        <w:top w:val="none" w:sz="0" w:space="0" w:color="auto"/>
        <w:left w:val="none" w:sz="0" w:space="0" w:color="auto"/>
        <w:bottom w:val="none" w:sz="0" w:space="0" w:color="auto"/>
        <w:right w:val="none" w:sz="0" w:space="0" w:color="auto"/>
      </w:divBdr>
      <w:divsChild>
        <w:div w:id="936450441">
          <w:marLeft w:val="0"/>
          <w:marRight w:val="0"/>
          <w:marTop w:val="0"/>
          <w:marBottom w:val="0"/>
          <w:divBdr>
            <w:top w:val="none" w:sz="0" w:space="0" w:color="auto"/>
            <w:left w:val="none" w:sz="0" w:space="0" w:color="auto"/>
            <w:bottom w:val="none" w:sz="0" w:space="0" w:color="auto"/>
            <w:right w:val="none" w:sz="0" w:space="0" w:color="auto"/>
          </w:divBdr>
        </w:div>
        <w:div w:id="1377774116">
          <w:marLeft w:val="0"/>
          <w:marRight w:val="0"/>
          <w:marTop w:val="0"/>
          <w:marBottom w:val="0"/>
          <w:divBdr>
            <w:top w:val="none" w:sz="0" w:space="0" w:color="auto"/>
            <w:left w:val="none" w:sz="0" w:space="0" w:color="auto"/>
            <w:bottom w:val="none" w:sz="0" w:space="0" w:color="auto"/>
            <w:right w:val="none" w:sz="0" w:space="0" w:color="auto"/>
          </w:divBdr>
        </w:div>
      </w:divsChild>
    </w:div>
    <w:div w:id="785541942">
      <w:bodyDiv w:val="1"/>
      <w:marLeft w:val="0"/>
      <w:marRight w:val="0"/>
      <w:marTop w:val="0"/>
      <w:marBottom w:val="0"/>
      <w:divBdr>
        <w:top w:val="none" w:sz="0" w:space="0" w:color="auto"/>
        <w:left w:val="none" w:sz="0" w:space="0" w:color="auto"/>
        <w:bottom w:val="none" w:sz="0" w:space="0" w:color="auto"/>
        <w:right w:val="none" w:sz="0" w:space="0" w:color="auto"/>
      </w:divBdr>
    </w:div>
    <w:div w:id="786969614">
      <w:bodyDiv w:val="1"/>
      <w:marLeft w:val="0"/>
      <w:marRight w:val="0"/>
      <w:marTop w:val="0"/>
      <w:marBottom w:val="0"/>
      <w:divBdr>
        <w:top w:val="none" w:sz="0" w:space="0" w:color="auto"/>
        <w:left w:val="none" w:sz="0" w:space="0" w:color="auto"/>
        <w:bottom w:val="none" w:sz="0" w:space="0" w:color="auto"/>
        <w:right w:val="none" w:sz="0" w:space="0" w:color="auto"/>
      </w:divBdr>
    </w:div>
    <w:div w:id="794636080">
      <w:bodyDiv w:val="1"/>
      <w:marLeft w:val="0"/>
      <w:marRight w:val="0"/>
      <w:marTop w:val="0"/>
      <w:marBottom w:val="0"/>
      <w:divBdr>
        <w:top w:val="none" w:sz="0" w:space="0" w:color="auto"/>
        <w:left w:val="none" w:sz="0" w:space="0" w:color="auto"/>
        <w:bottom w:val="none" w:sz="0" w:space="0" w:color="auto"/>
        <w:right w:val="none" w:sz="0" w:space="0" w:color="auto"/>
      </w:divBdr>
    </w:div>
    <w:div w:id="798763097">
      <w:bodyDiv w:val="1"/>
      <w:marLeft w:val="0"/>
      <w:marRight w:val="0"/>
      <w:marTop w:val="0"/>
      <w:marBottom w:val="0"/>
      <w:divBdr>
        <w:top w:val="none" w:sz="0" w:space="0" w:color="auto"/>
        <w:left w:val="none" w:sz="0" w:space="0" w:color="auto"/>
        <w:bottom w:val="none" w:sz="0" w:space="0" w:color="auto"/>
        <w:right w:val="none" w:sz="0" w:space="0" w:color="auto"/>
      </w:divBdr>
      <w:divsChild>
        <w:div w:id="166478158">
          <w:marLeft w:val="0"/>
          <w:marRight w:val="0"/>
          <w:marTop w:val="0"/>
          <w:marBottom w:val="0"/>
          <w:divBdr>
            <w:top w:val="none" w:sz="0" w:space="0" w:color="auto"/>
            <w:left w:val="none" w:sz="0" w:space="0" w:color="auto"/>
            <w:bottom w:val="none" w:sz="0" w:space="0" w:color="auto"/>
            <w:right w:val="none" w:sz="0" w:space="0" w:color="auto"/>
          </w:divBdr>
        </w:div>
        <w:div w:id="542521745">
          <w:marLeft w:val="0"/>
          <w:marRight w:val="0"/>
          <w:marTop w:val="0"/>
          <w:marBottom w:val="0"/>
          <w:divBdr>
            <w:top w:val="none" w:sz="0" w:space="0" w:color="auto"/>
            <w:left w:val="none" w:sz="0" w:space="0" w:color="auto"/>
            <w:bottom w:val="none" w:sz="0" w:space="0" w:color="auto"/>
            <w:right w:val="none" w:sz="0" w:space="0" w:color="auto"/>
          </w:divBdr>
        </w:div>
        <w:div w:id="1516654455">
          <w:marLeft w:val="0"/>
          <w:marRight w:val="0"/>
          <w:marTop w:val="0"/>
          <w:marBottom w:val="0"/>
          <w:divBdr>
            <w:top w:val="none" w:sz="0" w:space="0" w:color="auto"/>
            <w:left w:val="none" w:sz="0" w:space="0" w:color="auto"/>
            <w:bottom w:val="none" w:sz="0" w:space="0" w:color="auto"/>
            <w:right w:val="none" w:sz="0" w:space="0" w:color="auto"/>
          </w:divBdr>
        </w:div>
        <w:div w:id="2021270287">
          <w:marLeft w:val="0"/>
          <w:marRight w:val="0"/>
          <w:marTop w:val="0"/>
          <w:marBottom w:val="0"/>
          <w:divBdr>
            <w:top w:val="none" w:sz="0" w:space="0" w:color="auto"/>
            <w:left w:val="none" w:sz="0" w:space="0" w:color="auto"/>
            <w:bottom w:val="none" w:sz="0" w:space="0" w:color="auto"/>
            <w:right w:val="none" w:sz="0" w:space="0" w:color="auto"/>
          </w:divBdr>
        </w:div>
      </w:divsChild>
    </w:div>
    <w:div w:id="801115172">
      <w:bodyDiv w:val="1"/>
      <w:marLeft w:val="0"/>
      <w:marRight w:val="0"/>
      <w:marTop w:val="0"/>
      <w:marBottom w:val="0"/>
      <w:divBdr>
        <w:top w:val="none" w:sz="0" w:space="0" w:color="auto"/>
        <w:left w:val="none" w:sz="0" w:space="0" w:color="auto"/>
        <w:bottom w:val="none" w:sz="0" w:space="0" w:color="auto"/>
        <w:right w:val="none" w:sz="0" w:space="0" w:color="auto"/>
      </w:divBdr>
    </w:div>
    <w:div w:id="810555610">
      <w:bodyDiv w:val="1"/>
      <w:marLeft w:val="0"/>
      <w:marRight w:val="0"/>
      <w:marTop w:val="0"/>
      <w:marBottom w:val="0"/>
      <w:divBdr>
        <w:top w:val="none" w:sz="0" w:space="0" w:color="auto"/>
        <w:left w:val="none" w:sz="0" w:space="0" w:color="auto"/>
        <w:bottom w:val="none" w:sz="0" w:space="0" w:color="auto"/>
        <w:right w:val="none" w:sz="0" w:space="0" w:color="auto"/>
      </w:divBdr>
    </w:div>
    <w:div w:id="827014714">
      <w:bodyDiv w:val="1"/>
      <w:marLeft w:val="0"/>
      <w:marRight w:val="0"/>
      <w:marTop w:val="0"/>
      <w:marBottom w:val="0"/>
      <w:divBdr>
        <w:top w:val="none" w:sz="0" w:space="0" w:color="auto"/>
        <w:left w:val="none" w:sz="0" w:space="0" w:color="auto"/>
        <w:bottom w:val="none" w:sz="0" w:space="0" w:color="auto"/>
        <w:right w:val="none" w:sz="0" w:space="0" w:color="auto"/>
      </w:divBdr>
      <w:divsChild>
        <w:div w:id="90130839">
          <w:marLeft w:val="0"/>
          <w:marRight w:val="0"/>
          <w:marTop w:val="0"/>
          <w:marBottom w:val="0"/>
          <w:divBdr>
            <w:top w:val="none" w:sz="0" w:space="0" w:color="auto"/>
            <w:left w:val="none" w:sz="0" w:space="0" w:color="auto"/>
            <w:bottom w:val="none" w:sz="0" w:space="0" w:color="auto"/>
            <w:right w:val="none" w:sz="0" w:space="0" w:color="auto"/>
          </w:divBdr>
        </w:div>
        <w:div w:id="102579421">
          <w:marLeft w:val="0"/>
          <w:marRight w:val="0"/>
          <w:marTop w:val="0"/>
          <w:marBottom w:val="0"/>
          <w:divBdr>
            <w:top w:val="none" w:sz="0" w:space="0" w:color="auto"/>
            <w:left w:val="none" w:sz="0" w:space="0" w:color="auto"/>
            <w:bottom w:val="none" w:sz="0" w:space="0" w:color="auto"/>
            <w:right w:val="none" w:sz="0" w:space="0" w:color="auto"/>
          </w:divBdr>
        </w:div>
        <w:div w:id="125440951">
          <w:marLeft w:val="0"/>
          <w:marRight w:val="0"/>
          <w:marTop w:val="0"/>
          <w:marBottom w:val="0"/>
          <w:divBdr>
            <w:top w:val="none" w:sz="0" w:space="0" w:color="auto"/>
            <w:left w:val="none" w:sz="0" w:space="0" w:color="auto"/>
            <w:bottom w:val="none" w:sz="0" w:space="0" w:color="auto"/>
            <w:right w:val="none" w:sz="0" w:space="0" w:color="auto"/>
          </w:divBdr>
        </w:div>
        <w:div w:id="607354265">
          <w:marLeft w:val="0"/>
          <w:marRight w:val="0"/>
          <w:marTop w:val="0"/>
          <w:marBottom w:val="0"/>
          <w:divBdr>
            <w:top w:val="none" w:sz="0" w:space="0" w:color="auto"/>
            <w:left w:val="none" w:sz="0" w:space="0" w:color="auto"/>
            <w:bottom w:val="none" w:sz="0" w:space="0" w:color="auto"/>
            <w:right w:val="none" w:sz="0" w:space="0" w:color="auto"/>
          </w:divBdr>
        </w:div>
        <w:div w:id="953947057">
          <w:marLeft w:val="0"/>
          <w:marRight w:val="0"/>
          <w:marTop w:val="0"/>
          <w:marBottom w:val="0"/>
          <w:divBdr>
            <w:top w:val="none" w:sz="0" w:space="0" w:color="auto"/>
            <w:left w:val="none" w:sz="0" w:space="0" w:color="auto"/>
            <w:bottom w:val="none" w:sz="0" w:space="0" w:color="auto"/>
            <w:right w:val="none" w:sz="0" w:space="0" w:color="auto"/>
          </w:divBdr>
        </w:div>
        <w:div w:id="1247610433">
          <w:marLeft w:val="0"/>
          <w:marRight w:val="0"/>
          <w:marTop w:val="0"/>
          <w:marBottom w:val="0"/>
          <w:divBdr>
            <w:top w:val="none" w:sz="0" w:space="0" w:color="auto"/>
            <w:left w:val="none" w:sz="0" w:space="0" w:color="auto"/>
            <w:bottom w:val="none" w:sz="0" w:space="0" w:color="auto"/>
            <w:right w:val="none" w:sz="0" w:space="0" w:color="auto"/>
          </w:divBdr>
        </w:div>
        <w:div w:id="1318458173">
          <w:marLeft w:val="0"/>
          <w:marRight w:val="0"/>
          <w:marTop w:val="0"/>
          <w:marBottom w:val="0"/>
          <w:divBdr>
            <w:top w:val="none" w:sz="0" w:space="0" w:color="auto"/>
            <w:left w:val="none" w:sz="0" w:space="0" w:color="auto"/>
            <w:bottom w:val="none" w:sz="0" w:space="0" w:color="auto"/>
            <w:right w:val="none" w:sz="0" w:space="0" w:color="auto"/>
          </w:divBdr>
        </w:div>
        <w:div w:id="1732804496">
          <w:marLeft w:val="0"/>
          <w:marRight w:val="0"/>
          <w:marTop w:val="0"/>
          <w:marBottom w:val="0"/>
          <w:divBdr>
            <w:top w:val="none" w:sz="0" w:space="0" w:color="auto"/>
            <w:left w:val="none" w:sz="0" w:space="0" w:color="auto"/>
            <w:bottom w:val="none" w:sz="0" w:space="0" w:color="auto"/>
            <w:right w:val="none" w:sz="0" w:space="0" w:color="auto"/>
          </w:divBdr>
        </w:div>
        <w:div w:id="2009406216">
          <w:marLeft w:val="0"/>
          <w:marRight w:val="0"/>
          <w:marTop w:val="0"/>
          <w:marBottom w:val="0"/>
          <w:divBdr>
            <w:top w:val="none" w:sz="0" w:space="0" w:color="auto"/>
            <w:left w:val="none" w:sz="0" w:space="0" w:color="auto"/>
            <w:bottom w:val="none" w:sz="0" w:space="0" w:color="auto"/>
            <w:right w:val="none" w:sz="0" w:space="0" w:color="auto"/>
          </w:divBdr>
        </w:div>
      </w:divsChild>
    </w:div>
    <w:div w:id="827747881">
      <w:bodyDiv w:val="1"/>
      <w:marLeft w:val="0"/>
      <w:marRight w:val="0"/>
      <w:marTop w:val="0"/>
      <w:marBottom w:val="0"/>
      <w:divBdr>
        <w:top w:val="none" w:sz="0" w:space="0" w:color="auto"/>
        <w:left w:val="none" w:sz="0" w:space="0" w:color="auto"/>
        <w:bottom w:val="none" w:sz="0" w:space="0" w:color="auto"/>
        <w:right w:val="none" w:sz="0" w:space="0" w:color="auto"/>
      </w:divBdr>
    </w:div>
    <w:div w:id="855311377">
      <w:bodyDiv w:val="1"/>
      <w:marLeft w:val="0"/>
      <w:marRight w:val="0"/>
      <w:marTop w:val="0"/>
      <w:marBottom w:val="0"/>
      <w:divBdr>
        <w:top w:val="none" w:sz="0" w:space="0" w:color="auto"/>
        <w:left w:val="none" w:sz="0" w:space="0" w:color="auto"/>
        <w:bottom w:val="none" w:sz="0" w:space="0" w:color="auto"/>
        <w:right w:val="none" w:sz="0" w:space="0" w:color="auto"/>
      </w:divBdr>
    </w:div>
    <w:div w:id="856582647">
      <w:bodyDiv w:val="1"/>
      <w:marLeft w:val="0"/>
      <w:marRight w:val="0"/>
      <w:marTop w:val="0"/>
      <w:marBottom w:val="0"/>
      <w:divBdr>
        <w:top w:val="none" w:sz="0" w:space="0" w:color="auto"/>
        <w:left w:val="none" w:sz="0" w:space="0" w:color="auto"/>
        <w:bottom w:val="none" w:sz="0" w:space="0" w:color="auto"/>
        <w:right w:val="none" w:sz="0" w:space="0" w:color="auto"/>
      </w:divBdr>
    </w:div>
    <w:div w:id="883638989">
      <w:bodyDiv w:val="1"/>
      <w:marLeft w:val="0"/>
      <w:marRight w:val="0"/>
      <w:marTop w:val="0"/>
      <w:marBottom w:val="0"/>
      <w:divBdr>
        <w:top w:val="none" w:sz="0" w:space="0" w:color="auto"/>
        <w:left w:val="none" w:sz="0" w:space="0" w:color="auto"/>
        <w:bottom w:val="none" w:sz="0" w:space="0" w:color="auto"/>
        <w:right w:val="none" w:sz="0" w:space="0" w:color="auto"/>
      </w:divBdr>
    </w:div>
    <w:div w:id="897596255">
      <w:bodyDiv w:val="1"/>
      <w:marLeft w:val="0"/>
      <w:marRight w:val="0"/>
      <w:marTop w:val="0"/>
      <w:marBottom w:val="0"/>
      <w:divBdr>
        <w:top w:val="none" w:sz="0" w:space="0" w:color="auto"/>
        <w:left w:val="none" w:sz="0" w:space="0" w:color="auto"/>
        <w:bottom w:val="none" w:sz="0" w:space="0" w:color="auto"/>
        <w:right w:val="none" w:sz="0" w:space="0" w:color="auto"/>
      </w:divBdr>
      <w:divsChild>
        <w:div w:id="47415161">
          <w:marLeft w:val="0"/>
          <w:marRight w:val="0"/>
          <w:marTop w:val="0"/>
          <w:marBottom w:val="0"/>
          <w:divBdr>
            <w:top w:val="none" w:sz="0" w:space="0" w:color="auto"/>
            <w:left w:val="none" w:sz="0" w:space="0" w:color="auto"/>
            <w:bottom w:val="none" w:sz="0" w:space="0" w:color="auto"/>
            <w:right w:val="none" w:sz="0" w:space="0" w:color="auto"/>
          </w:divBdr>
        </w:div>
        <w:div w:id="238515551">
          <w:marLeft w:val="0"/>
          <w:marRight w:val="0"/>
          <w:marTop w:val="0"/>
          <w:marBottom w:val="0"/>
          <w:divBdr>
            <w:top w:val="none" w:sz="0" w:space="0" w:color="auto"/>
            <w:left w:val="none" w:sz="0" w:space="0" w:color="auto"/>
            <w:bottom w:val="none" w:sz="0" w:space="0" w:color="auto"/>
            <w:right w:val="none" w:sz="0" w:space="0" w:color="auto"/>
          </w:divBdr>
        </w:div>
        <w:div w:id="336881322">
          <w:marLeft w:val="0"/>
          <w:marRight w:val="0"/>
          <w:marTop w:val="0"/>
          <w:marBottom w:val="0"/>
          <w:divBdr>
            <w:top w:val="none" w:sz="0" w:space="0" w:color="auto"/>
            <w:left w:val="none" w:sz="0" w:space="0" w:color="auto"/>
            <w:bottom w:val="none" w:sz="0" w:space="0" w:color="auto"/>
            <w:right w:val="none" w:sz="0" w:space="0" w:color="auto"/>
          </w:divBdr>
        </w:div>
        <w:div w:id="373164290">
          <w:marLeft w:val="0"/>
          <w:marRight w:val="0"/>
          <w:marTop w:val="0"/>
          <w:marBottom w:val="0"/>
          <w:divBdr>
            <w:top w:val="none" w:sz="0" w:space="0" w:color="auto"/>
            <w:left w:val="none" w:sz="0" w:space="0" w:color="auto"/>
            <w:bottom w:val="none" w:sz="0" w:space="0" w:color="auto"/>
            <w:right w:val="none" w:sz="0" w:space="0" w:color="auto"/>
          </w:divBdr>
        </w:div>
        <w:div w:id="507987544">
          <w:marLeft w:val="0"/>
          <w:marRight w:val="0"/>
          <w:marTop w:val="0"/>
          <w:marBottom w:val="0"/>
          <w:divBdr>
            <w:top w:val="none" w:sz="0" w:space="0" w:color="auto"/>
            <w:left w:val="none" w:sz="0" w:space="0" w:color="auto"/>
            <w:bottom w:val="none" w:sz="0" w:space="0" w:color="auto"/>
            <w:right w:val="none" w:sz="0" w:space="0" w:color="auto"/>
          </w:divBdr>
        </w:div>
        <w:div w:id="596136370">
          <w:marLeft w:val="0"/>
          <w:marRight w:val="0"/>
          <w:marTop w:val="0"/>
          <w:marBottom w:val="0"/>
          <w:divBdr>
            <w:top w:val="none" w:sz="0" w:space="0" w:color="auto"/>
            <w:left w:val="none" w:sz="0" w:space="0" w:color="auto"/>
            <w:bottom w:val="none" w:sz="0" w:space="0" w:color="auto"/>
            <w:right w:val="none" w:sz="0" w:space="0" w:color="auto"/>
          </w:divBdr>
        </w:div>
        <w:div w:id="718869079">
          <w:marLeft w:val="0"/>
          <w:marRight w:val="0"/>
          <w:marTop w:val="0"/>
          <w:marBottom w:val="0"/>
          <w:divBdr>
            <w:top w:val="none" w:sz="0" w:space="0" w:color="auto"/>
            <w:left w:val="none" w:sz="0" w:space="0" w:color="auto"/>
            <w:bottom w:val="none" w:sz="0" w:space="0" w:color="auto"/>
            <w:right w:val="none" w:sz="0" w:space="0" w:color="auto"/>
          </w:divBdr>
        </w:div>
        <w:div w:id="774208638">
          <w:marLeft w:val="0"/>
          <w:marRight w:val="0"/>
          <w:marTop w:val="0"/>
          <w:marBottom w:val="0"/>
          <w:divBdr>
            <w:top w:val="none" w:sz="0" w:space="0" w:color="auto"/>
            <w:left w:val="none" w:sz="0" w:space="0" w:color="auto"/>
            <w:bottom w:val="none" w:sz="0" w:space="0" w:color="auto"/>
            <w:right w:val="none" w:sz="0" w:space="0" w:color="auto"/>
          </w:divBdr>
        </w:div>
        <w:div w:id="802314709">
          <w:marLeft w:val="0"/>
          <w:marRight w:val="0"/>
          <w:marTop w:val="0"/>
          <w:marBottom w:val="0"/>
          <w:divBdr>
            <w:top w:val="none" w:sz="0" w:space="0" w:color="auto"/>
            <w:left w:val="none" w:sz="0" w:space="0" w:color="auto"/>
            <w:bottom w:val="none" w:sz="0" w:space="0" w:color="auto"/>
            <w:right w:val="none" w:sz="0" w:space="0" w:color="auto"/>
          </w:divBdr>
        </w:div>
        <w:div w:id="813448267">
          <w:marLeft w:val="0"/>
          <w:marRight w:val="0"/>
          <w:marTop w:val="0"/>
          <w:marBottom w:val="0"/>
          <w:divBdr>
            <w:top w:val="none" w:sz="0" w:space="0" w:color="auto"/>
            <w:left w:val="none" w:sz="0" w:space="0" w:color="auto"/>
            <w:bottom w:val="none" w:sz="0" w:space="0" w:color="auto"/>
            <w:right w:val="none" w:sz="0" w:space="0" w:color="auto"/>
          </w:divBdr>
        </w:div>
        <w:div w:id="1035695098">
          <w:marLeft w:val="0"/>
          <w:marRight w:val="0"/>
          <w:marTop w:val="0"/>
          <w:marBottom w:val="0"/>
          <w:divBdr>
            <w:top w:val="none" w:sz="0" w:space="0" w:color="auto"/>
            <w:left w:val="none" w:sz="0" w:space="0" w:color="auto"/>
            <w:bottom w:val="none" w:sz="0" w:space="0" w:color="auto"/>
            <w:right w:val="none" w:sz="0" w:space="0" w:color="auto"/>
          </w:divBdr>
        </w:div>
        <w:div w:id="1065185134">
          <w:marLeft w:val="0"/>
          <w:marRight w:val="0"/>
          <w:marTop w:val="0"/>
          <w:marBottom w:val="0"/>
          <w:divBdr>
            <w:top w:val="none" w:sz="0" w:space="0" w:color="auto"/>
            <w:left w:val="none" w:sz="0" w:space="0" w:color="auto"/>
            <w:bottom w:val="none" w:sz="0" w:space="0" w:color="auto"/>
            <w:right w:val="none" w:sz="0" w:space="0" w:color="auto"/>
          </w:divBdr>
        </w:div>
        <w:div w:id="1259602285">
          <w:marLeft w:val="0"/>
          <w:marRight w:val="0"/>
          <w:marTop w:val="0"/>
          <w:marBottom w:val="0"/>
          <w:divBdr>
            <w:top w:val="none" w:sz="0" w:space="0" w:color="auto"/>
            <w:left w:val="none" w:sz="0" w:space="0" w:color="auto"/>
            <w:bottom w:val="none" w:sz="0" w:space="0" w:color="auto"/>
            <w:right w:val="none" w:sz="0" w:space="0" w:color="auto"/>
          </w:divBdr>
        </w:div>
        <w:div w:id="1426267271">
          <w:marLeft w:val="0"/>
          <w:marRight w:val="0"/>
          <w:marTop w:val="0"/>
          <w:marBottom w:val="0"/>
          <w:divBdr>
            <w:top w:val="none" w:sz="0" w:space="0" w:color="auto"/>
            <w:left w:val="none" w:sz="0" w:space="0" w:color="auto"/>
            <w:bottom w:val="none" w:sz="0" w:space="0" w:color="auto"/>
            <w:right w:val="none" w:sz="0" w:space="0" w:color="auto"/>
          </w:divBdr>
        </w:div>
        <w:div w:id="1442529061">
          <w:marLeft w:val="0"/>
          <w:marRight w:val="0"/>
          <w:marTop w:val="0"/>
          <w:marBottom w:val="0"/>
          <w:divBdr>
            <w:top w:val="none" w:sz="0" w:space="0" w:color="auto"/>
            <w:left w:val="none" w:sz="0" w:space="0" w:color="auto"/>
            <w:bottom w:val="none" w:sz="0" w:space="0" w:color="auto"/>
            <w:right w:val="none" w:sz="0" w:space="0" w:color="auto"/>
          </w:divBdr>
        </w:div>
        <w:div w:id="1557082568">
          <w:marLeft w:val="0"/>
          <w:marRight w:val="0"/>
          <w:marTop w:val="0"/>
          <w:marBottom w:val="0"/>
          <w:divBdr>
            <w:top w:val="none" w:sz="0" w:space="0" w:color="auto"/>
            <w:left w:val="none" w:sz="0" w:space="0" w:color="auto"/>
            <w:bottom w:val="none" w:sz="0" w:space="0" w:color="auto"/>
            <w:right w:val="none" w:sz="0" w:space="0" w:color="auto"/>
          </w:divBdr>
        </w:div>
        <w:div w:id="1648626389">
          <w:marLeft w:val="0"/>
          <w:marRight w:val="0"/>
          <w:marTop w:val="0"/>
          <w:marBottom w:val="0"/>
          <w:divBdr>
            <w:top w:val="none" w:sz="0" w:space="0" w:color="auto"/>
            <w:left w:val="none" w:sz="0" w:space="0" w:color="auto"/>
            <w:bottom w:val="none" w:sz="0" w:space="0" w:color="auto"/>
            <w:right w:val="none" w:sz="0" w:space="0" w:color="auto"/>
          </w:divBdr>
        </w:div>
        <w:div w:id="1704096120">
          <w:marLeft w:val="0"/>
          <w:marRight w:val="0"/>
          <w:marTop w:val="0"/>
          <w:marBottom w:val="0"/>
          <w:divBdr>
            <w:top w:val="none" w:sz="0" w:space="0" w:color="auto"/>
            <w:left w:val="none" w:sz="0" w:space="0" w:color="auto"/>
            <w:bottom w:val="none" w:sz="0" w:space="0" w:color="auto"/>
            <w:right w:val="none" w:sz="0" w:space="0" w:color="auto"/>
          </w:divBdr>
        </w:div>
        <w:div w:id="1827160386">
          <w:marLeft w:val="0"/>
          <w:marRight w:val="0"/>
          <w:marTop w:val="0"/>
          <w:marBottom w:val="0"/>
          <w:divBdr>
            <w:top w:val="none" w:sz="0" w:space="0" w:color="auto"/>
            <w:left w:val="none" w:sz="0" w:space="0" w:color="auto"/>
            <w:bottom w:val="none" w:sz="0" w:space="0" w:color="auto"/>
            <w:right w:val="none" w:sz="0" w:space="0" w:color="auto"/>
          </w:divBdr>
        </w:div>
        <w:div w:id="1915162540">
          <w:marLeft w:val="0"/>
          <w:marRight w:val="0"/>
          <w:marTop w:val="0"/>
          <w:marBottom w:val="0"/>
          <w:divBdr>
            <w:top w:val="none" w:sz="0" w:space="0" w:color="auto"/>
            <w:left w:val="none" w:sz="0" w:space="0" w:color="auto"/>
            <w:bottom w:val="none" w:sz="0" w:space="0" w:color="auto"/>
            <w:right w:val="none" w:sz="0" w:space="0" w:color="auto"/>
          </w:divBdr>
        </w:div>
        <w:div w:id="1950580364">
          <w:marLeft w:val="0"/>
          <w:marRight w:val="0"/>
          <w:marTop w:val="0"/>
          <w:marBottom w:val="0"/>
          <w:divBdr>
            <w:top w:val="none" w:sz="0" w:space="0" w:color="auto"/>
            <w:left w:val="none" w:sz="0" w:space="0" w:color="auto"/>
            <w:bottom w:val="none" w:sz="0" w:space="0" w:color="auto"/>
            <w:right w:val="none" w:sz="0" w:space="0" w:color="auto"/>
          </w:divBdr>
        </w:div>
      </w:divsChild>
    </w:div>
    <w:div w:id="911233239">
      <w:bodyDiv w:val="1"/>
      <w:marLeft w:val="0"/>
      <w:marRight w:val="0"/>
      <w:marTop w:val="0"/>
      <w:marBottom w:val="0"/>
      <w:divBdr>
        <w:top w:val="none" w:sz="0" w:space="0" w:color="auto"/>
        <w:left w:val="none" w:sz="0" w:space="0" w:color="auto"/>
        <w:bottom w:val="none" w:sz="0" w:space="0" w:color="auto"/>
        <w:right w:val="none" w:sz="0" w:space="0" w:color="auto"/>
      </w:divBdr>
    </w:div>
    <w:div w:id="929855455">
      <w:bodyDiv w:val="1"/>
      <w:marLeft w:val="0"/>
      <w:marRight w:val="0"/>
      <w:marTop w:val="0"/>
      <w:marBottom w:val="0"/>
      <w:divBdr>
        <w:top w:val="none" w:sz="0" w:space="0" w:color="auto"/>
        <w:left w:val="none" w:sz="0" w:space="0" w:color="auto"/>
        <w:bottom w:val="none" w:sz="0" w:space="0" w:color="auto"/>
        <w:right w:val="none" w:sz="0" w:space="0" w:color="auto"/>
      </w:divBdr>
      <w:divsChild>
        <w:div w:id="148131262">
          <w:marLeft w:val="0"/>
          <w:marRight w:val="0"/>
          <w:marTop w:val="0"/>
          <w:marBottom w:val="0"/>
          <w:divBdr>
            <w:top w:val="none" w:sz="0" w:space="0" w:color="auto"/>
            <w:left w:val="none" w:sz="0" w:space="0" w:color="auto"/>
            <w:bottom w:val="none" w:sz="0" w:space="0" w:color="auto"/>
            <w:right w:val="none" w:sz="0" w:space="0" w:color="auto"/>
          </w:divBdr>
        </w:div>
        <w:div w:id="488642338">
          <w:marLeft w:val="0"/>
          <w:marRight w:val="0"/>
          <w:marTop w:val="0"/>
          <w:marBottom w:val="0"/>
          <w:divBdr>
            <w:top w:val="none" w:sz="0" w:space="0" w:color="auto"/>
            <w:left w:val="none" w:sz="0" w:space="0" w:color="auto"/>
            <w:bottom w:val="none" w:sz="0" w:space="0" w:color="auto"/>
            <w:right w:val="none" w:sz="0" w:space="0" w:color="auto"/>
          </w:divBdr>
        </w:div>
        <w:div w:id="635260191">
          <w:marLeft w:val="0"/>
          <w:marRight w:val="0"/>
          <w:marTop w:val="0"/>
          <w:marBottom w:val="0"/>
          <w:divBdr>
            <w:top w:val="none" w:sz="0" w:space="0" w:color="auto"/>
            <w:left w:val="none" w:sz="0" w:space="0" w:color="auto"/>
            <w:bottom w:val="none" w:sz="0" w:space="0" w:color="auto"/>
            <w:right w:val="none" w:sz="0" w:space="0" w:color="auto"/>
          </w:divBdr>
        </w:div>
        <w:div w:id="721952144">
          <w:marLeft w:val="0"/>
          <w:marRight w:val="0"/>
          <w:marTop w:val="0"/>
          <w:marBottom w:val="0"/>
          <w:divBdr>
            <w:top w:val="none" w:sz="0" w:space="0" w:color="auto"/>
            <w:left w:val="none" w:sz="0" w:space="0" w:color="auto"/>
            <w:bottom w:val="none" w:sz="0" w:space="0" w:color="auto"/>
            <w:right w:val="none" w:sz="0" w:space="0" w:color="auto"/>
          </w:divBdr>
        </w:div>
        <w:div w:id="1422144717">
          <w:marLeft w:val="0"/>
          <w:marRight w:val="0"/>
          <w:marTop w:val="0"/>
          <w:marBottom w:val="0"/>
          <w:divBdr>
            <w:top w:val="none" w:sz="0" w:space="0" w:color="auto"/>
            <w:left w:val="none" w:sz="0" w:space="0" w:color="auto"/>
            <w:bottom w:val="none" w:sz="0" w:space="0" w:color="auto"/>
            <w:right w:val="none" w:sz="0" w:space="0" w:color="auto"/>
          </w:divBdr>
        </w:div>
        <w:div w:id="1634747725">
          <w:marLeft w:val="0"/>
          <w:marRight w:val="0"/>
          <w:marTop w:val="0"/>
          <w:marBottom w:val="0"/>
          <w:divBdr>
            <w:top w:val="none" w:sz="0" w:space="0" w:color="auto"/>
            <w:left w:val="none" w:sz="0" w:space="0" w:color="auto"/>
            <w:bottom w:val="none" w:sz="0" w:space="0" w:color="auto"/>
            <w:right w:val="none" w:sz="0" w:space="0" w:color="auto"/>
          </w:divBdr>
        </w:div>
        <w:div w:id="1744403237">
          <w:marLeft w:val="0"/>
          <w:marRight w:val="0"/>
          <w:marTop w:val="0"/>
          <w:marBottom w:val="0"/>
          <w:divBdr>
            <w:top w:val="none" w:sz="0" w:space="0" w:color="auto"/>
            <w:left w:val="none" w:sz="0" w:space="0" w:color="auto"/>
            <w:bottom w:val="none" w:sz="0" w:space="0" w:color="auto"/>
            <w:right w:val="none" w:sz="0" w:space="0" w:color="auto"/>
          </w:divBdr>
        </w:div>
        <w:div w:id="2074115176">
          <w:marLeft w:val="0"/>
          <w:marRight w:val="0"/>
          <w:marTop w:val="0"/>
          <w:marBottom w:val="0"/>
          <w:divBdr>
            <w:top w:val="none" w:sz="0" w:space="0" w:color="auto"/>
            <w:left w:val="none" w:sz="0" w:space="0" w:color="auto"/>
            <w:bottom w:val="none" w:sz="0" w:space="0" w:color="auto"/>
            <w:right w:val="none" w:sz="0" w:space="0" w:color="auto"/>
          </w:divBdr>
        </w:div>
        <w:div w:id="2117481627">
          <w:marLeft w:val="0"/>
          <w:marRight w:val="0"/>
          <w:marTop w:val="0"/>
          <w:marBottom w:val="0"/>
          <w:divBdr>
            <w:top w:val="none" w:sz="0" w:space="0" w:color="auto"/>
            <w:left w:val="none" w:sz="0" w:space="0" w:color="auto"/>
            <w:bottom w:val="none" w:sz="0" w:space="0" w:color="auto"/>
            <w:right w:val="none" w:sz="0" w:space="0" w:color="auto"/>
          </w:divBdr>
        </w:div>
      </w:divsChild>
    </w:div>
    <w:div w:id="952983219">
      <w:bodyDiv w:val="1"/>
      <w:marLeft w:val="0"/>
      <w:marRight w:val="0"/>
      <w:marTop w:val="0"/>
      <w:marBottom w:val="0"/>
      <w:divBdr>
        <w:top w:val="none" w:sz="0" w:space="0" w:color="auto"/>
        <w:left w:val="none" w:sz="0" w:space="0" w:color="auto"/>
        <w:bottom w:val="none" w:sz="0" w:space="0" w:color="auto"/>
        <w:right w:val="none" w:sz="0" w:space="0" w:color="auto"/>
      </w:divBdr>
    </w:div>
    <w:div w:id="960572177">
      <w:bodyDiv w:val="1"/>
      <w:marLeft w:val="0"/>
      <w:marRight w:val="0"/>
      <w:marTop w:val="0"/>
      <w:marBottom w:val="0"/>
      <w:divBdr>
        <w:top w:val="none" w:sz="0" w:space="0" w:color="auto"/>
        <w:left w:val="none" w:sz="0" w:space="0" w:color="auto"/>
        <w:bottom w:val="none" w:sz="0" w:space="0" w:color="auto"/>
        <w:right w:val="none" w:sz="0" w:space="0" w:color="auto"/>
      </w:divBdr>
    </w:div>
    <w:div w:id="964576605">
      <w:bodyDiv w:val="1"/>
      <w:marLeft w:val="0"/>
      <w:marRight w:val="0"/>
      <w:marTop w:val="0"/>
      <w:marBottom w:val="0"/>
      <w:divBdr>
        <w:top w:val="none" w:sz="0" w:space="0" w:color="auto"/>
        <w:left w:val="none" w:sz="0" w:space="0" w:color="auto"/>
        <w:bottom w:val="none" w:sz="0" w:space="0" w:color="auto"/>
        <w:right w:val="none" w:sz="0" w:space="0" w:color="auto"/>
      </w:divBdr>
    </w:div>
    <w:div w:id="970287797">
      <w:bodyDiv w:val="1"/>
      <w:marLeft w:val="0"/>
      <w:marRight w:val="0"/>
      <w:marTop w:val="0"/>
      <w:marBottom w:val="0"/>
      <w:divBdr>
        <w:top w:val="none" w:sz="0" w:space="0" w:color="auto"/>
        <w:left w:val="none" w:sz="0" w:space="0" w:color="auto"/>
        <w:bottom w:val="none" w:sz="0" w:space="0" w:color="auto"/>
        <w:right w:val="none" w:sz="0" w:space="0" w:color="auto"/>
      </w:divBdr>
    </w:div>
    <w:div w:id="973222093">
      <w:bodyDiv w:val="1"/>
      <w:marLeft w:val="0"/>
      <w:marRight w:val="0"/>
      <w:marTop w:val="0"/>
      <w:marBottom w:val="0"/>
      <w:divBdr>
        <w:top w:val="none" w:sz="0" w:space="0" w:color="auto"/>
        <w:left w:val="none" w:sz="0" w:space="0" w:color="auto"/>
        <w:bottom w:val="none" w:sz="0" w:space="0" w:color="auto"/>
        <w:right w:val="none" w:sz="0" w:space="0" w:color="auto"/>
      </w:divBdr>
    </w:div>
    <w:div w:id="973370721">
      <w:bodyDiv w:val="1"/>
      <w:marLeft w:val="0"/>
      <w:marRight w:val="0"/>
      <w:marTop w:val="0"/>
      <w:marBottom w:val="0"/>
      <w:divBdr>
        <w:top w:val="none" w:sz="0" w:space="0" w:color="auto"/>
        <w:left w:val="none" w:sz="0" w:space="0" w:color="auto"/>
        <w:bottom w:val="none" w:sz="0" w:space="0" w:color="auto"/>
        <w:right w:val="none" w:sz="0" w:space="0" w:color="auto"/>
      </w:divBdr>
    </w:div>
    <w:div w:id="973869589">
      <w:bodyDiv w:val="1"/>
      <w:marLeft w:val="0"/>
      <w:marRight w:val="0"/>
      <w:marTop w:val="0"/>
      <w:marBottom w:val="0"/>
      <w:divBdr>
        <w:top w:val="none" w:sz="0" w:space="0" w:color="auto"/>
        <w:left w:val="none" w:sz="0" w:space="0" w:color="auto"/>
        <w:bottom w:val="none" w:sz="0" w:space="0" w:color="auto"/>
        <w:right w:val="none" w:sz="0" w:space="0" w:color="auto"/>
      </w:divBdr>
    </w:div>
    <w:div w:id="978416480">
      <w:bodyDiv w:val="1"/>
      <w:marLeft w:val="0"/>
      <w:marRight w:val="0"/>
      <w:marTop w:val="0"/>
      <w:marBottom w:val="0"/>
      <w:divBdr>
        <w:top w:val="none" w:sz="0" w:space="0" w:color="auto"/>
        <w:left w:val="none" w:sz="0" w:space="0" w:color="auto"/>
        <w:bottom w:val="none" w:sz="0" w:space="0" w:color="auto"/>
        <w:right w:val="none" w:sz="0" w:space="0" w:color="auto"/>
      </w:divBdr>
    </w:div>
    <w:div w:id="991638596">
      <w:bodyDiv w:val="1"/>
      <w:marLeft w:val="0"/>
      <w:marRight w:val="0"/>
      <w:marTop w:val="0"/>
      <w:marBottom w:val="0"/>
      <w:divBdr>
        <w:top w:val="none" w:sz="0" w:space="0" w:color="auto"/>
        <w:left w:val="none" w:sz="0" w:space="0" w:color="auto"/>
        <w:bottom w:val="none" w:sz="0" w:space="0" w:color="auto"/>
        <w:right w:val="none" w:sz="0" w:space="0" w:color="auto"/>
      </w:divBdr>
    </w:div>
    <w:div w:id="997805582">
      <w:bodyDiv w:val="1"/>
      <w:marLeft w:val="0"/>
      <w:marRight w:val="0"/>
      <w:marTop w:val="0"/>
      <w:marBottom w:val="0"/>
      <w:divBdr>
        <w:top w:val="none" w:sz="0" w:space="0" w:color="auto"/>
        <w:left w:val="none" w:sz="0" w:space="0" w:color="auto"/>
        <w:bottom w:val="none" w:sz="0" w:space="0" w:color="auto"/>
        <w:right w:val="none" w:sz="0" w:space="0" w:color="auto"/>
      </w:divBdr>
    </w:div>
    <w:div w:id="1003819696">
      <w:bodyDiv w:val="1"/>
      <w:marLeft w:val="0"/>
      <w:marRight w:val="0"/>
      <w:marTop w:val="0"/>
      <w:marBottom w:val="0"/>
      <w:divBdr>
        <w:top w:val="none" w:sz="0" w:space="0" w:color="auto"/>
        <w:left w:val="none" w:sz="0" w:space="0" w:color="auto"/>
        <w:bottom w:val="none" w:sz="0" w:space="0" w:color="auto"/>
        <w:right w:val="none" w:sz="0" w:space="0" w:color="auto"/>
      </w:divBdr>
    </w:div>
    <w:div w:id="1015421722">
      <w:bodyDiv w:val="1"/>
      <w:marLeft w:val="0"/>
      <w:marRight w:val="0"/>
      <w:marTop w:val="0"/>
      <w:marBottom w:val="0"/>
      <w:divBdr>
        <w:top w:val="none" w:sz="0" w:space="0" w:color="auto"/>
        <w:left w:val="none" w:sz="0" w:space="0" w:color="auto"/>
        <w:bottom w:val="none" w:sz="0" w:space="0" w:color="auto"/>
        <w:right w:val="none" w:sz="0" w:space="0" w:color="auto"/>
      </w:divBdr>
      <w:divsChild>
        <w:div w:id="357435547">
          <w:marLeft w:val="0"/>
          <w:marRight w:val="0"/>
          <w:marTop w:val="0"/>
          <w:marBottom w:val="0"/>
          <w:divBdr>
            <w:top w:val="none" w:sz="0" w:space="0" w:color="auto"/>
            <w:left w:val="none" w:sz="0" w:space="0" w:color="auto"/>
            <w:bottom w:val="none" w:sz="0" w:space="0" w:color="auto"/>
            <w:right w:val="none" w:sz="0" w:space="0" w:color="auto"/>
          </w:divBdr>
        </w:div>
        <w:div w:id="655577055">
          <w:marLeft w:val="0"/>
          <w:marRight w:val="0"/>
          <w:marTop w:val="0"/>
          <w:marBottom w:val="0"/>
          <w:divBdr>
            <w:top w:val="none" w:sz="0" w:space="0" w:color="auto"/>
            <w:left w:val="none" w:sz="0" w:space="0" w:color="auto"/>
            <w:bottom w:val="none" w:sz="0" w:space="0" w:color="auto"/>
            <w:right w:val="none" w:sz="0" w:space="0" w:color="auto"/>
          </w:divBdr>
        </w:div>
        <w:div w:id="699936171">
          <w:marLeft w:val="0"/>
          <w:marRight w:val="0"/>
          <w:marTop w:val="0"/>
          <w:marBottom w:val="0"/>
          <w:divBdr>
            <w:top w:val="none" w:sz="0" w:space="0" w:color="auto"/>
            <w:left w:val="none" w:sz="0" w:space="0" w:color="auto"/>
            <w:bottom w:val="none" w:sz="0" w:space="0" w:color="auto"/>
            <w:right w:val="none" w:sz="0" w:space="0" w:color="auto"/>
          </w:divBdr>
        </w:div>
        <w:div w:id="1952786054">
          <w:marLeft w:val="0"/>
          <w:marRight w:val="0"/>
          <w:marTop w:val="0"/>
          <w:marBottom w:val="0"/>
          <w:divBdr>
            <w:top w:val="none" w:sz="0" w:space="0" w:color="auto"/>
            <w:left w:val="none" w:sz="0" w:space="0" w:color="auto"/>
            <w:bottom w:val="none" w:sz="0" w:space="0" w:color="auto"/>
            <w:right w:val="none" w:sz="0" w:space="0" w:color="auto"/>
          </w:divBdr>
        </w:div>
        <w:div w:id="2120829847">
          <w:marLeft w:val="0"/>
          <w:marRight w:val="0"/>
          <w:marTop w:val="0"/>
          <w:marBottom w:val="0"/>
          <w:divBdr>
            <w:top w:val="none" w:sz="0" w:space="0" w:color="auto"/>
            <w:left w:val="none" w:sz="0" w:space="0" w:color="auto"/>
            <w:bottom w:val="none" w:sz="0" w:space="0" w:color="auto"/>
            <w:right w:val="none" w:sz="0" w:space="0" w:color="auto"/>
          </w:divBdr>
        </w:div>
      </w:divsChild>
    </w:div>
    <w:div w:id="1027097560">
      <w:bodyDiv w:val="1"/>
      <w:marLeft w:val="0"/>
      <w:marRight w:val="0"/>
      <w:marTop w:val="0"/>
      <w:marBottom w:val="0"/>
      <w:divBdr>
        <w:top w:val="none" w:sz="0" w:space="0" w:color="auto"/>
        <w:left w:val="none" w:sz="0" w:space="0" w:color="auto"/>
        <w:bottom w:val="none" w:sz="0" w:space="0" w:color="auto"/>
        <w:right w:val="none" w:sz="0" w:space="0" w:color="auto"/>
      </w:divBdr>
    </w:div>
    <w:div w:id="1032535785">
      <w:bodyDiv w:val="1"/>
      <w:marLeft w:val="0"/>
      <w:marRight w:val="0"/>
      <w:marTop w:val="0"/>
      <w:marBottom w:val="0"/>
      <w:divBdr>
        <w:top w:val="none" w:sz="0" w:space="0" w:color="auto"/>
        <w:left w:val="none" w:sz="0" w:space="0" w:color="auto"/>
        <w:bottom w:val="none" w:sz="0" w:space="0" w:color="auto"/>
        <w:right w:val="none" w:sz="0" w:space="0" w:color="auto"/>
      </w:divBdr>
    </w:div>
    <w:div w:id="1055815099">
      <w:bodyDiv w:val="1"/>
      <w:marLeft w:val="0"/>
      <w:marRight w:val="0"/>
      <w:marTop w:val="0"/>
      <w:marBottom w:val="0"/>
      <w:divBdr>
        <w:top w:val="none" w:sz="0" w:space="0" w:color="auto"/>
        <w:left w:val="none" w:sz="0" w:space="0" w:color="auto"/>
        <w:bottom w:val="none" w:sz="0" w:space="0" w:color="auto"/>
        <w:right w:val="none" w:sz="0" w:space="0" w:color="auto"/>
      </w:divBdr>
      <w:divsChild>
        <w:div w:id="786317052">
          <w:marLeft w:val="0"/>
          <w:marRight w:val="0"/>
          <w:marTop w:val="0"/>
          <w:marBottom w:val="0"/>
          <w:divBdr>
            <w:top w:val="none" w:sz="0" w:space="0" w:color="auto"/>
            <w:left w:val="none" w:sz="0" w:space="0" w:color="auto"/>
            <w:bottom w:val="none" w:sz="0" w:space="0" w:color="auto"/>
            <w:right w:val="none" w:sz="0" w:space="0" w:color="auto"/>
          </w:divBdr>
        </w:div>
        <w:div w:id="1258102495">
          <w:marLeft w:val="0"/>
          <w:marRight w:val="0"/>
          <w:marTop w:val="0"/>
          <w:marBottom w:val="0"/>
          <w:divBdr>
            <w:top w:val="none" w:sz="0" w:space="0" w:color="auto"/>
            <w:left w:val="none" w:sz="0" w:space="0" w:color="auto"/>
            <w:bottom w:val="none" w:sz="0" w:space="0" w:color="auto"/>
            <w:right w:val="none" w:sz="0" w:space="0" w:color="auto"/>
          </w:divBdr>
        </w:div>
        <w:div w:id="1427267376">
          <w:marLeft w:val="0"/>
          <w:marRight w:val="0"/>
          <w:marTop w:val="0"/>
          <w:marBottom w:val="0"/>
          <w:divBdr>
            <w:top w:val="none" w:sz="0" w:space="0" w:color="auto"/>
            <w:left w:val="none" w:sz="0" w:space="0" w:color="auto"/>
            <w:bottom w:val="none" w:sz="0" w:space="0" w:color="auto"/>
            <w:right w:val="none" w:sz="0" w:space="0" w:color="auto"/>
          </w:divBdr>
        </w:div>
        <w:div w:id="1696496400">
          <w:marLeft w:val="0"/>
          <w:marRight w:val="0"/>
          <w:marTop w:val="0"/>
          <w:marBottom w:val="0"/>
          <w:divBdr>
            <w:top w:val="none" w:sz="0" w:space="0" w:color="auto"/>
            <w:left w:val="none" w:sz="0" w:space="0" w:color="auto"/>
            <w:bottom w:val="none" w:sz="0" w:space="0" w:color="auto"/>
            <w:right w:val="none" w:sz="0" w:space="0" w:color="auto"/>
          </w:divBdr>
        </w:div>
      </w:divsChild>
    </w:div>
    <w:div w:id="1069383189">
      <w:bodyDiv w:val="1"/>
      <w:marLeft w:val="0"/>
      <w:marRight w:val="0"/>
      <w:marTop w:val="0"/>
      <w:marBottom w:val="0"/>
      <w:divBdr>
        <w:top w:val="none" w:sz="0" w:space="0" w:color="auto"/>
        <w:left w:val="none" w:sz="0" w:space="0" w:color="auto"/>
        <w:bottom w:val="none" w:sz="0" w:space="0" w:color="auto"/>
        <w:right w:val="none" w:sz="0" w:space="0" w:color="auto"/>
      </w:divBdr>
    </w:div>
    <w:div w:id="1076050763">
      <w:bodyDiv w:val="1"/>
      <w:marLeft w:val="0"/>
      <w:marRight w:val="0"/>
      <w:marTop w:val="0"/>
      <w:marBottom w:val="0"/>
      <w:divBdr>
        <w:top w:val="none" w:sz="0" w:space="0" w:color="auto"/>
        <w:left w:val="none" w:sz="0" w:space="0" w:color="auto"/>
        <w:bottom w:val="none" w:sz="0" w:space="0" w:color="auto"/>
        <w:right w:val="none" w:sz="0" w:space="0" w:color="auto"/>
      </w:divBdr>
    </w:div>
    <w:div w:id="1079014025">
      <w:bodyDiv w:val="1"/>
      <w:marLeft w:val="0"/>
      <w:marRight w:val="0"/>
      <w:marTop w:val="0"/>
      <w:marBottom w:val="0"/>
      <w:divBdr>
        <w:top w:val="none" w:sz="0" w:space="0" w:color="auto"/>
        <w:left w:val="none" w:sz="0" w:space="0" w:color="auto"/>
        <w:bottom w:val="none" w:sz="0" w:space="0" w:color="auto"/>
        <w:right w:val="none" w:sz="0" w:space="0" w:color="auto"/>
      </w:divBdr>
    </w:div>
    <w:div w:id="1087455641">
      <w:bodyDiv w:val="1"/>
      <w:marLeft w:val="0"/>
      <w:marRight w:val="0"/>
      <w:marTop w:val="0"/>
      <w:marBottom w:val="0"/>
      <w:divBdr>
        <w:top w:val="none" w:sz="0" w:space="0" w:color="auto"/>
        <w:left w:val="none" w:sz="0" w:space="0" w:color="auto"/>
        <w:bottom w:val="none" w:sz="0" w:space="0" w:color="auto"/>
        <w:right w:val="none" w:sz="0" w:space="0" w:color="auto"/>
      </w:divBdr>
    </w:div>
    <w:div w:id="1104879641">
      <w:bodyDiv w:val="1"/>
      <w:marLeft w:val="0"/>
      <w:marRight w:val="0"/>
      <w:marTop w:val="0"/>
      <w:marBottom w:val="0"/>
      <w:divBdr>
        <w:top w:val="none" w:sz="0" w:space="0" w:color="auto"/>
        <w:left w:val="none" w:sz="0" w:space="0" w:color="auto"/>
        <w:bottom w:val="none" w:sz="0" w:space="0" w:color="auto"/>
        <w:right w:val="none" w:sz="0" w:space="0" w:color="auto"/>
      </w:divBdr>
      <w:divsChild>
        <w:div w:id="930047859">
          <w:marLeft w:val="0"/>
          <w:marRight w:val="0"/>
          <w:marTop w:val="0"/>
          <w:marBottom w:val="0"/>
          <w:divBdr>
            <w:top w:val="none" w:sz="0" w:space="0" w:color="auto"/>
            <w:left w:val="none" w:sz="0" w:space="0" w:color="auto"/>
            <w:bottom w:val="none" w:sz="0" w:space="0" w:color="auto"/>
            <w:right w:val="none" w:sz="0" w:space="0" w:color="auto"/>
          </w:divBdr>
        </w:div>
        <w:div w:id="1018196162">
          <w:marLeft w:val="0"/>
          <w:marRight w:val="0"/>
          <w:marTop w:val="0"/>
          <w:marBottom w:val="0"/>
          <w:divBdr>
            <w:top w:val="none" w:sz="0" w:space="0" w:color="auto"/>
            <w:left w:val="none" w:sz="0" w:space="0" w:color="auto"/>
            <w:bottom w:val="none" w:sz="0" w:space="0" w:color="auto"/>
            <w:right w:val="none" w:sz="0" w:space="0" w:color="auto"/>
          </w:divBdr>
        </w:div>
        <w:div w:id="1067994189">
          <w:marLeft w:val="0"/>
          <w:marRight w:val="0"/>
          <w:marTop w:val="0"/>
          <w:marBottom w:val="0"/>
          <w:divBdr>
            <w:top w:val="none" w:sz="0" w:space="0" w:color="auto"/>
            <w:left w:val="none" w:sz="0" w:space="0" w:color="auto"/>
            <w:bottom w:val="none" w:sz="0" w:space="0" w:color="auto"/>
            <w:right w:val="none" w:sz="0" w:space="0" w:color="auto"/>
          </w:divBdr>
        </w:div>
        <w:div w:id="1816219785">
          <w:marLeft w:val="0"/>
          <w:marRight w:val="0"/>
          <w:marTop w:val="0"/>
          <w:marBottom w:val="0"/>
          <w:divBdr>
            <w:top w:val="none" w:sz="0" w:space="0" w:color="auto"/>
            <w:left w:val="none" w:sz="0" w:space="0" w:color="auto"/>
            <w:bottom w:val="none" w:sz="0" w:space="0" w:color="auto"/>
            <w:right w:val="none" w:sz="0" w:space="0" w:color="auto"/>
          </w:divBdr>
        </w:div>
        <w:div w:id="1967664439">
          <w:marLeft w:val="0"/>
          <w:marRight w:val="0"/>
          <w:marTop w:val="0"/>
          <w:marBottom w:val="0"/>
          <w:divBdr>
            <w:top w:val="none" w:sz="0" w:space="0" w:color="auto"/>
            <w:left w:val="none" w:sz="0" w:space="0" w:color="auto"/>
            <w:bottom w:val="none" w:sz="0" w:space="0" w:color="auto"/>
            <w:right w:val="none" w:sz="0" w:space="0" w:color="auto"/>
          </w:divBdr>
        </w:div>
      </w:divsChild>
    </w:div>
    <w:div w:id="1107313424">
      <w:bodyDiv w:val="1"/>
      <w:marLeft w:val="0"/>
      <w:marRight w:val="0"/>
      <w:marTop w:val="0"/>
      <w:marBottom w:val="0"/>
      <w:divBdr>
        <w:top w:val="none" w:sz="0" w:space="0" w:color="auto"/>
        <w:left w:val="none" w:sz="0" w:space="0" w:color="auto"/>
        <w:bottom w:val="none" w:sz="0" w:space="0" w:color="auto"/>
        <w:right w:val="none" w:sz="0" w:space="0" w:color="auto"/>
      </w:divBdr>
    </w:div>
    <w:div w:id="1120496403">
      <w:bodyDiv w:val="1"/>
      <w:marLeft w:val="0"/>
      <w:marRight w:val="0"/>
      <w:marTop w:val="0"/>
      <w:marBottom w:val="0"/>
      <w:divBdr>
        <w:top w:val="none" w:sz="0" w:space="0" w:color="auto"/>
        <w:left w:val="none" w:sz="0" w:space="0" w:color="auto"/>
        <w:bottom w:val="none" w:sz="0" w:space="0" w:color="auto"/>
        <w:right w:val="none" w:sz="0" w:space="0" w:color="auto"/>
      </w:divBdr>
      <w:divsChild>
        <w:div w:id="416754469">
          <w:marLeft w:val="0"/>
          <w:marRight w:val="0"/>
          <w:marTop w:val="0"/>
          <w:marBottom w:val="0"/>
          <w:divBdr>
            <w:top w:val="none" w:sz="0" w:space="0" w:color="auto"/>
            <w:left w:val="none" w:sz="0" w:space="0" w:color="auto"/>
            <w:bottom w:val="none" w:sz="0" w:space="0" w:color="auto"/>
            <w:right w:val="none" w:sz="0" w:space="0" w:color="auto"/>
          </w:divBdr>
        </w:div>
        <w:div w:id="1596137325">
          <w:marLeft w:val="0"/>
          <w:marRight w:val="0"/>
          <w:marTop w:val="0"/>
          <w:marBottom w:val="0"/>
          <w:divBdr>
            <w:top w:val="none" w:sz="0" w:space="0" w:color="auto"/>
            <w:left w:val="none" w:sz="0" w:space="0" w:color="auto"/>
            <w:bottom w:val="none" w:sz="0" w:space="0" w:color="auto"/>
            <w:right w:val="none" w:sz="0" w:space="0" w:color="auto"/>
          </w:divBdr>
        </w:div>
      </w:divsChild>
    </w:div>
    <w:div w:id="1125734072">
      <w:bodyDiv w:val="1"/>
      <w:marLeft w:val="0"/>
      <w:marRight w:val="0"/>
      <w:marTop w:val="0"/>
      <w:marBottom w:val="0"/>
      <w:divBdr>
        <w:top w:val="none" w:sz="0" w:space="0" w:color="auto"/>
        <w:left w:val="none" w:sz="0" w:space="0" w:color="auto"/>
        <w:bottom w:val="none" w:sz="0" w:space="0" w:color="auto"/>
        <w:right w:val="none" w:sz="0" w:space="0" w:color="auto"/>
      </w:divBdr>
      <w:divsChild>
        <w:div w:id="107624218">
          <w:marLeft w:val="0"/>
          <w:marRight w:val="0"/>
          <w:marTop w:val="0"/>
          <w:marBottom w:val="0"/>
          <w:divBdr>
            <w:top w:val="none" w:sz="0" w:space="0" w:color="auto"/>
            <w:left w:val="none" w:sz="0" w:space="0" w:color="auto"/>
            <w:bottom w:val="none" w:sz="0" w:space="0" w:color="auto"/>
            <w:right w:val="none" w:sz="0" w:space="0" w:color="auto"/>
          </w:divBdr>
        </w:div>
        <w:div w:id="167982239">
          <w:marLeft w:val="0"/>
          <w:marRight w:val="0"/>
          <w:marTop w:val="0"/>
          <w:marBottom w:val="0"/>
          <w:divBdr>
            <w:top w:val="none" w:sz="0" w:space="0" w:color="auto"/>
            <w:left w:val="none" w:sz="0" w:space="0" w:color="auto"/>
            <w:bottom w:val="none" w:sz="0" w:space="0" w:color="auto"/>
            <w:right w:val="none" w:sz="0" w:space="0" w:color="auto"/>
          </w:divBdr>
        </w:div>
        <w:div w:id="235357954">
          <w:marLeft w:val="0"/>
          <w:marRight w:val="0"/>
          <w:marTop w:val="0"/>
          <w:marBottom w:val="0"/>
          <w:divBdr>
            <w:top w:val="none" w:sz="0" w:space="0" w:color="auto"/>
            <w:left w:val="none" w:sz="0" w:space="0" w:color="auto"/>
            <w:bottom w:val="none" w:sz="0" w:space="0" w:color="auto"/>
            <w:right w:val="none" w:sz="0" w:space="0" w:color="auto"/>
          </w:divBdr>
        </w:div>
        <w:div w:id="394158577">
          <w:marLeft w:val="0"/>
          <w:marRight w:val="0"/>
          <w:marTop w:val="0"/>
          <w:marBottom w:val="0"/>
          <w:divBdr>
            <w:top w:val="none" w:sz="0" w:space="0" w:color="auto"/>
            <w:left w:val="none" w:sz="0" w:space="0" w:color="auto"/>
            <w:bottom w:val="none" w:sz="0" w:space="0" w:color="auto"/>
            <w:right w:val="none" w:sz="0" w:space="0" w:color="auto"/>
          </w:divBdr>
        </w:div>
        <w:div w:id="669256513">
          <w:marLeft w:val="0"/>
          <w:marRight w:val="0"/>
          <w:marTop w:val="0"/>
          <w:marBottom w:val="0"/>
          <w:divBdr>
            <w:top w:val="none" w:sz="0" w:space="0" w:color="auto"/>
            <w:left w:val="none" w:sz="0" w:space="0" w:color="auto"/>
            <w:bottom w:val="none" w:sz="0" w:space="0" w:color="auto"/>
            <w:right w:val="none" w:sz="0" w:space="0" w:color="auto"/>
          </w:divBdr>
        </w:div>
        <w:div w:id="773093176">
          <w:marLeft w:val="0"/>
          <w:marRight w:val="0"/>
          <w:marTop w:val="0"/>
          <w:marBottom w:val="0"/>
          <w:divBdr>
            <w:top w:val="none" w:sz="0" w:space="0" w:color="auto"/>
            <w:left w:val="none" w:sz="0" w:space="0" w:color="auto"/>
            <w:bottom w:val="none" w:sz="0" w:space="0" w:color="auto"/>
            <w:right w:val="none" w:sz="0" w:space="0" w:color="auto"/>
          </w:divBdr>
        </w:div>
        <w:div w:id="1042292628">
          <w:marLeft w:val="0"/>
          <w:marRight w:val="0"/>
          <w:marTop w:val="0"/>
          <w:marBottom w:val="0"/>
          <w:divBdr>
            <w:top w:val="none" w:sz="0" w:space="0" w:color="auto"/>
            <w:left w:val="none" w:sz="0" w:space="0" w:color="auto"/>
            <w:bottom w:val="none" w:sz="0" w:space="0" w:color="auto"/>
            <w:right w:val="none" w:sz="0" w:space="0" w:color="auto"/>
          </w:divBdr>
        </w:div>
        <w:div w:id="1154031005">
          <w:marLeft w:val="0"/>
          <w:marRight w:val="0"/>
          <w:marTop w:val="0"/>
          <w:marBottom w:val="0"/>
          <w:divBdr>
            <w:top w:val="none" w:sz="0" w:space="0" w:color="auto"/>
            <w:left w:val="none" w:sz="0" w:space="0" w:color="auto"/>
            <w:bottom w:val="none" w:sz="0" w:space="0" w:color="auto"/>
            <w:right w:val="none" w:sz="0" w:space="0" w:color="auto"/>
          </w:divBdr>
        </w:div>
        <w:div w:id="1301571014">
          <w:marLeft w:val="0"/>
          <w:marRight w:val="0"/>
          <w:marTop w:val="0"/>
          <w:marBottom w:val="0"/>
          <w:divBdr>
            <w:top w:val="none" w:sz="0" w:space="0" w:color="auto"/>
            <w:left w:val="none" w:sz="0" w:space="0" w:color="auto"/>
            <w:bottom w:val="none" w:sz="0" w:space="0" w:color="auto"/>
            <w:right w:val="none" w:sz="0" w:space="0" w:color="auto"/>
          </w:divBdr>
        </w:div>
        <w:div w:id="1529680551">
          <w:marLeft w:val="0"/>
          <w:marRight w:val="0"/>
          <w:marTop w:val="0"/>
          <w:marBottom w:val="0"/>
          <w:divBdr>
            <w:top w:val="none" w:sz="0" w:space="0" w:color="auto"/>
            <w:left w:val="none" w:sz="0" w:space="0" w:color="auto"/>
            <w:bottom w:val="none" w:sz="0" w:space="0" w:color="auto"/>
            <w:right w:val="none" w:sz="0" w:space="0" w:color="auto"/>
          </w:divBdr>
        </w:div>
        <w:div w:id="1556575611">
          <w:marLeft w:val="0"/>
          <w:marRight w:val="0"/>
          <w:marTop w:val="0"/>
          <w:marBottom w:val="0"/>
          <w:divBdr>
            <w:top w:val="none" w:sz="0" w:space="0" w:color="auto"/>
            <w:left w:val="none" w:sz="0" w:space="0" w:color="auto"/>
            <w:bottom w:val="none" w:sz="0" w:space="0" w:color="auto"/>
            <w:right w:val="none" w:sz="0" w:space="0" w:color="auto"/>
          </w:divBdr>
        </w:div>
        <w:div w:id="1891842870">
          <w:marLeft w:val="0"/>
          <w:marRight w:val="0"/>
          <w:marTop w:val="0"/>
          <w:marBottom w:val="0"/>
          <w:divBdr>
            <w:top w:val="none" w:sz="0" w:space="0" w:color="auto"/>
            <w:left w:val="none" w:sz="0" w:space="0" w:color="auto"/>
            <w:bottom w:val="none" w:sz="0" w:space="0" w:color="auto"/>
            <w:right w:val="none" w:sz="0" w:space="0" w:color="auto"/>
          </w:divBdr>
        </w:div>
        <w:div w:id="1907377436">
          <w:marLeft w:val="0"/>
          <w:marRight w:val="0"/>
          <w:marTop w:val="0"/>
          <w:marBottom w:val="0"/>
          <w:divBdr>
            <w:top w:val="none" w:sz="0" w:space="0" w:color="auto"/>
            <w:left w:val="none" w:sz="0" w:space="0" w:color="auto"/>
            <w:bottom w:val="none" w:sz="0" w:space="0" w:color="auto"/>
            <w:right w:val="none" w:sz="0" w:space="0" w:color="auto"/>
          </w:divBdr>
        </w:div>
        <w:div w:id="2054304281">
          <w:marLeft w:val="0"/>
          <w:marRight w:val="0"/>
          <w:marTop w:val="0"/>
          <w:marBottom w:val="0"/>
          <w:divBdr>
            <w:top w:val="none" w:sz="0" w:space="0" w:color="auto"/>
            <w:left w:val="none" w:sz="0" w:space="0" w:color="auto"/>
            <w:bottom w:val="none" w:sz="0" w:space="0" w:color="auto"/>
            <w:right w:val="none" w:sz="0" w:space="0" w:color="auto"/>
          </w:divBdr>
        </w:div>
      </w:divsChild>
    </w:div>
    <w:div w:id="1132601788">
      <w:bodyDiv w:val="1"/>
      <w:marLeft w:val="0"/>
      <w:marRight w:val="0"/>
      <w:marTop w:val="0"/>
      <w:marBottom w:val="0"/>
      <w:divBdr>
        <w:top w:val="none" w:sz="0" w:space="0" w:color="auto"/>
        <w:left w:val="none" w:sz="0" w:space="0" w:color="auto"/>
        <w:bottom w:val="none" w:sz="0" w:space="0" w:color="auto"/>
        <w:right w:val="none" w:sz="0" w:space="0" w:color="auto"/>
      </w:divBdr>
      <w:divsChild>
        <w:div w:id="263736140">
          <w:marLeft w:val="0"/>
          <w:marRight w:val="0"/>
          <w:marTop w:val="0"/>
          <w:marBottom w:val="0"/>
          <w:divBdr>
            <w:top w:val="none" w:sz="0" w:space="0" w:color="auto"/>
            <w:left w:val="none" w:sz="0" w:space="0" w:color="auto"/>
            <w:bottom w:val="none" w:sz="0" w:space="0" w:color="auto"/>
            <w:right w:val="none" w:sz="0" w:space="0" w:color="auto"/>
          </w:divBdr>
        </w:div>
        <w:div w:id="449714348">
          <w:marLeft w:val="0"/>
          <w:marRight w:val="0"/>
          <w:marTop w:val="0"/>
          <w:marBottom w:val="0"/>
          <w:divBdr>
            <w:top w:val="none" w:sz="0" w:space="0" w:color="auto"/>
            <w:left w:val="none" w:sz="0" w:space="0" w:color="auto"/>
            <w:bottom w:val="none" w:sz="0" w:space="0" w:color="auto"/>
            <w:right w:val="none" w:sz="0" w:space="0" w:color="auto"/>
          </w:divBdr>
        </w:div>
        <w:div w:id="473912055">
          <w:marLeft w:val="0"/>
          <w:marRight w:val="0"/>
          <w:marTop w:val="0"/>
          <w:marBottom w:val="0"/>
          <w:divBdr>
            <w:top w:val="none" w:sz="0" w:space="0" w:color="auto"/>
            <w:left w:val="none" w:sz="0" w:space="0" w:color="auto"/>
            <w:bottom w:val="none" w:sz="0" w:space="0" w:color="auto"/>
            <w:right w:val="none" w:sz="0" w:space="0" w:color="auto"/>
          </w:divBdr>
        </w:div>
        <w:div w:id="611979527">
          <w:marLeft w:val="0"/>
          <w:marRight w:val="0"/>
          <w:marTop w:val="0"/>
          <w:marBottom w:val="0"/>
          <w:divBdr>
            <w:top w:val="none" w:sz="0" w:space="0" w:color="auto"/>
            <w:left w:val="none" w:sz="0" w:space="0" w:color="auto"/>
            <w:bottom w:val="none" w:sz="0" w:space="0" w:color="auto"/>
            <w:right w:val="none" w:sz="0" w:space="0" w:color="auto"/>
          </w:divBdr>
        </w:div>
        <w:div w:id="1063799951">
          <w:marLeft w:val="0"/>
          <w:marRight w:val="0"/>
          <w:marTop w:val="0"/>
          <w:marBottom w:val="0"/>
          <w:divBdr>
            <w:top w:val="none" w:sz="0" w:space="0" w:color="auto"/>
            <w:left w:val="none" w:sz="0" w:space="0" w:color="auto"/>
            <w:bottom w:val="none" w:sz="0" w:space="0" w:color="auto"/>
            <w:right w:val="none" w:sz="0" w:space="0" w:color="auto"/>
          </w:divBdr>
        </w:div>
        <w:div w:id="1087188772">
          <w:marLeft w:val="0"/>
          <w:marRight w:val="0"/>
          <w:marTop w:val="0"/>
          <w:marBottom w:val="0"/>
          <w:divBdr>
            <w:top w:val="none" w:sz="0" w:space="0" w:color="auto"/>
            <w:left w:val="none" w:sz="0" w:space="0" w:color="auto"/>
            <w:bottom w:val="none" w:sz="0" w:space="0" w:color="auto"/>
            <w:right w:val="none" w:sz="0" w:space="0" w:color="auto"/>
          </w:divBdr>
        </w:div>
        <w:div w:id="1135952272">
          <w:marLeft w:val="0"/>
          <w:marRight w:val="0"/>
          <w:marTop w:val="0"/>
          <w:marBottom w:val="0"/>
          <w:divBdr>
            <w:top w:val="none" w:sz="0" w:space="0" w:color="auto"/>
            <w:left w:val="none" w:sz="0" w:space="0" w:color="auto"/>
            <w:bottom w:val="none" w:sz="0" w:space="0" w:color="auto"/>
            <w:right w:val="none" w:sz="0" w:space="0" w:color="auto"/>
          </w:divBdr>
        </w:div>
        <w:div w:id="1713574098">
          <w:marLeft w:val="0"/>
          <w:marRight w:val="0"/>
          <w:marTop w:val="0"/>
          <w:marBottom w:val="0"/>
          <w:divBdr>
            <w:top w:val="none" w:sz="0" w:space="0" w:color="auto"/>
            <w:left w:val="none" w:sz="0" w:space="0" w:color="auto"/>
            <w:bottom w:val="none" w:sz="0" w:space="0" w:color="auto"/>
            <w:right w:val="none" w:sz="0" w:space="0" w:color="auto"/>
          </w:divBdr>
        </w:div>
      </w:divsChild>
    </w:div>
    <w:div w:id="1141189534">
      <w:bodyDiv w:val="1"/>
      <w:marLeft w:val="0"/>
      <w:marRight w:val="0"/>
      <w:marTop w:val="0"/>
      <w:marBottom w:val="0"/>
      <w:divBdr>
        <w:top w:val="none" w:sz="0" w:space="0" w:color="auto"/>
        <w:left w:val="none" w:sz="0" w:space="0" w:color="auto"/>
        <w:bottom w:val="none" w:sz="0" w:space="0" w:color="auto"/>
        <w:right w:val="none" w:sz="0" w:space="0" w:color="auto"/>
      </w:divBdr>
    </w:div>
    <w:div w:id="1145778107">
      <w:bodyDiv w:val="1"/>
      <w:marLeft w:val="0"/>
      <w:marRight w:val="0"/>
      <w:marTop w:val="0"/>
      <w:marBottom w:val="0"/>
      <w:divBdr>
        <w:top w:val="none" w:sz="0" w:space="0" w:color="auto"/>
        <w:left w:val="none" w:sz="0" w:space="0" w:color="auto"/>
        <w:bottom w:val="none" w:sz="0" w:space="0" w:color="auto"/>
        <w:right w:val="none" w:sz="0" w:space="0" w:color="auto"/>
      </w:divBdr>
    </w:div>
    <w:div w:id="1149322271">
      <w:bodyDiv w:val="1"/>
      <w:marLeft w:val="0"/>
      <w:marRight w:val="0"/>
      <w:marTop w:val="0"/>
      <w:marBottom w:val="0"/>
      <w:divBdr>
        <w:top w:val="none" w:sz="0" w:space="0" w:color="auto"/>
        <w:left w:val="none" w:sz="0" w:space="0" w:color="auto"/>
        <w:bottom w:val="none" w:sz="0" w:space="0" w:color="auto"/>
        <w:right w:val="none" w:sz="0" w:space="0" w:color="auto"/>
      </w:divBdr>
    </w:div>
    <w:div w:id="1150629828">
      <w:bodyDiv w:val="1"/>
      <w:marLeft w:val="0"/>
      <w:marRight w:val="0"/>
      <w:marTop w:val="0"/>
      <w:marBottom w:val="0"/>
      <w:divBdr>
        <w:top w:val="none" w:sz="0" w:space="0" w:color="auto"/>
        <w:left w:val="none" w:sz="0" w:space="0" w:color="auto"/>
        <w:bottom w:val="none" w:sz="0" w:space="0" w:color="auto"/>
        <w:right w:val="none" w:sz="0" w:space="0" w:color="auto"/>
      </w:divBdr>
      <w:divsChild>
        <w:div w:id="310864468">
          <w:marLeft w:val="0"/>
          <w:marRight w:val="0"/>
          <w:marTop w:val="0"/>
          <w:marBottom w:val="0"/>
          <w:divBdr>
            <w:top w:val="none" w:sz="0" w:space="0" w:color="auto"/>
            <w:left w:val="none" w:sz="0" w:space="0" w:color="auto"/>
            <w:bottom w:val="none" w:sz="0" w:space="0" w:color="auto"/>
            <w:right w:val="none" w:sz="0" w:space="0" w:color="auto"/>
          </w:divBdr>
        </w:div>
        <w:div w:id="329799305">
          <w:marLeft w:val="0"/>
          <w:marRight w:val="0"/>
          <w:marTop w:val="0"/>
          <w:marBottom w:val="0"/>
          <w:divBdr>
            <w:top w:val="none" w:sz="0" w:space="0" w:color="auto"/>
            <w:left w:val="none" w:sz="0" w:space="0" w:color="auto"/>
            <w:bottom w:val="none" w:sz="0" w:space="0" w:color="auto"/>
            <w:right w:val="none" w:sz="0" w:space="0" w:color="auto"/>
          </w:divBdr>
        </w:div>
        <w:div w:id="470830737">
          <w:marLeft w:val="0"/>
          <w:marRight w:val="0"/>
          <w:marTop w:val="0"/>
          <w:marBottom w:val="0"/>
          <w:divBdr>
            <w:top w:val="none" w:sz="0" w:space="0" w:color="auto"/>
            <w:left w:val="none" w:sz="0" w:space="0" w:color="auto"/>
            <w:bottom w:val="none" w:sz="0" w:space="0" w:color="auto"/>
            <w:right w:val="none" w:sz="0" w:space="0" w:color="auto"/>
          </w:divBdr>
        </w:div>
        <w:div w:id="590089052">
          <w:marLeft w:val="0"/>
          <w:marRight w:val="0"/>
          <w:marTop w:val="0"/>
          <w:marBottom w:val="0"/>
          <w:divBdr>
            <w:top w:val="none" w:sz="0" w:space="0" w:color="auto"/>
            <w:left w:val="none" w:sz="0" w:space="0" w:color="auto"/>
            <w:bottom w:val="none" w:sz="0" w:space="0" w:color="auto"/>
            <w:right w:val="none" w:sz="0" w:space="0" w:color="auto"/>
          </w:divBdr>
        </w:div>
        <w:div w:id="959066985">
          <w:marLeft w:val="0"/>
          <w:marRight w:val="0"/>
          <w:marTop w:val="0"/>
          <w:marBottom w:val="0"/>
          <w:divBdr>
            <w:top w:val="none" w:sz="0" w:space="0" w:color="auto"/>
            <w:left w:val="none" w:sz="0" w:space="0" w:color="auto"/>
            <w:bottom w:val="none" w:sz="0" w:space="0" w:color="auto"/>
            <w:right w:val="none" w:sz="0" w:space="0" w:color="auto"/>
          </w:divBdr>
        </w:div>
        <w:div w:id="1347170121">
          <w:marLeft w:val="0"/>
          <w:marRight w:val="0"/>
          <w:marTop w:val="0"/>
          <w:marBottom w:val="0"/>
          <w:divBdr>
            <w:top w:val="none" w:sz="0" w:space="0" w:color="auto"/>
            <w:left w:val="none" w:sz="0" w:space="0" w:color="auto"/>
            <w:bottom w:val="none" w:sz="0" w:space="0" w:color="auto"/>
            <w:right w:val="none" w:sz="0" w:space="0" w:color="auto"/>
          </w:divBdr>
        </w:div>
        <w:div w:id="1943567620">
          <w:marLeft w:val="0"/>
          <w:marRight w:val="0"/>
          <w:marTop w:val="0"/>
          <w:marBottom w:val="0"/>
          <w:divBdr>
            <w:top w:val="none" w:sz="0" w:space="0" w:color="auto"/>
            <w:left w:val="none" w:sz="0" w:space="0" w:color="auto"/>
            <w:bottom w:val="none" w:sz="0" w:space="0" w:color="auto"/>
            <w:right w:val="none" w:sz="0" w:space="0" w:color="auto"/>
          </w:divBdr>
        </w:div>
      </w:divsChild>
    </w:div>
    <w:div w:id="1154299792">
      <w:bodyDiv w:val="1"/>
      <w:marLeft w:val="0"/>
      <w:marRight w:val="0"/>
      <w:marTop w:val="0"/>
      <w:marBottom w:val="0"/>
      <w:divBdr>
        <w:top w:val="none" w:sz="0" w:space="0" w:color="auto"/>
        <w:left w:val="none" w:sz="0" w:space="0" w:color="auto"/>
        <w:bottom w:val="none" w:sz="0" w:space="0" w:color="auto"/>
        <w:right w:val="none" w:sz="0" w:space="0" w:color="auto"/>
      </w:divBdr>
      <w:divsChild>
        <w:div w:id="134614293">
          <w:marLeft w:val="0"/>
          <w:marRight w:val="0"/>
          <w:marTop w:val="0"/>
          <w:marBottom w:val="0"/>
          <w:divBdr>
            <w:top w:val="none" w:sz="0" w:space="0" w:color="auto"/>
            <w:left w:val="none" w:sz="0" w:space="0" w:color="auto"/>
            <w:bottom w:val="none" w:sz="0" w:space="0" w:color="auto"/>
            <w:right w:val="none" w:sz="0" w:space="0" w:color="auto"/>
          </w:divBdr>
        </w:div>
        <w:div w:id="598753736">
          <w:marLeft w:val="0"/>
          <w:marRight w:val="0"/>
          <w:marTop w:val="0"/>
          <w:marBottom w:val="0"/>
          <w:divBdr>
            <w:top w:val="none" w:sz="0" w:space="0" w:color="auto"/>
            <w:left w:val="none" w:sz="0" w:space="0" w:color="auto"/>
            <w:bottom w:val="none" w:sz="0" w:space="0" w:color="auto"/>
            <w:right w:val="none" w:sz="0" w:space="0" w:color="auto"/>
          </w:divBdr>
        </w:div>
        <w:div w:id="856773120">
          <w:marLeft w:val="0"/>
          <w:marRight w:val="0"/>
          <w:marTop w:val="0"/>
          <w:marBottom w:val="0"/>
          <w:divBdr>
            <w:top w:val="none" w:sz="0" w:space="0" w:color="auto"/>
            <w:left w:val="none" w:sz="0" w:space="0" w:color="auto"/>
            <w:bottom w:val="none" w:sz="0" w:space="0" w:color="auto"/>
            <w:right w:val="none" w:sz="0" w:space="0" w:color="auto"/>
          </w:divBdr>
        </w:div>
        <w:div w:id="1032725126">
          <w:marLeft w:val="0"/>
          <w:marRight w:val="0"/>
          <w:marTop w:val="0"/>
          <w:marBottom w:val="0"/>
          <w:divBdr>
            <w:top w:val="none" w:sz="0" w:space="0" w:color="auto"/>
            <w:left w:val="none" w:sz="0" w:space="0" w:color="auto"/>
            <w:bottom w:val="none" w:sz="0" w:space="0" w:color="auto"/>
            <w:right w:val="none" w:sz="0" w:space="0" w:color="auto"/>
          </w:divBdr>
        </w:div>
        <w:div w:id="1050155505">
          <w:marLeft w:val="0"/>
          <w:marRight w:val="0"/>
          <w:marTop w:val="0"/>
          <w:marBottom w:val="0"/>
          <w:divBdr>
            <w:top w:val="none" w:sz="0" w:space="0" w:color="auto"/>
            <w:left w:val="none" w:sz="0" w:space="0" w:color="auto"/>
            <w:bottom w:val="none" w:sz="0" w:space="0" w:color="auto"/>
            <w:right w:val="none" w:sz="0" w:space="0" w:color="auto"/>
          </w:divBdr>
        </w:div>
        <w:div w:id="1199584945">
          <w:marLeft w:val="0"/>
          <w:marRight w:val="0"/>
          <w:marTop w:val="0"/>
          <w:marBottom w:val="0"/>
          <w:divBdr>
            <w:top w:val="none" w:sz="0" w:space="0" w:color="auto"/>
            <w:left w:val="none" w:sz="0" w:space="0" w:color="auto"/>
            <w:bottom w:val="none" w:sz="0" w:space="0" w:color="auto"/>
            <w:right w:val="none" w:sz="0" w:space="0" w:color="auto"/>
          </w:divBdr>
        </w:div>
        <w:div w:id="1824469081">
          <w:marLeft w:val="0"/>
          <w:marRight w:val="0"/>
          <w:marTop w:val="0"/>
          <w:marBottom w:val="0"/>
          <w:divBdr>
            <w:top w:val="none" w:sz="0" w:space="0" w:color="auto"/>
            <w:left w:val="none" w:sz="0" w:space="0" w:color="auto"/>
            <w:bottom w:val="none" w:sz="0" w:space="0" w:color="auto"/>
            <w:right w:val="none" w:sz="0" w:space="0" w:color="auto"/>
          </w:divBdr>
        </w:div>
        <w:div w:id="1857645646">
          <w:marLeft w:val="0"/>
          <w:marRight w:val="0"/>
          <w:marTop w:val="0"/>
          <w:marBottom w:val="0"/>
          <w:divBdr>
            <w:top w:val="none" w:sz="0" w:space="0" w:color="auto"/>
            <w:left w:val="none" w:sz="0" w:space="0" w:color="auto"/>
            <w:bottom w:val="none" w:sz="0" w:space="0" w:color="auto"/>
            <w:right w:val="none" w:sz="0" w:space="0" w:color="auto"/>
          </w:divBdr>
        </w:div>
      </w:divsChild>
    </w:div>
    <w:div w:id="1158571611">
      <w:bodyDiv w:val="1"/>
      <w:marLeft w:val="0"/>
      <w:marRight w:val="0"/>
      <w:marTop w:val="0"/>
      <w:marBottom w:val="0"/>
      <w:divBdr>
        <w:top w:val="none" w:sz="0" w:space="0" w:color="auto"/>
        <w:left w:val="none" w:sz="0" w:space="0" w:color="auto"/>
        <w:bottom w:val="none" w:sz="0" w:space="0" w:color="auto"/>
        <w:right w:val="none" w:sz="0" w:space="0" w:color="auto"/>
      </w:divBdr>
    </w:div>
    <w:div w:id="1166239764">
      <w:bodyDiv w:val="1"/>
      <w:marLeft w:val="0"/>
      <w:marRight w:val="0"/>
      <w:marTop w:val="0"/>
      <w:marBottom w:val="0"/>
      <w:divBdr>
        <w:top w:val="none" w:sz="0" w:space="0" w:color="auto"/>
        <w:left w:val="none" w:sz="0" w:space="0" w:color="auto"/>
        <w:bottom w:val="none" w:sz="0" w:space="0" w:color="auto"/>
        <w:right w:val="none" w:sz="0" w:space="0" w:color="auto"/>
      </w:divBdr>
    </w:div>
    <w:div w:id="1168444748">
      <w:bodyDiv w:val="1"/>
      <w:marLeft w:val="0"/>
      <w:marRight w:val="0"/>
      <w:marTop w:val="0"/>
      <w:marBottom w:val="0"/>
      <w:divBdr>
        <w:top w:val="none" w:sz="0" w:space="0" w:color="auto"/>
        <w:left w:val="none" w:sz="0" w:space="0" w:color="auto"/>
        <w:bottom w:val="none" w:sz="0" w:space="0" w:color="auto"/>
        <w:right w:val="none" w:sz="0" w:space="0" w:color="auto"/>
      </w:divBdr>
    </w:div>
    <w:div w:id="1170751705">
      <w:bodyDiv w:val="1"/>
      <w:marLeft w:val="0"/>
      <w:marRight w:val="0"/>
      <w:marTop w:val="0"/>
      <w:marBottom w:val="0"/>
      <w:divBdr>
        <w:top w:val="none" w:sz="0" w:space="0" w:color="auto"/>
        <w:left w:val="none" w:sz="0" w:space="0" w:color="auto"/>
        <w:bottom w:val="none" w:sz="0" w:space="0" w:color="auto"/>
        <w:right w:val="none" w:sz="0" w:space="0" w:color="auto"/>
      </w:divBdr>
    </w:div>
    <w:div w:id="1194461837">
      <w:bodyDiv w:val="1"/>
      <w:marLeft w:val="0"/>
      <w:marRight w:val="0"/>
      <w:marTop w:val="0"/>
      <w:marBottom w:val="0"/>
      <w:divBdr>
        <w:top w:val="none" w:sz="0" w:space="0" w:color="auto"/>
        <w:left w:val="none" w:sz="0" w:space="0" w:color="auto"/>
        <w:bottom w:val="none" w:sz="0" w:space="0" w:color="auto"/>
        <w:right w:val="none" w:sz="0" w:space="0" w:color="auto"/>
      </w:divBdr>
    </w:div>
    <w:div w:id="1201435961">
      <w:bodyDiv w:val="1"/>
      <w:marLeft w:val="0"/>
      <w:marRight w:val="0"/>
      <w:marTop w:val="0"/>
      <w:marBottom w:val="0"/>
      <w:divBdr>
        <w:top w:val="none" w:sz="0" w:space="0" w:color="auto"/>
        <w:left w:val="none" w:sz="0" w:space="0" w:color="auto"/>
        <w:bottom w:val="none" w:sz="0" w:space="0" w:color="auto"/>
        <w:right w:val="none" w:sz="0" w:space="0" w:color="auto"/>
      </w:divBdr>
    </w:div>
    <w:div w:id="1210845925">
      <w:bodyDiv w:val="1"/>
      <w:marLeft w:val="0"/>
      <w:marRight w:val="0"/>
      <w:marTop w:val="0"/>
      <w:marBottom w:val="0"/>
      <w:divBdr>
        <w:top w:val="none" w:sz="0" w:space="0" w:color="auto"/>
        <w:left w:val="none" w:sz="0" w:space="0" w:color="auto"/>
        <w:bottom w:val="none" w:sz="0" w:space="0" w:color="auto"/>
        <w:right w:val="none" w:sz="0" w:space="0" w:color="auto"/>
      </w:divBdr>
    </w:div>
    <w:div w:id="1213617570">
      <w:bodyDiv w:val="1"/>
      <w:marLeft w:val="0"/>
      <w:marRight w:val="0"/>
      <w:marTop w:val="0"/>
      <w:marBottom w:val="0"/>
      <w:divBdr>
        <w:top w:val="none" w:sz="0" w:space="0" w:color="auto"/>
        <w:left w:val="none" w:sz="0" w:space="0" w:color="auto"/>
        <w:bottom w:val="none" w:sz="0" w:space="0" w:color="auto"/>
        <w:right w:val="none" w:sz="0" w:space="0" w:color="auto"/>
      </w:divBdr>
    </w:div>
    <w:div w:id="1228034020">
      <w:bodyDiv w:val="1"/>
      <w:marLeft w:val="0"/>
      <w:marRight w:val="0"/>
      <w:marTop w:val="0"/>
      <w:marBottom w:val="0"/>
      <w:divBdr>
        <w:top w:val="none" w:sz="0" w:space="0" w:color="auto"/>
        <w:left w:val="none" w:sz="0" w:space="0" w:color="auto"/>
        <w:bottom w:val="none" w:sz="0" w:space="0" w:color="auto"/>
        <w:right w:val="none" w:sz="0" w:space="0" w:color="auto"/>
      </w:divBdr>
    </w:div>
    <w:div w:id="1231695527">
      <w:bodyDiv w:val="1"/>
      <w:marLeft w:val="0"/>
      <w:marRight w:val="0"/>
      <w:marTop w:val="0"/>
      <w:marBottom w:val="0"/>
      <w:divBdr>
        <w:top w:val="none" w:sz="0" w:space="0" w:color="auto"/>
        <w:left w:val="none" w:sz="0" w:space="0" w:color="auto"/>
        <w:bottom w:val="none" w:sz="0" w:space="0" w:color="auto"/>
        <w:right w:val="none" w:sz="0" w:space="0" w:color="auto"/>
      </w:divBdr>
    </w:div>
    <w:div w:id="1244804671">
      <w:bodyDiv w:val="1"/>
      <w:marLeft w:val="0"/>
      <w:marRight w:val="0"/>
      <w:marTop w:val="0"/>
      <w:marBottom w:val="0"/>
      <w:divBdr>
        <w:top w:val="none" w:sz="0" w:space="0" w:color="auto"/>
        <w:left w:val="none" w:sz="0" w:space="0" w:color="auto"/>
        <w:bottom w:val="none" w:sz="0" w:space="0" w:color="auto"/>
        <w:right w:val="none" w:sz="0" w:space="0" w:color="auto"/>
      </w:divBdr>
    </w:div>
    <w:div w:id="1248266703">
      <w:bodyDiv w:val="1"/>
      <w:marLeft w:val="0"/>
      <w:marRight w:val="0"/>
      <w:marTop w:val="0"/>
      <w:marBottom w:val="0"/>
      <w:divBdr>
        <w:top w:val="none" w:sz="0" w:space="0" w:color="auto"/>
        <w:left w:val="none" w:sz="0" w:space="0" w:color="auto"/>
        <w:bottom w:val="none" w:sz="0" w:space="0" w:color="auto"/>
        <w:right w:val="none" w:sz="0" w:space="0" w:color="auto"/>
      </w:divBdr>
      <w:divsChild>
        <w:div w:id="176121919">
          <w:marLeft w:val="0"/>
          <w:marRight w:val="0"/>
          <w:marTop w:val="0"/>
          <w:marBottom w:val="0"/>
          <w:divBdr>
            <w:top w:val="none" w:sz="0" w:space="0" w:color="auto"/>
            <w:left w:val="none" w:sz="0" w:space="0" w:color="auto"/>
            <w:bottom w:val="none" w:sz="0" w:space="0" w:color="auto"/>
            <w:right w:val="none" w:sz="0" w:space="0" w:color="auto"/>
          </w:divBdr>
        </w:div>
        <w:div w:id="1405100597">
          <w:marLeft w:val="0"/>
          <w:marRight w:val="0"/>
          <w:marTop w:val="0"/>
          <w:marBottom w:val="0"/>
          <w:divBdr>
            <w:top w:val="none" w:sz="0" w:space="0" w:color="auto"/>
            <w:left w:val="none" w:sz="0" w:space="0" w:color="auto"/>
            <w:bottom w:val="none" w:sz="0" w:space="0" w:color="auto"/>
            <w:right w:val="none" w:sz="0" w:space="0" w:color="auto"/>
          </w:divBdr>
        </w:div>
      </w:divsChild>
    </w:div>
    <w:div w:id="1268582629">
      <w:bodyDiv w:val="1"/>
      <w:marLeft w:val="0"/>
      <w:marRight w:val="0"/>
      <w:marTop w:val="0"/>
      <w:marBottom w:val="0"/>
      <w:divBdr>
        <w:top w:val="none" w:sz="0" w:space="0" w:color="auto"/>
        <w:left w:val="none" w:sz="0" w:space="0" w:color="auto"/>
        <w:bottom w:val="none" w:sz="0" w:space="0" w:color="auto"/>
        <w:right w:val="none" w:sz="0" w:space="0" w:color="auto"/>
      </w:divBdr>
    </w:div>
    <w:div w:id="1304388792">
      <w:bodyDiv w:val="1"/>
      <w:marLeft w:val="0"/>
      <w:marRight w:val="0"/>
      <w:marTop w:val="0"/>
      <w:marBottom w:val="0"/>
      <w:divBdr>
        <w:top w:val="none" w:sz="0" w:space="0" w:color="auto"/>
        <w:left w:val="none" w:sz="0" w:space="0" w:color="auto"/>
        <w:bottom w:val="none" w:sz="0" w:space="0" w:color="auto"/>
        <w:right w:val="none" w:sz="0" w:space="0" w:color="auto"/>
      </w:divBdr>
    </w:div>
    <w:div w:id="1312178591">
      <w:bodyDiv w:val="1"/>
      <w:marLeft w:val="0"/>
      <w:marRight w:val="0"/>
      <w:marTop w:val="0"/>
      <w:marBottom w:val="0"/>
      <w:divBdr>
        <w:top w:val="none" w:sz="0" w:space="0" w:color="auto"/>
        <w:left w:val="none" w:sz="0" w:space="0" w:color="auto"/>
        <w:bottom w:val="none" w:sz="0" w:space="0" w:color="auto"/>
        <w:right w:val="none" w:sz="0" w:space="0" w:color="auto"/>
      </w:divBdr>
    </w:div>
    <w:div w:id="1316951131">
      <w:bodyDiv w:val="1"/>
      <w:marLeft w:val="0"/>
      <w:marRight w:val="0"/>
      <w:marTop w:val="0"/>
      <w:marBottom w:val="0"/>
      <w:divBdr>
        <w:top w:val="none" w:sz="0" w:space="0" w:color="auto"/>
        <w:left w:val="none" w:sz="0" w:space="0" w:color="auto"/>
        <w:bottom w:val="none" w:sz="0" w:space="0" w:color="auto"/>
        <w:right w:val="none" w:sz="0" w:space="0" w:color="auto"/>
      </w:divBdr>
    </w:div>
    <w:div w:id="1318261504">
      <w:bodyDiv w:val="1"/>
      <w:marLeft w:val="0"/>
      <w:marRight w:val="0"/>
      <w:marTop w:val="0"/>
      <w:marBottom w:val="0"/>
      <w:divBdr>
        <w:top w:val="none" w:sz="0" w:space="0" w:color="auto"/>
        <w:left w:val="none" w:sz="0" w:space="0" w:color="auto"/>
        <w:bottom w:val="none" w:sz="0" w:space="0" w:color="auto"/>
        <w:right w:val="none" w:sz="0" w:space="0" w:color="auto"/>
      </w:divBdr>
    </w:div>
    <w:div w:id="1324117873">
      <w:bodyDiv w:val="1"/>
      <w:marLeft w:val="0"/>
      <w:marRight w:val="0"/>
      <w:marTop w:val="0"/>
      <w:marBottom w:val="0"/>
      <w:divBdr>
        <w:top w:val="none" w:sz="0" w:space="0" w:color="auto"/>
        <w:left w:val="none" w:sz="0" w:space="0" w:color="auto"/>
        <w:bottom w:val="none" w:sz="0" w:space="0" w:color="auto"/>
        <w:right w:val="none" w:sz="0" w:space="0" w:color="auto"/>
      </w:divBdr>
    </w:div>
    <w:div w:id="1340081676">
      <w:bodyDiv w:val="1"/>
      <w:marLeft w:val="0"/>
      <w:marRight w:val="0"/>
      <w:marTop w:val="0"/>
      <w:marBottom w:val="0"/>
      <w:divBdr>
        <w:top w:val="none" w:sz="0" w:space="0" w:color="auto"/>
        <w:left w:val="none" w:sz="0" w:space="0" w:color="auto"/>
        <w:bottom w:val="none" w:sz="0" w:space="0" w:color="auto"/>
        <w:right w:val="none" w:sz="0" w:space="0" w:color="auto"/>
      </w:divBdr>
      <w:divsChild>
        <w:div w:id="863410">
          <w:marLeft w:val="0"/>
          <w:marRight w:val="0"/>
          <w:marTop w:val="0"/>
          <w:marBottom w:val="0"/>
          <w:divBdr>
            <w:top w:val="none" w:sz="0" w:space="0" w:color="auto"/>
            <w:left w:val="none" w:sz="0" w:space="0" w:color="auto"/>
            <w:bottom w:val="none" w:sz="0" w:space="0" w:color="auto"/>
            <w:right w:val="none" w:sz="0" w:space="0" w:color="auto"/>
          </w:divBdr>
        </w:div>
        <w:div w:id="66463079">
          <w:marLeft w:val="0"/>
          <w:marRight w:val="0"/>
          <w:marTop w:val="0"/>
          <w:marBottom w:val="0"/>
          <w:divBdr>
            <w:top w:val="none" w:sz="0" w:space="0" w:color="auto"/>
            <w:left w:val="none" w:sz="0" w:space="0" w:color="auto"/>
            <w:bottom w:val="none" w:sz="0" w:space="0" w:color="auto"/>
            <w:right w:val="none" w:sz="0" w:space="0" w:color="auto"/>
          </w:divBdr>
        </w:div>
        <w:div w:id="540752737">
          <w:marLeft w:val="0"/>
          <w:marRight w:val="0"/>
          <w:marTop w:val="0"/>
          <w:marBottom w:val="0"/>
          <w:divBdr>
            <w:top w:val="none" w:sz="0" w:space="0" w:color="auto"/>
            <w:left w:val="none" w:sz="0" w:space="0" w:color="auto"/>
            <w:bottom w:val="none" w:sz="0" w:space="0" w:color="auto"/>
            <w:right w:val="none" w:sz="0" w:space="0" w:color="auto"/>
          </w:divBdr>
        </w:div>
        <w:div w:id="541745331">
          <w:marLeft w:val="0"/>
          <w:marRight w:val="0"/>
          <w:marTop w:val="0"/>
          <w:marBottom w:val="0"/>
          <w:divBdr>
            <w:top w:val="none" w:sz="0" w:space="0" w:color="auto"/>
            <w:left w:val="none" w:sz="0" w:space="0" w:color="auto"/>
            <w:bottom w:val="none" w:sz="0" w:space="0" w:color="auto"/>
            <w:right w:val="none" w:sz="0" w:space="0" w:color="auto"/>
          </w:divBdr>
        </w:div>
        <w:div w:id="620459416">
          <w:marLeft w:val="0"/>
          <w:marRight w:val="0"/>
          <w:marTop w:val="0"/>
          <w:marBottom w:val="0"/>
          <w:divBdr>
            <w:top w:val="none" w:sz="0" w:space="0" w:color="auto"/>
            <w:left w:val="none" w:sz="0" w:space="0" w:color="auto"/>
            <w:bottom w:val="none" w:sz="0" w:space="0" w:color="auto"/>
            <w:right w:val="none" w:sz="0" w:space="0" w:color="auto"/>
          </w:divBdr>
        </w:div>
        <w:div w:id="686909436">
          <w:marLeft w:val="0"/>
          <w:marRight w:val="0"/>
          <w:marTop w:val="0"/>
          <w:marBottom w:val="0"/>
          <w:divBdr>
            <w:top w:val="none" w:sz="0" w:space="0" w:color="auto"/>
            <w:left w:val="none" w:sz="0" w:space="0" w:color="auto"/>
            <w:bottom w:val="none" w:sz="0" w:space="0" w:color="auto"/>
            <w:right w:val="none" w:sz="0" w:space="0" w:color="auto"/>
          </w:divBdr>
        </w:div>
        <w:div w:id="807671433">
          <w:marLeft w:val="0"/>
          <w:marRight w:val="0"/>
          <w:marTop w:val="0"/>
          <w:marBottom w:val="0"/>
          <w:divBdr>
            <w:top w:val="none" w:sz="0" w:space="0" w:color="auto"/>
            <w:left w:val="none" w:sz="0" w:space="0" w:color="auto"/>
            <w:bottom w:val="none" w:sz="0" w:space="0" w:color="auto"/>
            <w:right w:val="none" w:sz="0" w:space="0" w:color="auto"/>
          </w:divBdr>
        </w:div>
        <w:div w:id="871842689">
          <w:marLeft w:val="0"/>
          <w:marRight w:val="0"/>
          <w:marTop w:val="0"/>
          <w:marBottom w:val="0"/>
          <w:divBdr>
            <w:top w:val="none" w:sz="0" w:space="0" w:color="auto"/>
            <w:left w:val="none" w:sz="0" w:space="0" w:color="auto"/>
            <w:bottom w:val="none" w:sz="0" w:space="0" w:color="auto"/>
            <w:right w:val="none" w:sz="0" w:space="0" w:color="auto"/>
          </w:divBdr>
        </w:div>
        <w:div w:id="957179944">
          <w:marLeft w:val="0"/>
          <w:marRight w:val="0"/>
          <w:marTop w:val="0"/>
          <w:marBottom w:val="0"/>
          <w:divBdr>
            <w:top w:val="none" w:sz="0" w:space="0" w:color="auto"/>
            <w:left w:val="none" w:sz="0" w:space="0" w:color="auto"/>
            <w:bottom w:val="none" w:sz="0" w:space="0" w:color="auto"/>
            <w:right w:val="none" w:sz="0" w:space="0" w:color="auto"/>
          </w:divBdr>
        </w:div>
        <w:div w:id="987248792">
          <w:marLeft w:val="0"/>
          <w:marRight w:val="0"/>
          <w:marTop w:val="0"/>
          <w:marBottom w:val="0"/>
          <w:divBdr>
            <w:top w:val="none" w:sz="0" w:space="0" w:color="auto"/>
            <w:left w:val="none" w:sz="0" w:space="0" w:color="auto"/>
            <w:bottom w:val="none" w:sz="0" w:space="0" w:color="auto"/>
            <w:right w:val="none" w:sz="0" w:space="0" w:color="auto"/>
          </w:divBdr>
        </w:div>
        <w:div w:id="1251738596">
          <w:marLeft w:val="0"/>
          <w:marRight w:val="0"/>
          <w:marTop w:val="0"/>
          <w:marBottom w:val="0"/>
          <w:divBdr>
            <w:top w:val="none" w:sz="0" w:space="0" w:color="auto"/>
            <w:left w:val="none" w:sz="0" w:space="0" w:color="auto"/>
            <w:bottom w:val="none" w:sz="0" w:space="0" w:color="auto"/>
            <w:right w:val="none" w:sz="0" w:space="0" w:color="auto"/>
          </w:divBdr>
        </w:div>
        <w:div w:id="1258518075">
          <w:marLeft w:val="0"/>
          <w:marRight w:val="0"/>
          <w:marTop w:val="0"/>
          <w:marBottom w:val="0"/>
          <w:divBdr>
            <w:top w:val="none" w:sz="0" w:space="0" w:color="auto"/>
            <w:left w:val="none" w:sz="0" w:space="0" w:color="auto"/>
            <w:bottom w:val="none" w:sz="0" w:space="0" w:color="auto"/>
            <w:right w:val="none" w:sz="0" w:space="0" w:color="auto"/>
          </w:divBdr>
        </w:div>
        <w:div w:id="1302730549">
          <w:marLeft w:val="0"/>
          <w:marRight w:val="0"/>
          <w:marTop w:val="0"/>
          <w:marBottom w:val="0"/>
          <w:divBdr>
            <w:top w:val="none" w:sz="0" w:space="0" w:color="auto"/>
            <w:left w:val="none" w:sz="0" w:space="0" w:color="auto"/>
            <w:bottom w:val="none" w:sz="0" w:space="0" w:color="auto"/>
            <w:right w:val="none" w:sz="0" w:space="0" w:color="auto"/>
          </w:divBdr>
        </w:div>
        <w:div w:id="1490825405">
          <w:marLeft w:val="0"/>
          <w:marRight w:val="0"/>
          <w:marTop w:val="0"/>
          <w:marBottom w:val="0"/>
          <w:divBdr>
            <w:top w:val="none" w:sz="0" w:space="0" w:color="auto"/>
            <w:left w:val="none" w:sz="0" w:space="0" w:color="auto"/>
            <w:bottom w:val="none" w:sz="0" w:space="0" w:color="auto"/>
            <w:right w:val="none" w:sz="0" w:space="0" w:color="auto"/>
          </w:divBdr>
        </w:div>
        <w:div w:id="1589728701">
          <w:marLeft w:val="0"/>
          <w:marRight w:val="0"/>
          <w:marTop w:val="0"/>
          <w:marBottom w:val="0"/>
          <w:divBdr>
            <w:top w:val="none" w:sz="0" w:space="0" w:color="auto"/>
            <w:left w:val="none" w:sz="0" w:space="0" w:color="auto"/>
            <w:bottom w:val="none" w:sz="0" w:space="0" w:color="auto"/>
            <w:right w:val="none" w:sz="0" w:space="0" w:color="auto"/>
          </w:divBdr>
        </w:div>
        <w:div w:id="1635603843">
          <w:marLeft w:val="0"/>
          <w:marRight w:val="0"/>
          <w:marTop w:val="0"/>
          <w:marBottom w:val="0"/>
          <w:divBdr>
            <w:top w:val="none" w:sz="0" w:space="0" w:color="auto"/>
            <w:left w:val="none" w:sz="0" w:space="0" w:color="auto"/>
            <w:bottom w:val="none" w:sz="0" w:space="0" w:color="auto"/>
            <w:right w:val="none" w:sz="0" w:space="0" w:color="auto"/>
          </w:divBdr>
        </w:div>
        <w:div w:id="1707678183">
          <w:marLeft w:val="0"/>
          <w:marRight w:val="0"/>
          <w:marTop w:val="0"/>
          <w:marBottom w:val="0"/>
          <w:divBdr>
            <w:top w:val="none" w:sz="0" w:space="0" w:color="auto"/>
            <w:left w:val="none" w:sz="0" w:space="0" w:color="auto"/>
            <w:bottom w:val="none" w:sz="0" w:space="0" w:color="auto"/>
            <w:right w:val="none" w:sz="0" w:space="0" w:color="auto"/>
          </w:divBdr>
        </w:div>
        <w:div w:id="1792044139">
          <w:marLeft w:val="0"/>
          <w:marRight w:val="0"/>
          <w:marTop w:val="0"/>
          <w:marBottom w:val="0"/>
          <w:divBdr>
            <w:top w:val="none" w:sz="0" w:space="0" w:color="auto"/>
            <w:left w:val="none" w:sz="0" w:space="0" w:color="auto"/>
            <w:bottom w:val="none" w:sz="0" w:space="0" w:color="auto"/>
            <w:right w:val="none" w:sz="0" w:space="0" w:color="auto"/>
          </w:divBdr>
        </w:div>
        <w:div w:id="1987204969">
          <w:marLeft w:val="0"/>
          <w:marRight w:val="0"/>
          <w:marTop w:val="0"/>
          <w:marBottom w:val="0"/>
          <w:divBdr>
            <w:top w:val="none" w:sz="0" w:space="0" w:color="auto"/>
            <w:left w:val="none" w:sz="0" w:space="0" w:color="auto"/>
            <w:bottom w:val="none" w:sz="0" w:space="0" w:color="auto"/>
            <w:right w:val="none" w:sz="0" w:space="0" w:color="auto"/>
          </w:divBdr>
        </w:div>
        <w:div w:id="2015447964">
          <w:marLeft w:val="0"/>
          <w:marRight w:val="0"/>
          <w:marTop w:val="0"/>
          <w:marBottom w:val="0"/>
          <w:divBdr>
            <w:top w:val="none" w:sz="0" w:space="0" w:color="auto"/>
            <w:left w:val="none" w:sz="0" w:space="0" w:color="auto"/>
            <w:bottom w:val="none" w:sz="0" w:space="0" w:color="auto"/>
            <w:right w:val="none" w:sz="0" w:space="0" w:color="auto"/>
          </w:divBdr>
        </w:div>
        <w:div w:id="2118868787">
          <w:marLeft w:val="0"/>
          <w:marRight w:val="0"/>
          <w:marTop w:val="0"/>
          <w:marBottom w:val="0"/>
          <w:divBdr>
            <w:top w:val="none" w:sz="0" w:space="0" w:color="auto"/>
            <w:left w:val="none" w:sz="0" w:space="0" w:color="auto"/>
            <w:bottom w:val="none" w:sz="0" w:space="0" w:color="auto"/>
            <w:right w:val="none" w:sz="0" w:space="0" w:color="auto"/>
          </w:divBdr>
        </w:div>
      </w:divsChild>
    </w:div>
    <w:div w:id="1342928600">
      <w:bodyDiv w:val="1"/>
      <w:marLeft w:val="0"/>
      <w:marRight w:val="0"/>
      <w:marTop w:val="0"/>
      <w:marBottom w:val="0"/>
      <w:divBdr>
        <w:top w:val="none" w:sz="0" w:space="0" w:color="auto"/>
        <w:left w:val="none" w:sz="0" w:space="0" w:color="auto"/>
        <w:bottom w:val="none" w:sz="0" w:space="0" w:color="auto"/>
        <w:right w:val="none" w:sz="0" w:space="0" w:color="auto"/>
      </w:divBdr>
    </w:div>
    <w:div w:id="1346248985">
      <w:bodyDiv w:val="1"/>
      <w:marLeft w:val="0"/>
      <w:marRight w:val="0"/>
      <w:marTop w:val="0"/>
      <w:marBottom w:val="0"/>
      <w:divBdr>
        <w:top w:val="none" w:sz="0" w:space="0" w:color="auto"/>
        <w:left w:val="none" w:sz="0" w:space="0" w:color="auto"/>
        <w:bottom w:val="none" w:sz="0" w:space="0" w:color="auto"/>
        <w:right w:val="none" w:sz="0" w:space="0" w:color="auto"/>
      </w:divBdr>
    </w:div>
    <w:div w:id="1350528545">
      <w:bodyDiv w:val="1"/>
      <w:marLeft w:val="0"/>
      <w:marRight w:val="0"/>
      <w:marTop w:val="0"/>
      <w:marBottom w:val="0"/>
      <w:divBdr>
        <w:top w:val="none" w:sz="0" w:space="0" w:color="auto"/>
        <w:left w:val="none" w:sz="0" w:space="0" w:color="auto"/>
        <w:bottom w:val="none" w:sz="0" w:space="0" w:color="auto"/>
        <w:right w:val="none" w:sz="0" w:space="0" w:color="auto"/>
      </w:divBdr>
    </w:div>
    <w:div w:id="1360929378">
      <w:bodyDiv w:val="1"/>
      <w:marLeft w:val="0"/>
      <w:marRight w:val="0"/>
      <w:marTop w:val="0"/>
      <w:marBottom w:val="0"/>
      <w:divBdr>
        <w:top w:val="none" w:sz="0" w:space="0" w:color="auto"/>
        <w:left w:val="none" w:sz="0" w:space="0" w:color="auto"/>
        <w:bottom w:val="none" w:sz="0" w:space="0" w:color="auto"/>
        <w:right w:val="none" w:sz="0" w:space="0" w:color="auto"/>
      </w:divBdr>
    </w:div>
    <w:div w:id="1371606297">
      <w:bodyDiv w:val="1"/>
      <w:marLeft w:val="0"/>
      <w:marRight w:val="0"/>
      <w:marTop w:val="0"/>
      <w:marBottom w:val="0"/>
      <w:divBdr>
        <w:top w:val="none" w:sz="0" w:space="0" w:color="auto"/>
        <w:left w:val="none" w:sz="0" w:space="0" w:color="auto"/>
        <w:bottom w:val="none" w:sz="0" w:space="0" w:color="auto"/>
        <w:right w:val="none" w:sz="0" w:space="0" w:color="auto"/>
      </w:divBdr>
      <w:divsChild>
        <w:div w:id="375544927">
          <w:marLeft w:val="0"/>
          <w:marRight w:val="0"/>
          <w:marTop w:val="0"/>
          <w:marBottom w:val="0"/>
          <w:divBdr>
            <w:top w:val="none" w:sz="0" w:space="0" w:color="auto"/>
            <w:left w:val="none" w:sz="0" w:space="0" w:color="auto"/>
            <w:bottom w:val="none" w:sz="0" w:space="0" w:color="auto"/>
            <w:right w:val="none" w:sz="0" w:space="0" w:color="auto"/>
          </w:divBdr>
        </w:div>
        <w:div w:id="923145250">
          <w:marLeft w:val="0"/>
          <w:marRight w:val="0"/>
          <w:marTop w:val="0"/>
          <w:marBottom w:val="0"/>
          <w:divBdr>
            <w:top w:val="none" w:sz="0" w:space="0" w:color="auto"/>
            <w:left w:val="none" w:sz="0" w:space="0" w:color="auto"/>
            <w:bottom w:val="none" w:sz="0" w:space="0" w:color="auto"/>
            <w:right w:val="none" w:sz="0" w:space="0" w:color="auto"/>
          </w:divBdr>
        </w:div>
        <w:div w:id="1590696643">
          <w:marLeft w:val="0"/>
          <w:marRight w:val="0"/>
          <w:marTop w:val="0"/>
          <w:marBottom w:val="0"/>
          <w:divBdr>
            <w:top w:val="none" w:sz="0" w:space="0" w:color="auto"/>
            <w:left w:val="none" w:sz="0" w:space="0" w:color="auto"/>
            <w:bottom w:val="none" w:sz="0" w:space="0" w:color="auto"/>
            <w:right w:val="none" w:sz="0" w:space="0" w:color="auto"/>
          </w:divBdr>
        </w:div>
        <w:div w:id="1714035598">
          <w:marLeft w:val="0"/>
          <w:marRight w:val="0"/>
          <w:marTop w:val="0"/>
          <w:marBottom w:val="0"/>
          <w:divBdr>
            <w:top w:val="none" w:sz="0" w:space="0" w:color="auto"/>
            <w:left w:val="none" w:sz="0" w:space="0" w:color="auto"/>
            <w:bottom w:val="none" w:sz="0" w:space="0" w:color="auto"/>
            <w:right w:val="none" w:sz="0" w:space="0" w:color="auto"/>
          </w:divBdr>
        </w:div>
      </w:divsChild>
    </w:div>
    <w:div w:id="1380008280">
      <w:bodyDiv w:val="1"/>
      <w:marLeft w:val="0"/>
      <w:marRight w:val="0"/>
      <w:marTop w:val="0"/>
      <w:marBottom w:val="0"/>
      <w:divBdr>
        <w:top w:val="none" w:sz="0" w:space="0" w:color="auto"/>
        <w:left w:val="none" w:sz="0" w:space="0" w:color="auto"/>
        <w:bottom w:val="none" w:sz="0" w:space="0" w:color="auto"/>
        <w:right w:val="none" w:sz="0" w:space="0" w:color="auto"/>
      </w:divBdr>
    </w:div>
    <w:div w:id="1390113848">
      <w:bodyDiv w:val="1"/>
      <w:marLeft w:val="0"/>
      <w:marRight w:val="0"/>
      <w:marTop w:val="0"/>
      <w:marBottom w:val="0"/>
      <w:divBdr>
        <w:top w:val="none" w:sz="0" w:space="0" w:color="auto"/>
        <w:left w:val="none" w:sz="0" w:space="0" w:color="auto"/>
        <w:bottom w:val="none" w:sz="0" w:space="0" w:color="auto"/>
        <w:right w:val="none" w:sz="0" w:space="0" w:color="auto"/>
      </w:divBdr>
    </w:div>
    <w:div w:id="1397435686">
      <w:bodyDiv w:val="1"/>
      <w:marLeft w:val="0"/>
      <w:marRight w:val="0"/>
      <w:marTop w:val="0"/>
      <w:marBottom w:val="0"/>
      <w:divBdr>
        <w:top w:val="none" w:sz="0" w:space="0" w:color="auto"/>
        <w:left w:val="none" w:sz="0" w:space="0" w:color="auto"/>
        <w:bottom w:val="none" w:sz="0" w:space="0" w:color="auto"/>
        <w:right w:val="none" w:sz="0" w:space="0" w:color="auto"/>
      </w:divBdr>
      <w:divsChild>
        <w:div w:id="435447398">
          <w:marLeft w:val="0"/>
          <w:marRight w:val="0"/>
          <w:marTop w:val="0"/>
          <w:marBottom w:val="0"/>
          <w:divBdr>
            <w:top w:val="none" w:sz="0" w:space="0" w:color="auto"/>
            <w:left w:val="none" w:sz="0" w:space="0" w:color="auto"/>
            <w:bottom w:val="none" w:sz="0" w:space="0" w:color="auto"/>
            <w:right w:val="none" w:sz="0" w:space="0" w:color="auto"/>
          </w:divBdr>
        </w:div>
        <w:div w:id="540099074">
          <w:marLeft w:val="0"/>
          <w:marRight w:val="0"/>
          <w:marTop w:val="0"/>
          <w:marBottom w:val="0"/>
          <w:divBdr>
            <w:top w:val="none" w:sz="0" w:space="0" w:color="auto"/>
            <w:left w:val="none" w:sz="0" w:space="0" w:color="auto"/>
            <w:bottom w:val="none" w:sz="0" w:space="0" w:color="auto"/>
            <w:right w:val="none" w:sz="0" w:space="0" w:color="auto"/>
          </w:divBdr>
        </w:div>
        <w:div w:id="708800178">
          <w:marLeft w:val="0"/>
          <w:marRight w:val="0"/>
          <w:marTop w:val="0"/>
          <w:marBottom w:val="0"/>
          <w:divBdr>
            <w:top w:val="none" w:sz="0" w:space="0" w:color="auto"/>
            <w:left w:val="none" w:sz="0" w:space="0" w:color="auto"/>
            <w:bottom w:val="none" w:sz="0" w:space="0" w:color="auto"/>
            <w:right w:val="none" w:sz="0" w:space="0" w:color="auto"/>
          </w:divBdr>
        </w:div>
        <w:div w:id="933589931">
          <w:marLeft w:val="0"/>
          <w:marRight w:val="0"/>
          <w:marTop w:val="0"/>
          <w:marBottom w:val="0"/>
          <w:divBdr>
            <w:top w:val="none" w:sz="0" w:space="0" w:color="auto"/>
            <w:left w:val="none" w:sz="0" w:space="0" w:color="auto"/>
            <w:bottom w:val="none" w:sz="0" w:space="0" w:color="auto"/>
            <w:right w:val="none" w:sz="0" w:space="0" w:color="auto"/>
          </w:divBdr>
        </w:div>
        <w:div w:id="1209218083">
          <w:marLeft w:val="0"/>
          <w:marRight w:val="0"/>
          <w:marTop w:val="0"/>
          <w:marBottom w:val="0"/>
          <w:divBdr>
            <w:top w:val="none" w:sz="0" w:space="0" w:color="auto"/>
            <w:left w:val="none" w:sz="0" w:space="0" w:color="auto"/>
            <w:bottom w:val="none" w:sz="0" w:space="0" w:color="auto"/>
            <w:right w:val="none" w:sz="0" w:space="0" w:color="auto"/>
          </w:divBdr>
        </w:div>
      </w:divsChild>
    </w:div>
    <w:div w:id="1403527352">
      <w:bodyDiv w:val="1"/>
      <w:marLeft w:val="0"/>
      <w:marRight w:val="0"/>
      <w:marTop w:val="0"/>
      <w:marBottom w:val="0"/>
      <w:divBdr>
        <w:top w:val="none" w:sz="0" w:space="0" w:color="auto"/>
        <w:left w:val="none" w:sz="0" w:space="0" w:color="auto"/>
        <w:bottom w:val="none" w:sz="0" w:space="0" w:color="auto"/>
        <w:right w:val="none" w:sz="0" w:space="0" w:color="auto"/>
      </w:divBdr>
      <w:divsChild>
        <w:div w:id="384376039">
          <w:marLeft w:val="0"/>
          <w:marRight w:val="0"/>
          <w:marTop w:val="0"/>
          <w:marBottom w:val="0"/>
          <w:divBdr>
            <w:top w:val="none" w:sz="0" w:space="0" w:color="auto"/>
            <w:left w:val="none" w:sz="0" w:space="0" w:color="auto"/>
            <w:bottom w:val="none" w:sz="0" w:space="0" w:color="auto"/>
            <w:right w:val="none" w:sz="0" w:space="0" w:color="auto"/>
          </w:divBdr>
        </w:div>
        <w:div w:id="398595998">
          <w:marLeft w:val="0"/>
          <w:marRight w:val="0"/>
          <w:marTop w:val="0"/>
          <w:marBottom w:val="0"/>
          <w:divBdr>
            <w:top w:val="none" w:sz="0" w:space="0" w:color="auto"/>
            <w:left w:val="none" w:sz="0" w:space="0" w:color="auto"/>
            <w:bottom w:val="none" w:sz="0" w:space="0" w:color="auto"/>
            <w:right w:val="none" w:sz="0" w:space="0" w:color="auto"/>
          </w:divBdr>
        </w:div>
        <w:div w:id="553002607">
          <w:marLeft w:val="0"/>
          <w:marRight w:val="0"/>
          <w:marTop w:val="0"/>
          <w:marBottom w:val="0"/>
          <w:divBdr>
            <w:top w:val="none" w:sz="0" w:space="0" w:color="auto"/>
            <w:left w:val="none" w:sz="0" w:space="0" w:color="auto"/>
            <w:bottom w:val="none" w:sz="0" w:space="0" w:color="auto"/>
            <w:right w:val="none" w:sz="0" w:space="0" w:color="auto"/>
          </w:divBdr>
        </w:div>
        <w:div w:id="773137320">
          <w:marLeft w:val="0"/>
          <w:marRight w:val="0"/>
          <w:marTop w:val="0"/>
          <w:marBottom w:val="0"/>
          <w:divBdr>
            <w:top w:val="none" w:sz="0" w:space="0" w:color="auto"/>
            <w:left w:val="none" w:sz="0" w:space="0" w:color="auto"/>
            <w:bottom w:val="none" w:sz="0" w:space="0" w:color="auto"/>
            <w:right w:val="none" w:sz="0" w:space="0" w:color="auto"/>
          </w:divBdr>
        </w:div>
        <w:div w:id="2093428185">
          <w:marLeft w:val="0"/>
          <w:marRight w:val="0"/>
          <w:marTop w:val="0"/>
          <w:marBottom w:val="0"/>
          <w:divBdr>
            <w:top w:val="none" w:sz="0" w:space="0" w:color="auto"/>
            <w:left w:val="none" w:sz="0" w:space="0" w:color="auto"/>
            <w:bottom w:val="none" w:sz="0" w:space="0" w:color="auto"/>
            <w:right w:val="none" w:sz="0" w:space="0" w:color="auto"/>
          </w:divBdr>
        </w:div>
      </w:divsChild>
    </w:div>
    <w:div w:id="1438253900">
      <w:bodyDiv w:val="1"/>
      <w:marLeft w:val="0"/>
      <w:marRight w:val="0"/>
      <w:marTop w:val="0"/>
      <w:marBottom w:val="0"/>
      <w:divBdr>
        <w:top w:val="none" w:sz="0" w:space="0" w:color="auto"/>
        <w:left w:val="none" w:sz="0" w:space="0" w:color="auto"/>
        <w:bottom w:val="none" w:sz="0" w:space="0" w:color="auto"/>
        <w:right w:val="none" w:sz="0" w:space="0" w:color="auto"/>
      </w:divBdr>
      <w:divsChild>
        <w:div w:id="958730413">
          <w:marLeft w:val="0"/>
          <w:marRight w:val="0"/>
          <w:marTop w:val="0"/>
          <w:marBottom w:val="0"/>
          <w:divBdr>
            <w:top w:val="none" w:sz="0" w:space="0" w:color="auto"/>
            <w:left w:val="none" w:sz="0" w:space="0" w:color="auto"/>
            <w:bottom w:val="none" w:sz="0" w:space="0" w:color="auto"/>
            <w:right w:val="none" w:sz="0" w:space="0" w:color="auto"/>
          </w:divBdr>
        </w:div>
        <w:div w:id="1572890940">
          <w:marLeft w:val="0"/>
          <w:marRight w:val="0"/>
          <w:marTop w:val="0"/>
          <w:marBottom w:val="0"/>
          <w:divBdr>
            <w:top w:val="none" w:sz="0" w:space="0" w:color="auto"/>
            <w:left w:val="none" w:sz="0" w:space="0" w:color="auto"/>
            <w:bottom w:val="none" w:sz="0" w:space="0" w:color="auto"/>
            <w:right w:val="none" w:sz="0" w:space="0" w:color="auto"/>
          </w:divBdr>
        </w:div>
      </w:divsChild>
    </w:div>
    <w:div w:id="1440635695">
      <w:bodyDiv w:val="1"/>
      <w:marLeft w:val="0"/>
      <w:marRight w:val="0"/>
      <w:marTop w:val="0"/>
      <w:marBottom w:val="0"/>
      <w:divBdr>
        <w:top w:val="none" w:sz="0" w:space="0" w:color="auto"/>
        <w:left w:val="none" w:sz="0" w:space="0" w:color="auto"/>
        <w:bottom w:val="none" w:sz="0" w:space="0" w:color="auto"/>
        <w:right w:val="none" w:sz="0" w:space="0" w:color="auto"/>
      </w:divBdr>
      <w:divsChild>
        <w:div w:id="1057699620">
          <w:marLeft w:val="0"/>
          <w:marRight w:val="0"/>
          <w:marTop w:val="0"/>
          <w:marBottom w:val="0"/>
          <w:divBdr>
            <w:top w:val="none" w:sz="0" w:space="0" w:color="auto"/>
            <w:left w:val="none" w:sz="0" w:space="0" w:color="auto"/>
            <w:bottom w:val="none" w:sz="0" w:space="0" w:color="auto"/>
            <w:right w:val="none" w:sz="0" w:space="0" w:color="auto"/>
          </w:divBdr>
        </w:div>
        <w:div w:id="1447626871">
          <w:marLeft w:val="0"/>
          <w:marRight w:val="0"/>
          <w:marTop w:val="0"/>
          <w:marBottom w:val="0"/>
          <w:divBdr>
            <w:top w:val="none" w:sz="0" w:space="0" w:color="auto"/>
            <w:left w:val="none" w:sz="0" w:space="0" w:color="auto"/>
            <w:bottom w:val="none" w:sz="0" w:space="0" w:color="auto"/>
            <w:right w:val="none" w:sz="0" w:space="0" w:color="auto"/>
          </w:divBdr>
        </w:div>
        <w:div w:id="1469324779">
          <w:marLeft w:val="0"/>
          <w:marRight w:val="0"/>
          <w:marTop w:val="0"/>
          <w:marBottom w:val="0"/>
          <w:divBdr>
            <w:top w:val="none" w:sz="0" w:space="0" w:color="auto"/>
            <w:left w:val="none" w:sz="0" w:space="0" w:color="auto"/>
            <w:bottom w:val="none" w:sz="0" w:space="0" w:color="auto"/>
            <w:right w:val="none" w:sz="0" w:space="0" w:color="auto"/>
          </w:divBdr>
        </w:div>
        <w:div w:id="2087920044">
          <w:marLeft w:val="0"/>
          <w:marRight w:val="0"/>
          <w:marTop w:val="0"/>
          <w:marBottom w:val="0"/>
          <w:divBdr>
            <w:top w:val="none" w:sz="0" w:space="0" w:color="auto"/>
            <w:left w:val="none" w:sz="0" w:space="0" w:color="auto"/>
            <w:bottom w:val="none" w:sz="0" w:space="0" w:color="auto"/>
            <w:right w:val="none" w:sz="0" w:space="0" w:color="auto"/>
          </w:divBdr>
        </w:div>
      </w:divsChild>
    </w:div>
    <w:div w:id="1452092727">
      <w:bodyDiv w:val="1"/>
      <w:marLeft w:val="0"/>
      <w:marRight w:val="0"/>
      <w:marTop w:val="0"/>
      <w:marBottom w:val="0"/>
      <w:divBdr>
        <w:top w:val="none" w:sz="0" w:space="0" w:color="auto"/>
        <w:left w:val="none" w:sz="0" w:space="0" w:color="auto"/>
        <w:bottom w:val="none" w:sz="0" w:space="0" w:color="auto"/>
        <w:right w:val="none" w:sz="0" w:space="0" w:color="auto"/>
      </w:divBdr>
    </w:div>
    <w:div w:id="1462459903">
      <w:bodyDiv w:val="1"/>
      <w:marLeft w:val="0"/>
      <w:marRight w:val="0"/>
      <w:marTop w:val="0"/>
      <w:marBottom w:val="0"/>
      <w:divBdr>
        <w:top w:val="none" w:sz="0" w:space="0" w:color="auto"/>
        <w:left w:val="none" w:sz="0" w:space="0" w:color="auto"/>
        <w:bottom w:val="none" w:sz="0" w:space="0" w:color="auto"/>
        <w:right w:val="none" w:sz="0" w:space="0" w:color="auto"/>
      </w:divBdr>
      <w:divsChild>
        <w:div w:id="1158422092">
          <w:marLeft w:val="0"/>
          <w:marRight w:val="0"/>
          <w:marTop w:val="0"/>
          <w:marBottom w:val="0"/>
          <w:divBdr>
            <w:top w:val="none" w:sz="0" w:space="0" w:color="auto"/>
            <w:left w:val="none" w:sz="0" w:space="0" w:color="auto"/>
            <w:bottom w:val="none" w:sz="0" w:space="0" w:color="auto"/>
            <w:right w:val="none" w:sz="0" w:space="0" w:color="auto"/>
          </w:divBdr>
        </w:div>
        <w:div w:id="2121533205">
          <w:marLeft w:val="0"/>
          <w:marRight w:val="0"/>
          <w:marTop w:val="0"/>
          <w:marBottom w:val="0"/>
          <w:divBdr>
            <w:top w:val="none" w:sz="0" w:space="0" w:color="auto"/>
            <w:left w:val="none" w:sz="0" w:space="0" w:color="auto"/>
            <w:bottom w:val="none" w:sz="0" w:space="0" w:color="auto"/>
            <w:right w:val="none" w:sz="0" w:space="0" w:color="auto"/>
          </w:divBdr>
        </w:div>
      </w:divsChild>
    </w:div>
    <w:div w:id="1465150531">
      <w:bodyDiv w:val="1"/>
      <w:marLeft w:val="0"/>
      <w:marRight w:val="0"/>
      <w:marTop w:val="0"/>
      <w:marBottom w:val="0"/>
      <w:divBdr>
        <w:top w:val="none" w:sz="0" w:space="0" w:color="auto"/>
        <w:left w:val="none" w:sz="0" w:space="0" w:color="auto"/>
        <w:bottom w:val="none" w:sz="0" w:space="0" w:color="auto"/>
        <w:right w:val="none" w:sz="0" w:space="0" w:color="auto"/>
      </w:divBdr>
      <w:divsChild>
        <w:div w:id="321550573">
          <w:marLeft w:val="0"/>
          <w:marRight w:val="0"/>
          <w:marTop w:val="0"/>
          <w:marBottom w:val="0"/>
          <w:divBdr>
            <w:top w:val="none" w:sz="0" w:space="0" w:color="auto"/>
            <w:left w:val="none" w:sz="0" w:space="0" w:color="auto"/>
            <w:bottom w:val="none" w:sz="0" w:space="0" w:color="auto"/>
            <w:right w:val="none" w:sz="0" w:space="0" w:color="auto"/>
          </w:divBdr>
        </w:div>
        <w:div w:id="413745197">
          <w:marLeft w:val="0"/>
          <w:marRight w:val="0"/>
          <w:marTop w:val="0"/>
          <w:marBottom w:val="0"/>
          <w:divBdr>
            <w:top w:val="none" w:sz="0" w:space="0" w:color="auto"/>
            <w:left w:val="none" w:sz="0" w:space="0" w:color="auto"/>
            <w:bottom w:val="none" w:sz="0" w:space="0" w:color="auto"/>
            <w:right w:val="none" w:sz="0" w:space="0" w:color="auto"/>
          </w:divBdr>
        </w:div>
      </w:divsChild>
    </w:div>
    <w:div w:id="1497302320">
      <w:bodyDiv w:val="1"/>
      <w:marLeft w:val="0"/>
      <w:marRight w:val="0"/>
      <w:marTop w:val="0"/>
      <w:marBottom w:val="0"/>
      <w:divBdr>
        <w:top w:val="none" w:sz="0" w:space="0" w:color="auto"/>
        <w:left w:val="none" w:sz="0" w:space="0" w:color="auto"/>
        <w:bottom w:val="none" w:sz="0" w:space="0" w:color="auto"/>
        <w:right w:val="none" w:sz="0" w:space="0" w:color="auto"/>
      </w:divBdr>
    </w:div>
    <w:div w:id="1509560062">
      <w:bodyDiv w:val="1"/>
      <w:marLeft w:val="0"/>
      <w:marRight w:val="0"/>
      <w:marTop w:val="0"/>
      <w:marBottom w:val="0"/>
      <w:divBdr>
        <w:top w:val="none" w:sz="0" w:space="0" w:color="auto"/>
        <w:left w:val="none" w:sz="0" w:space="0" w:color="auto"/>
        <w:bottom w:val="none" w:sz="0" w:space="0" w:color="auto"/>
        <w:right w:val="none" w:sz="0" w:space="0" w:color="auto"/>
      </w:divBdr>
    </w:div>
    <w:div w:id="1510676604">
      <w:bodyDiv w:val="1"/>
      <w:marLeft w:val="0"/>
      <w:marRight w:val="0"/>
      <w:marTop w:val="0"/>
      <w:marBottom w:val="0"/>
      <w:divBdr>
        <w:top w:val="none" w:sz="0" w:space="0" w:color="auto"/>
        <w:left w:val="none" w:sz="0" w:space="0" w:color="auto"/>
        <w:bottom w:val="none" w:sz="0" w:space="0" w:color="auto"/>
        <w:right w:val="none" w:sz="0" w:space="0" w:color="auto"/>
      </w:divBdr>
    </w:div>
    <w:div w:id="1511797959">
      <w:bodyDiv w:val="1"/>
      <w:marLeft w:val="0"/>
      <w:marRight w:val="0"/>
      <w:marTop w:val="0"/>
      <w:marBottom w:val="0"/>
      <w:divBdr>
        <w:top w:val="none" w:sz="0" w:space="0" w:color="auto"/>
        <w:left w:val="none" w:sz="0" w:space="0" w:color="auto"/>
        <w:bottom w:val="none" w:sz="0" w:space="0" w:color="auto"/>
        <w:right w:val="none" w:sz="0" w:space="0" w:color="auto"/>
      </w:divBdr>
    </w:div>
    <w:div w:id="1516729026">
      <w:bodyDiv w:val="1"/>
      <w:marLeft w:val="0"/>
      <w:marRight w:val="0"/>
      <w:marTop w:val="0"/>
      <w:marBottom w:val="0"/>
      <w:divBdr>
        <w:top w:val="none" w:sz="0" w:space="0" w:color="auto"/>
        <w:left w:val="none" w:sz="0" w:space="0" w:color="auto"/>
        <w:bottom w:val="none" w:sz="0" w:space="0" w:color="auto"/>
        <w:right w:val="none" w:sz="0" w:space="0" w:color="auto"/>
      </w:divBdr>
      <w:divsChild>
        <w:div w:id="50347823">
          <w:marLeft w:val="0"/>
          <w:marRight w:val="0"/>
          <w:marTop w:val="0"/>
          <w:marBottom w:val="0"/>
          <w:divBdr>
            <w:top w:val="none" w:sz="0" w:space="0" w:color="auto"/>
            <w:left w:val="none" w:sz="0" w:space="0" w:color="auto"/>
            <w:bottom w:val="none" w:sz="0" w:space="0" w:color="auto"/>
            <w:right w:val="none" w:sz="0" w:space="0" w:color="auto"/>
          </w:divBdr>
        </w:div>
        <w:div w:id="263345467">
          <w:marLeft w:val="0"/>
          <w:marRight w:val="0"/>
          <w:marTop w:val="0"/>
          <w:marBottom w:val="0"/>
          <w:divBdr>
            <w:top w:val="none" w:sz="0" w:space="0" w:color="auto"/>
            <w:left w:val="none" w:sz="0" w:space="0" w:color="auto"/>
            <w:bottom w:val="none" w:sz="0" w:space="0" w:color="auto"/>
            <w:right w:val="none" w:sz="0" w:space="0" w:color="auto"/>
          </w:divBdr>
        </w:div>
        <w:div w:id="890380463">
          <w:marLeft w:val="0"/>
          <w:marRight w:val="0"/>
          <w:marTop w:val="0"/>
          <w:marBottom w:val="0"/>
          <w:divBdr>
            <w:top w:val="none" w:sz="0" w:space="0" w:color="auto"/>
            <w:left w:val="none" w:sz="0" w:space="0" w:color="auto"/>
            <w:bottom w:val="none" w:sz="0" w:space="0" w:color="auto"/>
            <w:right w:val="none" w:sz="0" w:space="0" w:color="auto"/>
          </w:divBdr>
        </w:div>
        <w:div w:id="959804332">
          <w:marLeft w:val="0"/>
          <w:marRight w:val="0"/>
          <w:marTop w:val="0"/>
          <w:marBottom w:val="0"/>
          <w:divBdr>
            <w:top w:val="none" w:sz="0" w:space="0" w:color="auto"/>
            <w:left w:val="none" w:sz="0" w:space="0" w:color="auto"/>
            <w:bottom w:val="none" w:sz="0" w:space="0" w:color="auto"/>
            <w:right w:val="none" w:sz="0" w:space="0" w:color="auto"/>
          </w:divBdr>
        </w:div>
        <w:div w:id="1125077532">
          <w:marLeft w:val="0"/>
          <w:marRight w:val="0"/>
          <w:marTop w:val="0"/>
          <w:marBottom w:val="0"/>
          <w:divBdr>
            <w:top w:val="none" w:sz="0" w:space="0" w:color="auto"/>
            <w:left w:val="none" w:sz="0" w:space="0" w:color="auto"/>
            <w:bottom w:val="none" w:sz="0" w:space="0" w:color="auto"/>
            <w:right w:val="none" w:sz="0" w:space="0" w:color="auto"/>
          </w:divBdr>
        </w:div>
        <w:div w:id="1265571463">
          <w:marLeft w:val="0"/>
          <w:marRight w:val="0"/>
          <w:marTop w:val="0"/>
          <w:marBottom w:val="0"/>
          <w:divBdr>
            <w:top w:val="none" w:sz="0" w:space="0" w:color="auto"/>
            <w:left w:val="none" w:sz="0" w:space="0" w:color="auto"/>
            <w:bottom w:val="none" w:sz="0" w:space="0" w:color="auto"/>
            <w:right w:val="none" w:sz="0" w:space="0" w:color="auto"/>
          </w:divBdr>
        </w:div>
        <w:div w:id="1315909468">
          <w:marLeft w:val="0"/>
          <w:marRight w:val="0"/>
          <w:marTop w:val="0"/>
          <w:marBottom w:val="0"/>
          <w:divBdr>
            <w:top w:val="none" w:sz="0" w:space="0" w:color="auto"/>
            <w:left w:val="none" w:sz="0" w:space="0" w:color="auto"/>
            <w:bottom w:val="none" w:sz="0" w:space="0" w:color="auto"/>
            <w:right w:val="none" w:sz="0" w:space="0" w:color="auto"/>
          </w:divBdr>
        </w:div>
        <w:div w:id="1802651811">
          <w:marLeft w:val="0"/>
          <w:marRight w:val="0"/>
          <w:marTop w:val="0"/>
          <w:marBottom w:val="0"/>
          <w:divBdr>
            <w:top w:val="none" w:sz="0" w:space="0" w:color="auto"/>
            <w:left w:val="none" w:sz="0" w:space="0" w:color="auto"/>
            <w:bottom w:val="none" w:sz="0" w:space="0" w:color="auto"/>
            <w:right w:val="none" w:sz="0" w:space="0" w:color="auto"/>
          </w:divBdr>
        </w:div>
        <w:div w:id="1871986308">
          <w:marLeft w:val="0"/>
          <w:marRight w:val="0"/>
          <w:marTop w:val="0"/>
          <w:marBottom w:val="0"/>
          <w:divBdr>
            <w:top w:val="none" w:sz="0" w:space="0" w:color="auto"/>
            <w:left w:val="none" w:sz="0" w:space="0" w:color="auto"/>
            <w:bottom w:val="none" w:sz="0" w:space="0" w:color="auto"/>
            <w:right w:val="none" w:sz="0" w:space="0" w:color="auto"/>
          </w:divBdr>
        </w:div>
        <w:div w:id="1985117679">
          <w:marLeft w:val="0"/>
          <w:marRight w:val="0"/>
          <w:marTop w:val="0"/>
          <w:marBottom w:val="0"/>
          <w:divBdr>
            <w:top w:val="none" w:sz="0" w:space="0" w:color="auto"/>
            <w:left w:val="none" w:sz="0" w:space="0" w:color="auto"/>
            <w:bottom w:val="none" w:sz="0" w:space="0" w:color="auto"/>
            <w:right w:val="none" w:sz="0" w:space="0" w:color="auto"/>
          </w:divBdr>
        </w:div>
      </w:divsChild>
    </w:div>
    <w:div w:id="1533372935">
      <w:bodyDiv w:val="1"/>
      <w:marLeft w:val="0"/>
      <w:marRight w:val="0"/>
      <w:marTop w:val="0"/>
      <w:marBottom w:val="0"/>
      <w:divBdr>
        <w:top w:val="none" w:sz="0" w:space="0" w:color="auto"/>
        <w:left w:val="none" w:sz="0" w:space="0" w:color="auto"/>
        <w:bottom w:val="none" w:sz="0" w:space="0" w:color="auto"/>
        <w:right w:val="none" w:sz="0" w:space="0" w:color="auto"/>
      </w:divBdr>
    </w:div>
    <w:div w:id="1547327885">
      <w:bodyDiv w:val="1"/>
      <w:marLeft w:val="0"/>
      <w:marRight w:val="0"/>
      <w:marTop w:val="0"/>
      <w:marBottom w:val="0"/>
      <w:divBdr>
        <w:top w:val="none" w:sz="0" w:space="0" w:color="auto"/>
        <w:left w:val="none" w:sz="0" w:space="0" w:color="auto"/>
        <w:bottom w:val="none" w:sz="0" w:space="0" w:color="auto"/>
        <w:right w:val="none" w:sz="0" w:space="0" w:color="auto"/>
      </w:divBdr>
    </w:div>
    <w:div w:id="1549299951">
      <w:bodyDiv w:val="1"/>
      <w:marLeft w:val="0"/>
      <w:marRight w:val="0"/>
      <w:marTop w:val="0"/>
      <w:marBottom w:val="0"/>
      <w:divBdr>
        <w:top w:val="none" w:sz="0" w:space="0" w:color="auto"/>
        <w:left w:val="none" w:sz="0" w:space="0" w:color="auto"/>
        <w:bottom w:val="none" w:sz="0" w:space="0" w:color="auto"/>
        <w:right w:val="none" w:sz="0" w:space="0" w:color="auto"/>
      </w:divBdr>
    </w:div>
    <w:div w:id="1553151348">
      <w:bodyDiv w:val="1"/>
      <w:marLeft w:val="0"/>
      <w:marRight w:val="0"/>
      <w:marTop w:val="0"/>
      <w:marBottom w:val="0"/>
      <w:divBdr>
        <w:top w:val="none" w:sz="0" w:space="0" w:color="auto"/>
        <w:left w:val="none" w:sz="0" w:space="0" w:color="auto"/>
        <w:bottom w:val="none" w:sz="0" w:space="0" w:color="auto"/>
        <w:right w:val="none" w:sz="0" w:space="0" w:color="auto"/>
      </w:divBdr>
    </w:div>
    <w:div w:id="1554078384">
      <w:bodyDiv w:val="1"/>
      <w:marLeft w:val="0"/>
      <w:marRight w:val="0"/>
      <w:marTop w:val="0"/>
      <w:marBottom w:val="0"/>
      <w:divBdr>
        <w:top w:val="none" w:sz="0" w:space="0" w:color="auto"/>
        <w:left w:val="none" w:sz="0" w:space="0" w:color="auto"/>
        <w:bottom w:val="none" w:sz="0" w:space="0" w:color="auto"/>
        <w:right w:val="none" w:sz="0" w:space="0" w:color="auto"/>
      </w:divBdr>
      <w:divsChild>
        <w:div w:id="339158605">
          <w:marLeft w:val="0"/>
          <w:marRight w:val="0"/>
          <w:marTop w:val="0"/>
          <w:marBottom w:val="0"/>
          <w:divBdr>
            <w:top w:val="none" w:sz="0" w:space="0" w:color="auto"/>
            <w:left w:val="none" w:sz="0" w:space="0" w:color="auto"/>
            <w:bottom w:val="none" w:sz="0" w:space="0" w:color="auto"/>
            <w:right w:val="none" w:sz="0" w:space="0" w:color="auto"/>
          </w:divBdr>
        </w:div>
        <w:div w:id="1299728116">
          <w:marLeft w:val="0"/>
          <w:marRight w:val="0"/>
          <w:marTop w:val="0"/>
          <w:marBottom w:val="0"/>
          <w:divBdr>
            <w:top w:val="none" w:sz="0" w:space="0" w:color="auto"/>
            <w:left w:val="none" w:sz="0" w:space="0" w:color="auto"/>
            <w:bottom w:val="none" w:sz="0" w:space="0" w:color="auto"/>
            <w:right w:val="none" w:sz="0" w:space="0" w:color="auto"/>
          </w:divBdr>
        </w:div>
        <w:div w:id="1705323442">
          <w:marLeft w:val="0"/>
          <w:marRight w:val="0"/>
          <w:marTop w:val="0"/>
          <w:marBottom w:val="0"/>
          <w:divBdr>
            <w:top w:val="none" w:sz="0" w:space="0" w:color="auto"/>
            <w:left w:val="none" w:sz="0" w:space="0" w:color="auto"/>
            <w:bottom w:val="none" w:sz="0" w:space="0" w:color="auto"/>
            <w:right w:val="none" w:sz="0" w:space="0" w:color="auto"/>
          </w:divBdr>
        </w:div>
        <w:div w:id="1706323388">
          <w:marLeft w:val="0"/>
          <w:marRight w:val="0"/>
          <w:marTop w:val="0"/>
          <w:marBottom w:val="0"/>
          <w:divBdr>
            <w:top w:val="none" w:sz="0" w:space="0" w:color="auto"/>
            <w:left w:val="none" w:sz="0" w:space="0" w:color="auto"/>
            <w:bottom w:val="none" w:sz="0" w:space="0" w:color="auto"/>
            <w:right w:val="none" w:sz="0" w:space="0" w:color="auto"/>
          </w:divBdr>
        </w:div>
        <w:div w:id="1773427024">
          <w:marLeft w:val="0"/>
          <w:marRight w:val="0"/>
          <w:marTop w:val="0"/>
          <w:marBottom w:val="0"/>
          <w:divBdr>
            <w:top w:val="none" w:sz="0" w:space="0" w:color="auto"/>
            <w:left w:val="none" w:sz="0" w:space="0" w:color="auto"/>
            <w:bottom w:val="none" w:sz="0" w:space="0" w:color="auto"/>
            <w:right w:val="none" w:sz="0" w:space="0" w:color="auto"/>
          </w:divBdr>
        </w:div>
      </w:divsChild>
    </w:div>
    <w:div w:id="1572695683">
      <w:bodyDiv w:val="1"/>
      <w:marLeft w:val="0"/>
      <w:marRight w:val="0"/>
      <w:marTop w:val="0"/>
      <w:marBottom w:val="0"/>
      <w:divBdr>
        <w:top w:val="none" w:sz="0" w:space="0" w:color="auto"/>
        <w:left w:val="none" w:sz="0" w:space="0" w:color="auto"/>
        <w:bottom w:val="none" w:sz="0" w:space="0" w:color="auto"/>
        <w:right w:val="none" w:sz="0" w:space="0" w:color="auto"/>
      </w:divBdr>
    </w:div>
    <w:div w:id="1572932721">
      <w:bodyDiv w:val="1"/>
      <w:marLeft w:val="0"/>
      <w:marRight w:val="0"/>
      <w:marTop w:val="0"/>
      <w:marBottom w:val="0"/>
      <w:divBdr>
        <w:top w:val="none" w:sz="0" w:space="0" w:color="auto"/>
        <w:left w:val="none" w:sz="0" w:space="0" w:color="auto"/>
        <w:bottom w:val="none" w:sz="0" w:space="0" w:color="auto"/>
        <w:right w:val="none" w:sz="0" w:space="0" w:color="auto"/>
      </w:divBdr>
      <w:divsChild>
        <w:div w:id="451291661">
          <w:marLeft w:val="0"/>
          <w:marRight w:val="0"/>
          <w:marTop w:val="0"/>
          <w:marBottom w:val="0"/>
          <w:divBdr>
            <w:top w:val="none" w:sz="0" w:space="0" w:color="auto"/>
            <w:left w:val="none" w:sz="0" w:space="0" w:color="auto"/>
            <w:bottom w:val="none" w:sz="0" w:space="0" w:color="auto"/>
            <w:right w:val="none" w:sz="0" w:space="0" w:color="auto"/>
          </w:divBdr>
        </w:div>
        <w:div w:id="506672568">
          <w:marLeft w:val="0"/>
          <w:marRight w:val="0"/>
          <w:marTop w:val="0"/>
          <w:marBottom w:val="0"/>
          <w:divBdr>
            <w:top w:val="none" w:sz="0" w:space="0" w:color="auto"/>
            <w:left w:val="none" w:sz="0" w:space="0" w:color="auto"/>
            <w:bottom w:val="none" w:sz="0" w:space="0" w:color="auto"/>
            <w:right w:val="none" w:sz="0" w:space="0" w:color="auto"/>
          </w:divBdr>
        </w:div>
        <w:div w:id="640161573">
          <w:marLeft w:val="0"/>
          <w:marRight w:val="0"/>
          <w:marTop w:val="0"/>
          <w:marBottom w:val="0"/>
          <w:divBdr>
            <w:top w:val="none" w:sz="0" w:space="0" w:color="auto"/>
            <w:left w:val="none" w:sz="0" w:space="0" w:color="auto"/>
            <w:bottom w:val="none" w:sz="0" w:space="0" w:color="auto"/>
            <w:right w:val="none" w:sz="0" w:space="0" w:color="auto"/>
          </w:divBdr>
        </w:div>
        <w:div w:id="731930267">
          <w:marLeft w:val="0"/>
          <w:marRight w:val="0"/>
          <w:marTop w:val="0"/>
          <w:marBottom w:val="0"/>
          <w:divBdr>
            <w:top w:val="none" w:sz="0" w:space="0" w:color="auto"/>
            <w:left w:val="none" w:sz="0" w:space="0" w:color="auto"/>
            <w:bottom w:val="none" w:sz="0" w:space="0" w:color="auto"/>
            <w:right w:val="none" w:sz="0" w:space="0" w:color="auto"/>
          </w:divBdr>
        </w:div>
        <w:div w:id="838926570">
          <w:marLeft w:val="0"/>
          <w:marRight w:val="0"/>
          <w:marTop w:val="0"/>
          <w:marBottom w:val="0"/>
          <w:divBdr>
            <w:top w:val="none" w:sz="0" w:space="0" w:color="auto"/>
            <w:left w:val="none" w:sz="0" w:space="0" w:color="auto"/>
            <w:bottom w:val="none" w:sz="0" w:space="0" w:color="auto"/>
            <w:right w:val="none" w:sz="0" w:space="0" w:color="auto"/>
          </w:divBdr>
        </w:div>
        <w:div w:id="1134180515">
          <w:marLeft w:val="0"/>
          <w:marRight w:val="0"/>
          <w:marTop w:val="0"/>
          <w:marBottom w:val="0"/>
          <w:divBdr>
            <w:top w:val="none" w:sz="0" w:space="0" w:color="auto"/>
            <w:left w:val="none" w:sz="0" w:space="0" w:color="auto"/>
            <w:bottom w:val="none" w:sz="0" w:space="0" w:color="auto"/>
            <w:right w:val="none" w:sz="0" w:space="0" w:color="auto"/>
          </w:divBdr>
        </w:div>
        <w:div w:id="1567908515">
          <w:marLeft w:val="0"/>
          <w:marRight w:val="0"/>
          <w:marTop w:val="0"/>
          <w:marBottom w:val="0"/>
          <w:divBdr>
            <w:top w:val="none" w:sz="0" w:space="0" w:color="auto"/>
            <w:left w:val="none" w:sz="0" w:space="0" w:color="auto"/>
            <w:bottom w:val="none" w:sz="0" w:space="0" w:color="auto"/>
            <w:right w:val="none" w:sz="0" w:space="0" w:color="auto"/>
          </w:divBdr>
        </w:div>
        <w:div w:id="1659309620">
          <w:marLeft w:val="0"/>
          <w:marRight w:val="0"/>
          <w:marTop w:val="0"/>
          <w:marBottom w:val="0"/>
          <w:divBdr>
            <w:top w:val="none" w:sz="0" w:space="0" w:color="auto"/>
            <w:left w:val="none" w:sz="0" w:space="0" w:color="auto"/>
            <w:bottom w:val="none" w:sz="0" w:space="0" w:color="auto"/>
            <w:right w:val="none" w:sz="0" w:space="0" w:color="auto"/>
          </w:divBdr>
        </w:div>
        <w:div w:id="1855025640">
          <w:marLeft w:val="0"/>
          <w:marRight w:val="0"/>
          <w:marTop w:val="0"/>
          <w:marBottom w:val="0"/>
          <w:divBdr>
            <w:top w:val="none" w:sz="0" w:space="0" w:color="auto"/>
            <w:left w:val="none" w:sz="0" w:space="0" w:color="auto"/>
            <w:bottom w:val="none" w:sz="0" w:space="0" w:color="auto"/>
            <w:right w:val="none" w:sz="0" w:space="0" w:color="auto"/>
          </w:divBdr>
        </w:div>
      </w:divsChild>
    </w:div>
    <w:div w:id="1591159242">
      <w:bodyDiv w:val="1"/>
      <w:marLeft w:val="0"/>
      <w:marRight w:val="0"/>
      <w:marTop w:val="0"/>
      <w:marBottom w:val="0"/>
      <w:divBdr>
        <w:top w:val="none" w:sz="0" w:space="0" w:color="auto"/>
        <w:left w:val="none" w:sz="0" w:space="0" w:color="auto"/>
        <w:bottom w:val="none" w:sz="0" w:space="0" w:color="auto"/>
        <w:right w:val="none" w:sz="0" w:space="0" w:color="auto"/>
      </w:divBdr>
    </w:div>
    <w:div w:id="1599603318">
      <w:bodyDiv w:val="1"/>
      <w:marLeft w:val="0"/>
      <w:marRight w:val="0"/>
      <w:marTop w:val="0"/>
      <w:marBottom w:val="0"/>
      <w:divBdr>
        <w:top w:val="none" w:sz="0" w:space="0" w:color="auto"/>
        <w:left w:val="none" w:sz="0" w:space="0" w:color="auto"/>
        <w:bottom w:val="none" w:sz="0" w:space="0" w:color="auto"/>
        <w:right w:val="none" w:sz="0" w:space="0" w:color="auto"/>
      </w:divBdr>
    </w:div>
    <w:div w:id="1599677979">
      <w:bodyDiv w:val="1"/>
      <w:marLeft w:val="0"/>
      <w:marRight w:val="0"/>
      <w:marTop w:val="0"/>
      <w:marBottom w:val="0"/>
      <w:divBdr>
        <w:top w:val="none" w:sz="0" w:space="0" w:color="auto"/>
        <w:left w:val="none" w:sz="0" w:space="0" w:color="auto"/>
        <w:bottom w:val="none" w:sz="0" w:space="0" w:color="auto"/>
        <w:right w:val="none" w:sz="0" w:space="0" w:color="auto"/>
      </w:divBdr>
      <w:divsChild>
        <w:div w:id="388649505">
          <w:marLeft w:val="0"/>
          <w:marRight w:val="0"/>
          <w:marTop w:val="0"/>
          <w:marBottom w:val="0"/>
          <w:divBdr>
            <w:top w:val="none" w:sz="0" w:space="0" w:color="auto"/>
            <w:left w:val="none" w:sz="0" w:space="0" w:color="auto"/>
            <w:bottom w:val="none" w:sz="0" w:space="0" w:color="auto"/>
            <w:right w:val="none" w:sz="0" w:space="0" w:color="auto"/>
          </w:divBdr>
        </w:div>
        <w:div w:id="1114177610">
          <w:marLeft w:val="0"/>
          <w:marRight w:val="0"/>
          <w:marTop w:val="0"/>
          <w:marBottom w:val="0"/>
          <w:divBdr>
            <w:top w:val="none" w:sz="0" w:space="0" w:color="auto"/>
            <w:left w:val="none" w:sz="0" w:space="0" w:color="auto"/>
            <w:bottom w:val="none" w:sz="0" w:space="0" w:color="auto"/>
            <w:right w:val="none" w:sz="0" w:space="0" w:color="auto"/>
          </w:divBdr>
        </w:div>
        <w:div w:id="1215308915">
          <w:marLeft w:val="0"/>
          <w:marRight w:val="0"/>
          <w:marTop w:val="0"/>
          <w:marBottom w:val="0"/>
          <w:divBdr>
            <w:top w:val="none" w:sz="0" w:space="0" w:color="auto"/>
            <w:left w:val="none" w:sz="0" w:space="0" w:color="auto"/>
            <w:bottom w:val="none" w:sz="0" w:space="0" w:color="auto"/>
            <w:right w:val="none" w:sz="0" w:space="0" w:color="auto"/>
          </w:divBdr>
        </w:div>
        <w:div w:id="1424256944">
          <w:marLeft w:val="0"/>
          <w:marRight w:val="0"/>
          <w:marTop w:val="0"/>
          <w:marBottom w:val="0"/>
          <w:divBdr>
            <w:top w:val="none" w:sz="0" w:space="0" w:color="auto"/>
            <w:left w:val="none" w:sz="0" w:space="0" w:color="auto"/>
            <w:bottom w:val="none" w:sz="0" w:space="0" w:color="auto"/>
            <w:right w:val="none" w:sz="0" w:space="0" w:color="auto"/>
          </w:divBdr>
        </w:div>
        <w:div w:id="1569222247">
          <w:marLeft w:val="0"/>
          <w:marRight w:val="0"/>
          <w:marTop w:val="0"/>
          <w:marBottom w:val="0"/>
          <w:divBdr>
            <w:top w:val="none" w:sz="0" w:space="0" w:color="auto"/>
            <w:left w:val="none" w:sz="0" w:space="0" w:color="auto"/>
            <w:bottom w:val="none" w:sz="0" w:space="0" w:color="auto"/>
            <w:right w:val="none" w:sz="0" w:space="0" w:color="auto"/>
          </w:divBdr>
        </w:div>
        <w:div w:id="1607928166">
          <w:marLeft w:val="0"/>
          <w:marRight w:val="0"/>
          <w:marTop w:val="0"/>
          <w:marBottom w:val="0"/>
          <w:divBdr>
            <w:top w:val="none" w:sz="0" w:space="0" w:color="auto"/>
            <w:left w:val="none" w:sz="0" w:space="0" w:color="auto"/>
            <w:bottom w:val="none" w:sz="0" w:space="0" w:color="auto"/>
            <w:right w:val="none" w:sz="0" w:space="0" w:color="auto"/>
          </w:divBdr>
        </w:div>
        <w:div w:id="1640456585">
          <w:marLeft w:val="0"/>
          <w:marRight w:val="0"/>
          <w:marTop w:val="0"/>
          <w:marBottom w:val="0"/>
          <w:divBdr>
            <w:top w:val="none" w:sz="0" w:space="0" w:color="auto"/>
            <w:left w:val="none" w:sz="0" w:space="0" w:color="auto"/>
            <w:bottom w:val="none" w:sz="0" w:space="0" w:color="auto"/>
            <w:right w:val="none" w:sz="0" w:space="0" w:color="auto"/>
          </w:divBdr>
        </w:div>
      </w:divsChild>
    </w:div>
    <w:div w:id="1610813961">
      <w:bodyDiv w:val="1"/>
      <w:marLeft w:val="0"/>
      <w:marRight w:val="0"/>
      <w:marTop w:val="0"/>
      <w:marBottom w:val="0"/>
      <w:divBdr>
        <w:top w:val="none" w:sz="0" w:space="0" w:color="auto"/>
        <w:left w:val="none" w:sz="0" w:space="0" w:color="auto"/>
        <w:bottom w:val="none" w:sz="0" w:space="0" w:color="auto"/>
        <w:right w:val="none" w:sz="0" w:space="0" w:color="auto"/>
      </w:divBdr>
    </w:div>
    <w:div w:id="1631403181">
      <w:bodyDiv w:val="1"/>
      <w:marLeft w:val="0"/>
      <w:marRight w:val="0"/>
      <w:marTop w:val="0"/>
      <w:marBottom w:val="0"/>
      <w:divBdr>
        <w:top w:val="none" w:sz="0" w:space="0" w:color="auto"/>
        <w:left w:val="none" w:sz="0" w:space="0" w:color="auto"/>
        <w:bottom w:val="none" w:sz="0" w:space="0" w:color="auto"/>
        <w:right w:val="none" w:sz="0" w:space="0" w:color="auto"/>
      </w:divBdr>
    </w:div>
    <w:div w:id="1635673911">
      <w:bodyDiv w:val="1"/>
      <w:marLeft w:val="0"/>
      <w:marRight w:val="0"/>
      <w:marTop w:val="0"/>
      <w:marBottom w:val="0"/>
      <w:divBdr>
        <w:top w:val="none" w:sz="0" w:space="0" w:color="auto"/>
        <w:left w:val="none" w:sz="0" w:space="0" w:color="auto"/>
        <w:bottom w:val="none" w:sz="0" w:space="0" w:color="auto"/>
        <w:right w:val="none" w:sz="0" w:space="0" w:color="auto"/>
      </w:divBdr>
    </w:div>
    <w:div w:id="1640837815">
      <w:bodyDiv w:val="1"/>
      <w:marLeft w:val="0"/>
      <w:marRight w:val="0"/>
      <w:marTop w:val="0"/>
      <w:marBottom w:val="0"/>
      <w:divBdr>
        <w:top w:val="none" w:sz="0" w:space="0" w:color="auto"/>
        <w:left w:val="none" w:sz="0" w:space="0" w:color="auto"/>
        <w:bottom w:val="none" w:sz="0" w:space="0" w:color="auto"/>
        <w:right w:val="none" w:sz="0" w:space="0" w:color="auto"/>
      </w:divBdr>
    </w:div>
    <w:div w:id="1689018018">
      <w:bodyDiv w:val="1"/>
      <w:marLeft w:val="0"/>
      <w:marRight w:val="0"/>
      <w:marTop w:val="0"/>
      <w:marBottom w:val="0"/>
      <w:divBdr>
        <w:top w:val="none" w:sz="0" w:space="0" w:color="auto"/>
        <w:left w:val="none" w:sz="0" w:space="0" w:color="auto"/>
        <w:bottom w:val="none" w:sz="0" w:space="0" w:color="auto"/>
        <w:right w:val="none" w:sz="0" w:space="0" w:color="auto"/>
      </w:divBdr>
    </w:div>
    <w:div w:id="1701664221">
      <w:bodyDiv w:val="1"/>
      <w:marLeft w:val="0"/>
      <w:marRight w:val="0"/>
      <w:marTop w:val="0"/>
      <w:marBottom w:val="0"/>
      <w:divBdr>
        <w:top w:val="none" w:sz="0" w:space="0" w:color="auto"/>
        <w:left w:val="none" w:sz="0" w:space="0" w:color="auto"/>
        <w:bottom w:val="none" w:sz="0" w:space="0" w:color="auto"/>
        <w:right w:val="none" w:sz="0" w:space="0" w:color="auto"/>
      </w:divBdr>
    </w:div>
    <w:div w:id="1701783804">
      <w:bodyDiv w:val="1"/>
      <w:marLeft w:val="0"/>
      <w:marRight w:val="0"/>
      <w:marTop w:val="0"/>
      <w:marBottom w:val="0"/>
      <w:divBdr>
        <w:top w:val="none" w:sz="0" w:space="0" w:color="auto"/>
        <w:left w:val="none" w:sz="0" w:space="0" w:color="auto"/>
        <w:bottom w:val="none" w:sz="0" w:space="0" w:color="auto"/>
        <w:right w:val="none" w:sz="0" w:space="0" w:color="auto"/>
      </w:divBdr>
    </w:div>
    <w:div w:id="1705666594">
      <w:bodyDiv w:val="1"/>
      <w:marLeft w:val="0"/>
      <w:marRight w:val="0"/>
      <w:marTop w:val="0"/>
      <w:marBottom w:val="0"/>
      <w:divBdr>
        <w:top w:val="none" w:sz="0" w:space="0" w:color="auto"/>
        <w:left w:val="none" w:sz="0" w:space="0" w:color="auto"/>
        <w:bottom w:val="none" w:sz="0" w:space="0" w:color="auto"/>
        <w:right w:val="none" w:sz="0" w:space="0" w:color="auto"/>
      </w:divBdr>
      <w:divsChild>
        <w:div w:id="1305232137">
          <w:marLeft w:val="0"/>
          <w:marRight w:val="0"/>
          <w:marTop w:val="0"/>
          <w:marBottom w:val="0"/>
          <w:divBdr>
            <w:top w:val="none" w:sz="0" w:space="0" w:color="auto"/>
            <w:left w:val="none" w:sz="0" w:space="0" w:color="auto"/>
            <w:bottom w:val="none" w:sz="0" w:space="0" w:color="auto"/>
            <w:right w:val="none" w:sz="0" w:space="0" w:color="auto"/>
          </w:divBdr>
        </w:div>
        <w:div w:id="1372267595">
          <w:marLeft w:val="0"/>
          <w:marRight w:val="0"/>
          <w:marTop w:val="0"/>
          <w:marBottom w:val="0"/>
          <w:divBdr>
            <w:top w:val="none" w:sz="0" w:space="0" w:color="auto"/>
            <w:left w:val="none" w:sz="0" w:space="0" w:color="auto"/>
            <w:bottom w:val="none" w:sz="0" w:space="0" w:color="auto"/>
            <w:right w:val="none" w:sz="0" w:space="0" w:color="auto"/>
          </w:divBdr>
        </w:div>
        <w:div w:id="1547719218">
          <w:marLeft w:val="0"/>
          <w:marRight w:val="0"/>
          <w:marTop w:val="0"/>
          <w:marBottom w:val="0"/>
          <w:divBdr>
            <w:top w:val="none" w:sz="0" w:space="0" w:color="auto"/>
            <w:left w:val="none" w:sz="0" w:space="0" w:color="auto"/>
            <w:bottom w:val="none" w:sz="0" w:space="0" w:color="auto"/>
            <w:right w:val="none" w:sz="0" w:space="0" w:color="auto"/>
          </w:divBdr>
        </w:div>
        <w:div w:id="2013146248">
          <w:marLeft w:val="0"/>
          <w:marRight w:val="0"/>
          <w:marTop w:val="0"/>
          <w:marBottom w:val="0"/>
          <w:divBdr>
            <w:top w:val="none" w:sz="0" w:space="0" w:color="auto"/>
            <w:left w:val="none" w:sz="0" w:space="0" w:color="auto"/>
            <w:bottom w:val="none" w:sz="0" w:space="0" w:color="auto"/>
            <w:right w:val="none" w:sz="0" w:space="0" w:color="auto"/>
          </w:divBdr>
        </w:div>
      </w:divsChild>
    </w:div>
    <w:div w:id="1713773714">
      <w:bodyDiv w:val="1"/>
      <w:marLeft w:val="0"/>
      <w:marRight w:val="0"/>
      <w:marTop w:val="0"/>
      <w:marBottom w:val="0"/>
      <w:divBdr>
        <w:top w:val="none" w:sz="0" w:space="0" w:color="auto"/>
        <w:left w:val="none" w:sz="0" w:space="0" w:color="auto"/>
        <w:bottom w:val="none" w:sz="0" w:space="0" w:color="auto"/>
        <w:right w:val="none" w:sz="0" w:space="0" w:color="auto"/>
      </w:divBdr>
    </w:div>
    <w:div w:id="1742094835">
      <w:bodyDiv w:val="1"/>
      <w:marLeft w:val="0"/>
      <w:marRight w:val="0"/>
      <w:marTop w:val="0"/>
      <w:marBottom w:val="0"/>
      <w:divBdr>
        <w:top w:val="none" w:sz="0" w:space="0" w:color="auto"/>
        <w:left w:val="none" w:sz="0" w:space="0" w:color="auto"/>
        <w:bottom w:val="none" w:sz="0" w:space="0" w:color="auto"/>
        <w:right w:val="none" w:sz="0" w:space="0" w:color="auto"/>
      </w:divBdr>
    </w:div>
    <w:div w:id="1758139208">
      <w:bodyDiv w:val="1"/>
      <w:marLeft w:val="0"/>
      <w:marRight w:val="0"/>
      <w:marTop w:val="0"/>
      <w:marBottom w:val="0"/>
      <w:divBdr>
        <w:top w:val="none" w:sz="0" w:space="0" w:color="auto"/>
        <w:left w:val="none" w:sz="0" w:space="0" w:color="auto"/>
        <w:bottom w:val="none" w:sz="0" w:space="0" w:color="auto"/>
        <w:right w:val="none" w:sz="0" w:space="0" w:color="auto"/>
      </w:divBdr>
      <w:divsChild>
        <w:div w:id="672877952">
          <w:marLeft w:val="0"/>
          <w:marRight w:val="0"/>
          <w:marTop w:val="0"/>
          <w:marBottom w:val="0"/>
          <w:divBdr>
            <w:top w:val="none" w:sz="0" w:space="0" w:color="auto"/>
            <w:left w:val="none" w:sz="0" w:space="0" w:color="auto"/>
            <w:bottom w:val="none" w:sz="0" w:space="0" w:color="auto"/>
            <w:right w:val="none" w:sz="0" w:space="0" w:color="auto"/>
          </w:divBdr>
        </w:div>
        <w:div w:id="845242233">
          <w:marLeft w:val="0"/>
          <w:marRight w:val="0"/>
          <w:marTop w:val="0"/>
          <w:marBottom w:val="0"/>
          <w:divBdr>
            <w:top w:val="none" w:sz="0" w:space="0" w:color="auto"/>
            <w:left w:val="none" w:sz="0" w:space="0" w:color="auto"/>
            <w:bottom w:val="none" w:sz="0" w:space="0" w:color="auto"/>
            <w:right w:val="none" w:sz="0" w:space="0" w:color="auto"/>
          </w:divBdr>
        </w:div>
        <w:div w:id="1220291443">
          <w:marLeft w:val="0"/>
          <w:marRight w:val="0"/>
          <w:marTop w:val="0"/>
          <w:marBottom w:val="0"/>
          <w:divBdr>
            <w:top w:val="none" w:sz="0" w:space="0" w:color="auto"/>
            <w:left w:val="none" w:sz="0" w:space="0" w:color="auto"/>
            <w:bottom w:val="none" w:sz="0" w:space="0" w:color="auto"/>
            <w:right w:val="none" w:sz="0" w:space="0" w:color="auto"/>
          </w:divBdr>
        </w:div>
        <w:div w:id="1282802675">
          <w:marLeft w:val="0"/>
          <w:marRight w:val="0"/>
          <w:marTop w:val="0"/>
          <w:marBottom w:val="0"/>
          <w:divBdr>
            <w:top w:val="none" w:sz="0" w:space="0" w:color="auto"/>
            <w:left w:val="none" w:sz="0" w:space="0" w:color="auto"/>
            <w:bottom w:val="none" w:sz="0" w:space="0" w:color="auto"/>
            <w:right w:val="none" w:sz="0" w:space="0" w:color="auto"/>
          </w:divBdr>
        </w:div>
        <w:div w:id="1693844359">
          <w:marLeft w:val="0"/>
          <w:marRight w:val="0"/>
          <w:marTop w:val="0"/>
          <w:marBottom w:val="0"/>
          <w:divBdr>
            <w:top w:val="none" w:sz="0" w:space="0" w:color="auto"/>
            <w:left w:val="none" w:sz="0" w:space="0" w:color="auto"/>
            <w:bottom w:val="none" w:sz="0" w:space="0" w:color="auto"/>
            <w:right w:val="none" w:sz="0" w:space="0" w:color="auto"/>
          </w:divBdr>
        </w:div>
      </w:divsChild>
    </w:div>
    <w:div w:id="1764884845">
      <w:bodyDiv w:val="1"/>
      <w:marLeft w:val="0"/>
      <w:marRight w:val="0"/>
      <w:marTop w:val="0"/>
      <w:marBottom w:val="0"/>
      <w:divBdr>
        <w:top w:val="none" w:sz="0" w:space="0" w:color="auto"/>
        <w:left w:val="none" w:sz="0" w:space="0" w:color="auto"/>
        <w:bottom w:val="none" w:sz="0" w:space="0" w:color="auto"/>
        <w:right w:val="none" w:sz="0" w:space="0" w:color="auto"/>
      </w:divBdr>
      <w:divsChild>
        <w:div w:id="350449087">
          <w:marLeft w:val="0"/>
          <w:marRight w:val="0"/>
          <w:marTop w:val="0"/>
          <w:marBottom w:val="0"/>
          <w:divBdr>
            <w:top w:val="none" w:sz="0" w:space="0" w:color="auto"/>
            <w:left w:val="none" w:sz="0" w:space="0" w:color="auto"/>
            <w:bottom w:val="none" w:sz="0" w:space="0" w:color="auto"/>
            <w:right w:val="none" w:sz="0" w:space="0" w:color="auto"/>
          </w:divBdr>
        </w:div>
        <w:div w:id="959455267">
          <w:marLeft w:val="0"/>
          <w:marRight w:val="0"/>
          <w:marTop w:val="0"/>
          <w:marBottom w:val="0"/>
          <w:divBdr>
            <w:top w:val="none" w:sz="0" w:space="0" w:color="auto"/>
            <w:left w:val="none" w:sz="0" w:space="0" w:color="auto"/>
            <w:bottom w:val="none" w:sz="0" w:space="0" w:color="auto"/>
            <w:right w:val="none" w:sz="0" w:space="0" w:color="auto"/>
          </w:divBdr>
        </w:div>
        <w:div w:id="1693994607">
          <w:marLeft w:val="0"/>
          <w:marRight w:val="0"/>
          <w:marTop w:val="0"/>
          <w:marBottom w:val="0"/>
          <w:divBdr>
            <w:top w:val="none" w:sz="0" w:space="0" w:color="auto"/>
            <w:left w:val="none" w:sz="0" w:space="0" w:color="auto"/>
            <w:bottom w:val="none" w:sz="0" w:space="0" w:color="auto"/>
            <w:right w:val="none" w:sz="0" w:space="0" w:color="auto"/>
          </w:divBdr>
        </w:div>
      </w:divsChild>
    </w:div>
    <w:div w:id="1777095785">
      <w:bodyDiv w:val="1"/>
      <w:marLeft w:val="0"/>
      <w:marRight w:val="0"/>
      <w:marTop w:val="0"/>
      <w:marBottom w:val="0"/>
      <w:divBdr>
        <w:top w:val="none" w:sz="0" w:space="0" w:color="auto"/>
        <w:left w:val="none" w:sz="0" w:space="0" w:color="auto"/>
        <w:bottom w:val="none" w:sz="0" w:space="0" w:color="auto"/>
        <w:right w:val="none" w:sz="0" w:space="0" w:color="auto"/>
      </w:divBdr>
    </w:div>
    <w:div w:id="1792094489">
      <w:bodyDiv w:val="1"/>
      <w:marLeft w:val="0"/>
      <w:marRight w:val="0"/>
      <w:marTop w:val="0"/>
      <w:marBottom w:val="0"/>
      <w:divBdr>
        <w:top w:val="none" w:sz="0" w:space="0" w:color="auto"/>
        <w:left w:val="none" w:sz="0" w:space="0" w:color="auto"/>
        <w:bottom w:val="none" w:sz="0" w:space="0" w:color="auto"/>
        <w:right w:val="none" w:sz="0" w:space="0" w:color="auto"/>
      </w:divBdr>
    </w:div>
    <w:div w:id="1804539977">
      <w:bodyDiv w:val="1"/>
      <w:marLeft w:val="0"/>
      <w:marRight w:val="0"/>
      <w:marTop w:val="0"/>
      <w:marBottom w:val="0"/>
      <w:divBdr>
        <w:top w:val="none" w:sz="0" w:space="0" w:color="auto"/>
        <w:left w:val="none" w:sz="0" w:space="0" w:color="auto"/>
        <w:bottom w:val="none" w:sz="0" w:space="0" w:color="auto"/>
        <w:right w:val="none" w:sz="0" w:space="0" w:color="auto"/>
      </w:divBdr>
      <w:divsChild>
        <w:div w:id="30569319">
          <w:marLeft w:val="0"/>
          <w:marRight w:val="0"/>
          <w:marTop w:val="0"/>
          <w:marBottom w:val="0"/>
          <w:divBdr>
            <w:top w:val="none" w:sz="0" w:space="0" w:color="auto"/>
            <w:left w:val="none" w:sz="0" w:space="0" w:color="auto"/>
            <w:bottom w:val="none" w:sz="0" w:space="0" w:color="auto"/>
            <w:right w:val="none" w:sz="0" w:space="0" w:color="auto"/>
          </w:divBdr>
        </w:div>
        <w:div w:id="83693634">
          <w:marLeft w:val="0"/>
          <w:marRight w:val="0"/>
          <w:marTop w:val="0"/>
          <w:marBottom w:val="0"/>
          <w:divBdr>
            <w:top w:val="none" w:sz="0" w:space="0" w:color="auto"/>
            <w:left w:val="none" w:sz="0" w:space="0" w:color="auto"/>
            <w:bottom w:val="none" w:sz="0" w:space="0" w:color="auto"/>
            <w:right w:val="none" w:sz="0" w:space="0" w:color="auto"/>
          </w:divBdr>
        </w:div>
        <w:div w:id="1219174175">
          <w:marLeft w:val="0"/>
          <w:marRight w:val="0"/>
          <w:marTop w:val="0"/>
          <w:marBottom w:val="0"/>
          <w:divBdr>
            <w:top w:val="none" w:sz="0" w:space="0" w:color="auto"/>
            <w:left w:val="none" w:sz="0" w:space="0" w:color="auto"/>
            <w:bottom w:val="none" w:sz="0" w:space="0" w:color="auto"/>
            <w:right w:val="none" w:sz="0" w:space="0" w:color="auto"/>
          </w:divBdr>
        </w:div>
      </w:divsChild>
    </w:div>
    <w:div w:id="1857694730">
      <w:bodyDiv w:val="1"/>
      <w:marLeft w:val="0"/>
      <w:marRight w:val="0"/>
      <w:marTop w:val="0"/>
      <w:marBottom w:val="0"/>
      <w:divBdr>
        <w:top w:val="none" w:sz="0" w:space="0" w:color="auto"/>
        <w:left w:val="none" w:sz="0" w:space="0" w:color="auto"/>
        <w:bottom w:val="none" w:sz="0" w:space="0" w:color="auto"/>
        <w:right w:val="none" w:sz="0" w:space="0" w:color="auto"/>
      </w:divBdr>
    </w:div>
    <w:div w:id="1860896030">
      <w:bodyDiv w:val="1"/>
      <w:marLeft w:val="0"/>
      <w:marRight w:val="0"/>
      <w:marTop w:val="0"/>
      <w:marBottom w:val="0"/>
      <w:divBdr>
        <w:top w:val="none" w:sz="0" w:space="0" w:color="auto"/>
        <w:left w:val="none" w:sz="0" w:space="0" w:color="auto"/>
        <w:bottom w:val="none" w:sz="0" w:space="0" w:color="auto"/>
        <w:right w:val="none" w:sz="0" w:space="0" w:color="auto"/>
      </w:divBdr>
    </w:div>
    <w:div w:id="1863786804">
      <w:bodyDiv w:val="1"/>
      <w:marLeft w:val="0"/>
      <w:marRight w:val="0"/>
      <w:marTop w:val="0"/>
      <w:marBottom w:val="0"/>
      <w:divBdr>
        <w:top w:val="none" w:sz="0" w:space="0" w:color="auto"/>
        <w:left w:val="none" w:sz="0" w:space="0" w:color="auto"/>
        <w:bottom w:val="none" w:sz="0" w:space="0" w:color="auto"/>
        <w:right w:val="none" w:sz="0" w:space="0" w:color="auto"/>
      </w:divBdr>
    </w:div>
    <w:div w:id="1865482922">
      <w:bodyDiv w:val="1"/>
      <w:marLeft w:val="0"/>
      <w:marRight w:val="0"/>
      <w:marTop w:val="0"/>
      <w:marBottom w:val="0"/>
      <w:divBdr>
        <w:top w:val="none" w:sz="0" w:space="0" w:color="auto"/>
        <w:left w:val="none" w:sz="0" w:space="0" w:color="auto"/>
        <w:bottom w:val="none" w:sz="0" w:space="0" w:color="auto"/>
        <w:right w:val="none" w:sz="0" w:space="0" w:color="auto"/>
      </w:divBdr>
    </w:div>
    <w:div w:id="1875924452">
      <w:bodyDiv w:val="1"/>
      <w:marLeft w:val="0"/>
      <w:marRight w:val="0"/>
      <w:marTop w:val="0"/>
      <w:marBottom w:val="0"/>
      <w:divBdr>
        <w:top w:val="none" w:sz="0" w:space="0" w:color="auto"/>
        <w:left w:val="none" w:sz="0" w:space="0" w:color="auto"/>
        <w:bottom w:val="none" w:sz="0" w:space="0" w:color="auto"/>
        <w:right w:val="none" w:sz="0" w:space="0" w:color="auto"/>
      </w:divBdr>
    </w:div>
    <w:div w:id="1921017614">
      <w:bodyDiv w:val="1"/>
      <w:marLeft w:val="0"/>
      <w:marRight w:val="0"/>
      <w:marTop w:val="0"/>
      <w:marBottom w:val="0"/>
      <w:divBdr>
        <w:top w:val="none" w:sz="0" w:space="0" w:color="auto"/>
        <w:left w:val="none" w:sz="0" w:space="0" w:color="auto"/>
        <w:bottom w:val="none" w:sz="0" w:space="0" w:color="auto"/>
        <w:right w:val="none" w:sz="0" w:space="0" w:color="auto"/>
      </w:divBdr>
      <w:divsChild>
        <w:div w:id="731271081">
          <w:marLeft w:val="0"/>
          <w:marRight w:val="0"/>
          <w:marTop w:val="0"/>
          <w:marBottom w:val="0"/>
          <w:divBdr>
            <w:top w:val="none" w:sz="0" w:space="0" w:color="auto"/>
            <w:left w:val="none" w:sz="0" w:space="0" w:color="auto"/>
            <w:bottom w:val="none" w:sz="0" w:space="0" w:color="auto"/>
            <w:right w:val="none" w:sz="0" w:space="0" w:color="auto"/>
          </w:divBdr>
        </w:div>
        <w:div w:id="878512091">
          <w:marLeft w:val="0"/>
          <w:marRight w:val="0"/>
          <w:marTop w:val="0"/>
          <w:marBottom w:val="0"/>
          <w:divBdr>
            <w:top w:val="none" w:sz="0" w:space="0" w:color="auto"/>
            <w:left w:val="none" w:sz="0" w:space="0" w:color="auto"/>
            <w:bottom w:val="none" w:sz="0" w:space="0" w:color="auto"/>
            <w:right w:val="none" w:sz="0" w:space="0" w:color="auto"/>
          </w:divBdr>
        </w:div>
        <w:div w:id="1750272202">
          <w:marLeft w:val="0"/>
          <w:marRight w:val="0"/>
          <w:marTop w:val="0"/>
          <w:marBottom w:val="0"/>
          <w:divBdr>
            <w:top w:val="none" w:sz="0" w:space="0" w:color="auto"/>
            <w:left w:val="none" w:sz="0" w:space="0" w:color="auto"/>
            <w:bottom w:val="none" w:sz="0" w:space="0" w:color="auto"/>
            <w:right w:val="none" w:sz="0" w:space="0" w:color="auto"/>
          </w:divBdr>
        </w:div>
      </w:divsChild>
    </w:div>
    <w:div w:id="1931425903">
      <w:bodyDiv w:val="1"/>
      <w:marLeft w:val="0"/>
      <w:marRight w:val="0"/>
      <w:marTop w:val="0"/>
      <w:marBottom w:val="0"/>
      <w:divBdr>
        <w:top w:val="none" w:sz="0" w:space="0" w:color="auto"/>
        <w:left w:val="none" w:sz="0" w:space="0" w:color="auto"/>
        <w:bottom w:val="none" w:sz="0" w:space="0" w:color="auto"/>
        <w:right w:val="none" w:sz="0" w:space="0" w:color="auto"/>
      </w:divBdr>
    </w:div>
    <w:div w:id="1933322372">
      <w:bodyDiv w:val="1"/>
      <w:marLeft w:val="0"/>
      <w:marRight w:val="0"/>
      <w:marTop w:val="0"/>
      <w:marBottom w:val="0"/>
      <w:divBdr>
        <w:top w:val="none" w:sz="0" w:space="0" w:color="auto"/>
        <w:left w:val="none" w:sz="0" w:space="0" w:color="auto"/>
        <w:bottom w:val="none" w:sz="0" w:space="0" w:color="auto"/>
        <w:right w:val="none" w:sz="0" w:space="0" w:color="auto"/>
      </w:divBdr>
      <w:divsChild>
        <w:div w:id="55015167">
          <w:marLeft w:val="0"/>
          <w:marRight w:val="0"/>
          <w:marTop w:val="0"/>
          <w:marBottom w:val="0"/>
          <w:divBdr>
            <w:top w:val="none" w:sz="0" w:space="0" w:color="auto"/>
            <w:left w:val="none" w:sz="0" w:space="0" w:color="auto"/>
            <w:bottom w:val="none" w:sz="0" w:space="0" w:color="auto"/>
            <w:right w:val="none" w:sz="0" w:space="0" w:color="auto"/>
          </w:divBdr>
        </w:div>
        <w:div w:id="579024172">
          <w:marLeft w:val="0"/>
          <w:marRight w:val="0"/>
          <w:marTop w:val="0"/>
          <w:marBottom w:val="0"/>
          <w:divBdr>
            <w:top w:val="none" w:sz="0" w:space="0" w:color="auto"/>
            <w:left w:val="none" w:sz="0" w:space="0" w:color="auto"/>
            <w:bottom w:val="none" w:sz="0" w:space="0" w:color="auto"/>
            <w:right w:val="none" w:sz="0" w:space="0" w:color="auto"/>
          </w:divBdr>
        </w:div>
        <w:div w:id="1983347800">
          <w:marLeft w:val="0"/>
          <w:marRight w:val="0"/>
          <w:marTop w:val="0"/>
          <w:marBottom w:val="0"/>
          <w:divBdr>
            <w:top w:val="none" w:sz="0" w:space="0" w:color="auto"/>
            <w:left w:val="none" w:sz="0" w:space="0" w:color="auto"/>
            <w:bottom w:val="none" w:sz="0" w:space="0" w:color="auto"/>
            <w:right w:val="none" w:sz="0" w:space="0" w:color="auto"/>
          </w:divBdr>
        </w:div>
      </w:divsChild>
    </w:div>
    <w:div w:id="1941333089">
      <w:bodyDiv w:val="1"/>
      <w:marLeft w:val="0"/>
      <w:marRight w:val="0"/>
      <w:marTop w:val="0"/>
      <w:marBottom w:val="0"/>
      <w:divBdr>
        <w:top w:val="none" w:sz="0" w:space="0" w:color="auto"/>
        <w:left w:val="none" w:sz="0" w:space="0" w:color="auto"/>
        <w:bottom w:val="none" w:sz="0" w:space="0" w:color="auto"/>
        <w:right w:val="none" w:sz="0" w:space="0" w:color="auto"/>
      </w:divBdr>
    </w:div>
    <w:div w:id="1960258872">
      <w:bodyDiv w:val="1"/>
      <w:marLeft w:val="0"/>
      <w:marRight w:val="0"/>
      <w:marTop w:val="0"/>
      <w:marBottom w:val="0"/>
      <w:divBdr>
        <w:top w:val="none" w:sz="0" w:space="0" w:color="auto"/>
        <w:left w:val="none" w:sz="0" w:space="0" w:color="auto"/>
        <w:bottom w:val="none" w:sz="0" w:space="0" w:color="auto"/>
        <w:right w:val="none" w:sz="0" w:space="0" w:color="auto"/>
      </w:divBdr>
      <w:divsChild>
        <w:div w:id="31082147">
          <w:marLeft w:val="0"/>
          <w:marRight w:val="0"/>
          <w:marTop w:val="0"/>
          <w:marBottom w:val="0"/>
          <w:divBdr>
            <w:top w:val="none" w:sz="0" w:space="0" w:color="auto"/>
            <w:left w:val="none" w:sz="0" w:space="0" w:color="auto"/>
            <w:bottom w:val="none" w:sz="0" w:space="0" w:color="auto"/>
            <w:right w:val="none" w:sz="0" w:space="0" w:color="auto"/>
          </w:divBdr>
        </w:div>
        <w:div w:id="357119795">
          <w:marLeft w:val="0"/>
          <w:marRight w:val="0"/>
          <w:marTop w:val="0"/>
          <w:marBottom w:val="0"/>
          <w:divBdr>
            <w:top w:val="none" w:sz="0" w:space="0" w:color="auto"/>
            <w:left w:val="none" w:sz="0" w:space="0" w:color="auto"/>
            <w:bottom w:val="none" w:sz="0" w:space="0" w:color="auto"/>
            <w:right w:val="none" w:sz="0" w:space="0" w:color="auto"/>
          </w:divBdr>
        </w:div>
        <w:div w:id="1172911823">
          <w:marLeft w:val="0"/>
          <w:marRight w:val="0"/>
          <w:marTop w:val="0"/>
          <w:marBottom w:val="0"/>
          <w:divBdr>
            <w:top w:val="none" w:sz="0" w:space="0" w:color="auto"/>
            <w:left w:val="none" w:sz="0" w:space="0" w:color="auto"/>
            <w:bottom w:val="none" w:sz="0" w:space="0" w:color="auto"/>
            <w:right w:val="none" w:sz="0" w:space="0" w:color="auto"/>
          </w:divBdr>
        </w:div>
        <w:div w:id="1174878534">
          <w:marLeft w:val="0"/>
          <w:marRight w:val="0"/>
          <w:marTop w:val="0"/>
          <w:marBottom w:val="0"/>
          <w:divBdr>
            <w:top w:val="none" w:sz="0" w:space="0" w:color="auto"/>
            <w:left w:val="none" w:sz="0" w:space="0" w:color="auto"/>
            <w:bottom w:val="none" w:sz="0" w:space="0" w:color="auto"/>
            <w:right w:val="none" w:sz="0" w:space="0" w:color="auto"/>
          </w:divBdr>
        </w:div>
        <w:div w:id="1299803017">
          <w:marLeft w:val="0"/>
          <w:marRight w:val="0"/>
          <w:marTop w:val="0"/>
          <w:marBottom w:val="0"/>
          <w:divBdr>
            <w:top w:val="none" w:sz="0" w:space="0" w:color="auto"/>
            <w:left w:val="none" w:sz="0" w:space="0" w:color="auto"/>
            <w:bottom w:val="none" w:sz="0" w:space="0" w:color="auto"/>
            <w:right w:val="none" w:sz="0" w:space="0" w:color="auto"/>
          </w:divBdr>
        </w:div>
      </w:divsChild>
    </w:div>
    <w:div w:id="1963883510">
      <w:bodyDiv w:val="1"/>
      <w:marLeft w:val="0"/>
      <w:marRight w:val="0"/>
      <w:marTop w:val="0"/>
      <w:marBottom w:val="0"/>
      <w:divBdr>
        <w:top w:val="none" w:sz="0" w:space="0" w:color="auto"/>
        <w:left w:val="none" w:sz="0" w:space="0" w:color="auto"/>
        <w:bottom w:val="none" w:sz="0" w:space="0" w:color="auto"/>
        <w:right w:val="none" w:sz="0" w:space="0" w:color="auto"/>
      </w:divBdr>
    </w:div>
    <w:div w:id="1974366615">
      <w:bodyDiv w:val="1"/>
      <w:marLeft w:val="0"/>
      <w:marRight w:val="0"/>
      <w:marTop w:val="0"/>
      <w:marBottom w:val="0"/>
      <w:divBdr>
        <w:top w:val="none" w:sz="0" w:space="0" w:color="auto"/>
        <w:left w:val="none" w:sz="0" w:space="0" w:color="auto"/>
        <w:bottom w:val="none" w:sz="0" w:space="0" w:color="auto"/>
        <w:right w:val="none" w:sz="0" w:space="0" w:color="auto"/>
      </w:divBdr>
    </w:div>
    <w:div w:id="1977491945">
      <w:bodyDiv w:val="1"/>
      <w:marLeft w:val="0"/>
      <w:marRight w:val="0"/>
      <w:marTop w:val="0"/>
      <w:marBottom w:val="0"/>
      <w:divBdr>
        <w:top w:val="none" w:sz="0" w:space="0" w:color="auto"/>
        <w:left w:val="none" w:sz="0" w:space="0" w:color="auto"/>
        <w:bottom w:val="none" w:sz="0" w:space="0" w:color="auto"/>
        <w:right w:val="none" w:sz="0" w:space="0" w:color="auto"/>
      </w:divBdr>
      <w:divsChild>
        <w:div w:id="202522472">
          <w:marLeft w:val="0"/>
          <w:marRight w:val="0"/>
          <w:marTop w:val="0"/>
          <w:marBottom w:val="0"/>
          <w:divBdr>
            <w:top w:val="none" w:sz="0" w:space="0" w:color="auto"/>
            <w:left w:val="none" w:sz="0" w:space="0" w:color="auto"/>
            <w:bottom w:val="none" w:sz="0" w:space="0" w:color="auto"/>
            <w:right w:val="none" w:sz="0" w:space="0" w:color="auto"/>
          </w:divBdr>
        </w:div>
        <w:div w:id="294217416">
          <w:marLeft w:val="0"/>
          <w:marRight w:val="0"/>
          <w:marTop w:val="0"/>
          <w:marBottom w:val="0"/>
          <w:divBdr>
            <w:top w:val="none" w:sz="0" w:space="0" w:color="auto"/>
            <w:left w:val="none" w:sz="0" w:space="0" w:color="auto"/>
            <w:bottom w:val="none" w:sz="0" w:space="0" w:color="auto"/>
            <w:right w:val="none" w:sz="0" w:space="0" w:color="auto"/>
          </w:divBdr>
        </w:div>
        <w:div w:id="329481027">
          <w:marLeft w:val="0"/>
          <w:marRight w:val="0"/>
          <w:marTop w:val="0"/>
          <w:marBottom w:val="0"/>
          <w:divBdr>
            <w:top w:val="none" w:sz="0" w:space="0" w:color="auto"/>
            <w:left w:val="none" w:sz="0" w:space="0" w:color="auto"/>
            <w:bottom w:val="none" w:sz="0" w:space="0" w:color="auto"/>
            <w:right w:val="none" w:sz="0" w:space="0" w:color="auto"/>
          </w:divBdr>
        </w:div>
        <w:div w:id="852307992">
          <w:marLeft w:val="0"/>
          <w:marRight w:val="0"/>
          <w:marTop w:val="0"/>
          <w:marBottom w:val="0"/>
          <w:divBdr>
            <w:top w:val="none" w:sz="0" w:space="0" w:color="auto"/>
            <w:left w:val="none" w:sz="0" w:space="0" w:color="auto"/>
            <w:bottom w:val="none" w:sz="0" w:space="0" w:color="auto"/>
            <w:right w:val="none" w:sz="0" w:space="0" w:color="auto"/>
          </w:divBdr>
        </w:div>
      </w:divsChild>
    </w:div>
    <w:div w:id="1984119252">
      <w:bodyDiv w:val="1"/>
      <w:marLeft w:val="0"/>
      <w:marRight w:val="0"/>
      <w:marTop w:val="0"/>
      <w:marBottom w:val="0"/>
      <w:divBdr>
        <w:top w:val="none" w:sz="0" w:space="0" w:color="auto"/>
        <w:left w:val="none" w:sz="0" w:space="0" w:color="auto"/>
        <w:bottom w:val="none" w:sz="0" w:space="0" w:color="auto"/>
        <w:right w:val="none" w:sz="0" w:space="0" w:color="auto"/>
      </w:divBdr>
    </w:div>
    <w:div w:id="1992324431">
      <w:bodyDiv w:val="1"/>
      <w:marLeft w:val="0"/>
      <w:marRight w:val="0"/>
      <w:marTop w:val="0"/>
      <w:marBottom w:val="0"/>
      <w:divBdr>
        <w:top w:val="none" w:sz="0" w:space="0" w:color="auto"/>
        <w:left w:val="none" w:sz="0" w:space="0" w:color="auto"/>
        <w:bottom w:val="none" w:sz="0" w:space="0" w:color="auto"/>
        <w:right w:val="none" w:sz="0" w:space="0" w:color="auto"/>
      </w:divBdr>
    </w:div>
    <w:div w:id="2010407278">
      <w:bodyDiv w:val="1"/>
      <w:marLeft w:val="0"/>
      <w:marRight w:val="0"/>
      <w:marTop w:val="0"/>
      <w:marBottom w:val="0"/>
      <w:divBdr>
        <w:top w:val="none" w:sz="0" w:space="0" w:color="auto"/>
        <w:left w:val="none" w:sz="0" w:space="0" w:color="auto"/>
        <w:bottom w:val="none" w:sz="0" w:space="0" w:color="auto"/>
        <w:right w:val="none" w:sz="0" w:space="0" w:color="auto"/>
      </w:divBdr>
      <w:divsChild>
        <w:div w:id="1431118506">
          <w:marLeft w:val="0"/>
          <w:marRight w:val="0"/>
          <w:marTop w:val="0"/>
          <w:marBottom w:val="0"/>
          <w:divBdr>
            <w:top w:val="none" w:sz="0" w:space="0" w:color="auto"/>
            <w:left w:val="none" w:sz="0" w:space="0" w:color="auto"/>
            <w:bottom w:val="none" w:sz="0" w:space="0" w:color="auto"/>
            <w:right w:val="none" w:sz="0" w:space="0" w:color="auto"/>
          </w:divBdr>
        </w:div>
        <w:div w:id="1847089477">
          <w:marLeft w:val="0"/>
          <w:marRight w:val="0"/>
          <w:marTop w:val="0"/>
          <w:marBottom w:val="0"/>
          <w:divBdr>
            <w:top w:val="none" w:sz="0" w:space="0" w:color="auto"/>
            <w:left w:val="none" w:sz="0" w:space="0" w:color="auto"/>
            <w:bottom w:val="none" w:sz="0" w:space="0" w:color="auto"/>
            <w:right w:val="none" w:sz="0" w:space="0" w:color="auto"/>
          </w:divBdr>
        </w:div>
      </w:divsChild>
    </w:div>
    <w:div w:id="2026249298">
      <w:bodyDiv w:val="1"/>
      <w:marLeft w:val="0"/>
      <w:marRight w:val="0"/>
      <w:marTop w:val="0"/>
      <w:marBottom w:val="0"/>
      <w:divBdr>
        <w:top w:val="none" w:sz="0" w:space="0" w:color="auto"/>
        <w:left w:val="none" w:sz="0" w:space="0" w:color="auto"/>
        <w:bottom w:val="none" w:sz="0" w:space="0" w:color="auto"/>
        <w:right w:val="none" w:sz="0" w:space="0" w:color="auto"/>
      </w:divBdr>
    </w:div>
    <w:div w:id="2035765822">
      <w:bodyDiv w:val="1"/>
      <w:marLeft w:val="0"/>
      <w:marRight w:val="0"/>
      <w:marTop w:val="0"/>
      <w:marBottom w:val="0"/>
      <w:divBdr>
        <w:top w:val="none" w:sz="0" w:space="0" w:color="auto"/>
        <w:left w:val="none" w:sz="0" w:space="0" w:color="auto"/>
        <w:bottom w:val="none" w:sz="0" w:space="0" w:color="auto"/>
        <w:right w:val="none" w:sz="0" w:space="0" w:color="auto"/>
      </w:divBdr>
      <w:divsChild>
        <w:div w:id="29258143">
          <w:marLeft w:val="0"/>
          <w:marRight w:val="0"/>
          <w:marTop w:val="0"/>
          <w:marBottom w:val="0"/>
          <w:divBdr>
            <w:top w:val="none" w:sz="0" w:space="0" w:color="auto"/>
            <w:left w:val="none" w:sz="0" w:space="0" w:color="auto"/>
            <w:bottom w:val="none" w:sz="0" w:space="0" w:color="auto"/>
            <w:right w:val="none" w:sz="0" w:space="0" w:color="auto"/>
          </w:divBdr>
        </w:div>
        <w:div w:id="96029650">
          <w:marLeft w:val="0"/>
          <w:marRight w:val="0"/>
          <w:marTop w:val="0"/>
          <w:marBottom w:val="0"/>
          <w:divBdr>
            <w:top w:val="none" w:sz="0" w:space="0" w:color="auto"/>
            <w:left w:val="none" w:sz="0" w:space="0" w:color="auto"/>
            <w:bottom w:val="none" w:sz="0" w:space="0" w:color="auto"/>
            <w:right w:val="none" w:sz="0" w:space="0" w:color="auto"/>
          </w:divBdr>
        </w:div>
        <w:div w:id="295919392">
          <w:marLeft w:val="0"/>
          <w:marRight w:val="0"/>
          <w:marTop w:val="0"/>
          <w:marBottom w:val="0"/>
          <w:divBdr>
            <w:top w:val="none" w:sz="0" w:space="0" w:color="auto"/>
            <w:left w:val="none" w:sz="0" w:space="0" w:color="auto"/>
            <w:bottom w:val="none" w:sz="0" w:space="0" w:color="auto"/>
            <w:right w:val="none" w:sz="0" w:space="0" w:color="auto"/>
          </w:divBdr>
        </w:div>
        <w:div w:id="305398892">
          <w:marLeft w:val="0"/>
          <w:marRight w:val="0"/>
          <w:marTop w:val="0"/>
          <w:marBottom w:val="0"/>
          <w:divBdr>
            <w:top w:val="none" w:sz="0" w:space="0" w:color="auto"/>
            <w:left w:val="none" w:sz="0" w:space="0" w:color="auto"/>
            <w:bottom w:val="none" w:sz="0" w:space="0" w:color="auto"/>
            <w:right w:val="none" w:sz="0" w:space="0" w:color="auto"/>
          </w:divBdr>
        </w:div>
        <w:div w:id="319776021">
          <w:marLeft w:val="0"/>
          <w:marRight w:val="0"/>
          <w:marTop w:val="0"/>
          <w:marBottom w:val="0"/>
          <w:divBdr>
            <w:top w:val="none" w:sz="0" w:space="0" w:color="auto"/>
            <w:left w:val="none" w:sz="0" w:space="0" w:color="auto"/>
            <w:bottom w:val="none" w:sz="0" w:space="0" w:color="auto"/>
            <w:right w:val="none" w:sz="0" w:space="0" w:color="auto"/>
          </w:divBdr>
        </w:div>
        <w:div w:id="530075681">
          <w:marLeft w:val="0"/>
          <w:marRight w:val="0"/>
          <w:marTop w:val="0"/>
          <w:marBottom w:val="0"/>
          <w:divBdr>
            <w:top w:val="none" w:sz="0" w:space="0" w:color="auto"/>
            <w:left w:val="none" w:sz="0" w:space="0" w:color="auto"/>
            <w:bottom w:val="none" w:sz="0" w:space="0" w:color="auto"/>
            <w:right w:val="none" w:sz="0" w:space="0" w:color="auto"/>
          </w:divBdr>
        </w:div>
        <w:div w:id="998770128">
          <w:marLeft w:val="0"/>
          <w:marRight w:val="0"/>
          <w:marTop w:val="0"/>
          <w:marBottom w:val="0"/>
          <w:divBdr>
            <w:top w:val="none" w:sz="0" w:space="0" w:color="auto"/>
            <w:left w:val="none" w:sz="0" w:space="0" w:color="auto"/>
            <w:bottom w:val="none" w:sz="0" w:space="0" w:color="auto"/>
            <w:right w:val="none" w:sz="0" w:space="0" w:color="auto"/>
          </w:divBdr>
        </w:div>
        <w:div w:id="1125273462">
          <w:marLeft w:val="0"/>
          <w:marRight w:val="0"/>
          <w:marTop w:val="0"/>
          <w:marBottom w:val="0"/>
          <w:divBdr>
            <w:top w:val="none" w:sz="0" w:space="0" w:color="auto"/>
            <w:left w:val="none" w:sz="0" w:space="0" w:color="auto"/>
            <w:bottom w:val="none" w:sz="0" w:space="0" w:color="auto"/>
            <w:right w:val="none" w:sz="0" w:space="0" w:color="auto"/>
          </w:divBdr>
        </w:div>
        <w:div w:id="1734620482">
          <w:marLeft w:val="0"/>
          <w:marRight w:val="0"/>
          <w:marTop w:val="0"/>
          <w:marBottom w:val="0"/>
          <w:divBdr>
            <w:top w:val="none" w:sz="0" w:space="0" w:color="auto"/>
            <w:left w:val="none" w:sz="0" w:space="0" w:color="auto"/>
            <w:bottom w:val="none" w:sz="0" w:space="0" w:color="auto"/>
            <w:right w:val="none" w:sz="0" w:space="0" w:color="auto"/>
          </w:divBdr>
        </w:div>
      </w:divsChild>
    </w:div>
    <w:div w:id="2037342720">
      <w:bodyDiv w:val="1"/>
      <w:marLeft w:val="0"/>
      <w:marRight w:val="0"/>
      <w:marTop w:val="0"/>
      <w:marBottom w:val="0"/>
      <w:divBdr>
        <w:top w:val="none" w:sz="0" w:space="0" w:color="auto"/>
        <w:left w:val="none" w:sz="0" w:space="0" w:color="auto"/>
        <w:bottom w:val="none" w:sz="0" w:space="0" w:color="auto"/>
        <w:right w:val="none" w:sz="0" w:space="0" w:color="auto"/>
      </w:divBdr>
    </w:div>
    <w:div w:id="2038237505">
      <w:bodyDiv w:val="1"/>
      <w:marLeft w:val="0"/>
      <w:marRight w:val="0"/>
      <w:marTop w:val="0"/>
      <w:marBottom w:val="0"/>
      <w:divBdr>
        <w:top w:val="none" w:sz="0" w:space="0" w:color="auto"/>
        <w:left w:val="none" w:sz="0" w:space="0" w:color="auto"/>
        <w:bottom w:val="none" w:sz="0" w:space="0" w:color="auto"/>
        <w:right w:val="none" w:sz="0" w:space="0" w:color="auto"/>
      </w:divBdr>
      <w:divsChild>
        <w:div w:id="724260176">
          <w:marLeft w:val="0"/>
          <w:marRight w:val="0"/>
          <w:marTop w:val="0"/>
          <w:marBottom w:val="0"/>
          <w:divBdr>
            <w:top w:val="none" w:sz="0" w:space="0" w:color="auto"/>
            <w:left w:val="none" w:sz="0" w:space="0" w:color="auto"/>
            <w:bottom w:val="none" w:sz="0" w:space="0" w:color="auto"/>
            <w:right w:val="none" w:sz="0" w:space="0" w:color="auto"/>
          </w:divBdr>
        </w:div>
        <w:div w:id="1825002586">
          <w:marLeft w:val="0"/>
          <w:marRight w:val="0"/>
          <w:marTop w:val="0"/>
          <w:marBottom w:val="0"/>
          <w:divBdr>
            <w:top w:val="none" w:sz="0" w:space="0" w:color="auto"/>
            <w:left w:val="none" w:sz="0" w:space="0" w:color="auto"/>
            <w:bottom w:val="none" w:sz="0" w:space="0" w:color="auto"/>
            <w:right w:val="none" w:sz="0" w:space="0" w:color="auto"/>
          </w:divBdr>
        </w:div>
      </w:divsChild>
    </w:div>
    <w:div w:id="2041930052">
      <w:bodyDiv w:val="1"/>
      <w:marLeft w:val="0"/>
      <w:marRight w:val="0"/>
      <w:marTop w:val="0"/>
      <w:marBottom w:val="0"/>
      <w:divBdr>
        <w:top w:val="none" w:sz="0" w:space="0" w:color="auto"/>
        <w:left w:val="none" w:sz="0" w:space="0" w:color="auto"/>
        <w:bottom w:val="none" w:sz="0" w:space="0" w:color="auto"/>
        <w:right w:val="none" w:sz="0" w:space="0" w:color="auto"/>
      </w:divBdr>
    </w:div>
    <w:div w:id="2053648455">
      <w:bodyDiv w:val="1"/>
      <w:marLeft w:val="0"/>
      <w:marRight w:val="0"/>
      <w:marTop w:val="0"/>
      <w:marBottom w:val="0"/>
      <w:divBdr>
        <w:top w:val="none" w:sz="0" w:space="0" w:color="auto"/>
        <w:left w:val="none" w:sz="0" w:space="0" w:color="auto"/>
        <w:bottom w:val="none" w:sz="0" w:space="0" w:color="auto"/>
        <w:right w:val="none" w:sz="0" w:space="0" w:color="auto"/>
      </w:divBdr>
    </w:div>
    <w:div w:id="2062366035">
      <w:bodyDiv w:val="1"/>
      <w:marLeft w:val="0"/>
      <w:marRight w:val="0"/>
      <w:marTop w:val="0"/>
      <w:marBottom w:val="0"/>
      <w:divBdr>
        <w:top w:val="none" w:sz="0" w:space="0" w:color="auto"/>
        <w:left w:val="none" w:sz="0" w:space="0" w:color="auto"/>
        <w:bottom w:val="none" w:sz="0" w:space="0" w:color="auto"/>
        <w:right w:val="none" w:sz="0" w:space="0" w:color="auto"/>
      </w:divBdr>
      <w:divsChild>
        <w:div w:id="75789368">
          <w:marLeft w:val="0"/>
          <w:marRight w:val="0"/>
          <w:marTop w:val="0"/>
          <w:marBottom w:val="0"/>
          <w:divBdr>
            <w:top w:val="none" w:sz="0" w:space="0" w:color="auto"/>
            <w:left w:val="none" w:sz="0" w:space="0" w:color="auto"/>
            <w:bottom w:val="none" w:sz="0" w:space="0" w:color="auto"/>
            <w:right w:val="none" w:sz="0" w:space="0" w:color="auto"/>
          </w:divBdr>
        </w:div>
        <w:div w:id="296450016">
          <w:marLeft w:val="0"/>
          <w:marRight w:val="0"/>
          <w:marTop w:val="0"/>
          <w:marBottom w:val="0"/>
          <w:divBdr>
            <w:top w:val="none" w:sz="0" w:space="0" w:color="auto"/>
            <w:left w:val="none" w:sz="0" w:space="0" w:color="auto"/>
            <w:bottom w:val="none" w:sz="0" w:space="0" w:color="auto"/>
            <w:right w:val="none" w:sz="0" w:space="0" w:color="auto"/>
          </w:divBdr>
        </w:div>
        <w:div w:id="309553310">
          <w:marLeft w:val="0"/>
          <w:marRight w:val="0"/>
          <w:marTop w:val="0"/>
          <w:marBottom w:val="0"/>
          <w:divBdr>
            <w:top w:val="none" w:sz="0" w:space="0" w:color="auto"/>
            <w:left w:val="none" w:sz="0" w:space="0" w:color="auto"/>
            <w:bottom w:val="none" w:sz="0" w:space="0" w:color="auto"/>
            <w:right w:val="none" w:sz="0" w:space="0" w:color="auto"/>
          </w:divBdr>
        </w:div>
        <w:div w:id="484275036">
          <w:marLeft w:val="0"/>
          <w:marRight w:val="0"/>
          <w:marTop w:val="0"/>
          <w:marBottom w:val="0"/>
          <w:divBdr>
            <w:top w:val="none" w:sz="0" w:space="0" w:color="auto"/>
            <w:left w:val="none" w:sz="0" w:space="0" w:color="auto"/>
            <w:bottom w:val="none" w:sz="0" w:space="0" w:color="auto"/>
            <w:right w:val="none" w:sz="0" w:space="0" w:color="auto"/>
          </w:divBdr>
        </w:div>
        <w:div w:id="850339748">
          <w:marLeft w:val="0"/>
          <w:marRight w:val="0"/>
          <w:marTop w:val="0"/>
          <w:marBottom w:val="0"/>
          <w:divBdr>
            <w:top w:val="none" w:sz="0" w:space="0" w:color="auto"/>
            <w:left w:val="none" w:sz="0" w:space="0" w:color="auto"/>
            <w:bottom w:val="none" w:sz="0" w:space="0" w:color="auto"/>
            <w:right w:val="none" w:sz="0" w:space="0" w:color="auto"/>
          </w:divBdr>
        </w:div>
        <w:div w:id="919026721">
          <w:marLeft w:val="0"/>
          <w:marRight w:val="0"/>
          <w:marTop w:val="0"/>
          <w:marBottom w:val="0"/>
          <w:divBdr>
            <w:top w:val="none" w:sz="0" w:space="0" w:color="auto"/>
            <w:left w:val="none" w:sz="0" w:space="0" w:color="auto"/>
            <w:bottom w:val="none" w:sz="0" w:space="0" w:color="auto"/>
            <w:right w:val="none" w:sz="0" w:space="0" w:color="auto"/>
          </w:divBdr>
        </w:div>
        <w:div w:id="984506807">
          <w:marLeft w:val="0"/>
          <w:marRight w:val="0"/>
          <w:marTop w:val="0"/>
          <w:marBottom w:val="0"/>
          <w:divBdr>
            <w:top w:val="none" w:sz="0" w:space="0" w:color="auto"/>
            <w:left w:val="none" w:sz="0" w:space="0" w:color="auto"/>
            <w:bottom w:val="none" w:sz="0" w:space="0" w:color="auto"/>
            <w:right w:val="none" w:sz="0" w:space="0" w:color="auto"/>
          </w:divBdr>
        </w:div>
        <w:div w:id="1231039129">
          <w:marLeft w:val="0"/>
          <w:marRight w:val="0"/>
          <w:marTop w:val="0"/>
          <w:marBottom w:val="0"/>
          <w:divBdr>
            <w:top w:val="none" w:sz="0" w:space="0" w:color="auto"/>
            <w:left w:val="none" w:sz="0" w:space="0" w:color="auto"/>
            <w:bottom w:val="none" w:sz="0" w:space="0" w:color="auto"/>
            <w:right w:val="none" w:sz="0" w:space="0" w:color="auto"/>
          </w:divBdr>
        </w:div>
        <w:div w:id="1338070889">
          <w:marLeft w:val="0"/>
          <w:marRight w:val="0"/>
          <w:marTop w:val="0"/>
          <w:marBottom w:val="0"/>
          <w:divBdr>
            <w:top w:val="none" w:sz="0" w:space="0" w:color="auto"/>
            <w:left w:val="none" w:sz="0" w:space="0" w:color="auto"/>
            <w:bottom w:val="none" w:sz="0" w:space="0" w:color="auto"/>
            <w:right w:val="none" w:sz="0" w:space="0" w:color="auto"/>
          </w:divBdr>
        </w:div>
        <w:div w:id="1437823548">
          <w:marLeft w:val="0"/>
          <w:marRight w:val="0"/>
          <w:marTop w:val="0"/>
          <w:marBottom w:val="0"/>
          <w:divBdr>
            <w:top w:val="none" w:sz="0" w:space="0" w:color="auto"/>
            <w:left w:val="none" w:sz="0" w:space="0" w:color="auto"/>
            <w:bottom w:val="none" w:sz="0" w:space="0" w:color="auto"/>
            <w:right w:val="none" w:sz="0" w:space="0" w:color="auto"/>
          </w:divBdr>
        </w:div>
        <w:div w:id="1711806029">
          <w:marLeft w:val="0"/>
          <w:marRight w:val="0"/>
          <w:marTop w:val="0"/>
          <w:marBottom w:val="0"/>
          <w:divBdr>
            <w:top w:val="none" w:sz="0" w:space="0" w:color="auto"/>
            <w:left w:val="none" w:sz="0" w:space="0" w:color="auto"/>
            <w:bottom w:val="none" w:sz="0" w:space="0" w:color="auto"/>
            <w:right w:val="none" w:sz="0" w:space="0" w:color="auto"/>
          </w:divBdr>
        </w:div>
        <w:div w:id="2005696334">
          <w:marLeft w:val="0"/>
          <w:marRight w:val="0"/>
          <w:marTop w:val="0"/>
          <w:marBottom w:val="0"/>
          <w:divBdr>
            <w:top w:val="none" w:sz="0" w:space="0" w:color="auto"/>
            <w:left w:val="none" w:sz="0" w:space="0" w:color="auto"/>
            <w:bottom w:val="none" w:sz="0" w:space="0" w:color="auto"/>
            <w:right w:val="none" w:sz="0" w:space="0" w:color="auto"/>
          </w:divBdr>
        </w:div>
        <w:div w:id="2105299323">
          <w:marLeft w:val="0"/>
          <w:marRight w:val="0"/>
          <w:marTop w:val="0"/>
          <w:marBottom w:val="0"/>
          <w:divBdr>
            <w:top w:val="none" w:sz="0" w:space="0" w:color="auto"/>
            <w:left w:val="none" w:sz="0" w:space="0" w:color="auto"/>
            <w:bottom w:val="none" w:sz="0" w:space="0" w:color="auto"/>
            <w:right w:val="none" w:sz="0" w:space="0" w:color="auto"/>
          </w:divBdr>
        </w:div>
        <w:div w:id="2106222098">
          <w:marLeft w:val="0"/>
          <w:marRight w:val="0"/>
          <w:marTop w:val="0"/>
          <w:marBottom w:val="0"/>
          <w:divBdr>
            <w:top w:val="none" w:sz="0" w:space="0" w:color="auto"/>
            <w:left w:val="none" w:sz="0" w:space="0" w:color="auto"/>
            <w:bottom w:val="none" w:sz="0" w:space="0" w:color="auto"/>
            <w:right w:val="none" w:sz="0" w:space="0" w:color="auto"/>
          </w:divBdr>
        </w:div>
      </w:divsChild>
    </w:div>
    <w:div w:id="2063209082">
      <w:bodyDiv w:val="1"/>
      <w:marLeft w:val="0"/>
      <w:marRight w:val="0"/>
      <w:marTop w:val="0"/>
      <w:marBottom w:val="0"/>
      <w:divBdr>
        <w:top w:val="none" w:sz="0" w:space="0" w:color="auto"/>
        <w:left w:val="none" w:sz="0" w:space="0" w:color="auto"/>
        <w:bottom w:val="none" w:sz="0" w:space="0" w:color="auto"/>
        <w:right w:val="none" w:sz="0" w:space="0" w:color="auto"/>
      </w:divBdr>
    </w:div>
    <w:div w:id="2064019317">
      <w:bodyDiv w:val="1"/>
      <w:marLeft w:val="0"/>
      <w:marRight w:val="0"/>
      <w:marTop w:val="0"/>
      <w:marBottom w:val="0"/>
      <w:divBdr>
        <w:top w:val="none" w:sz="0" w:space="0" w:color="auto"/>
        <w:left w:val="none" w:sz="0" w:space="0" w:color="auto"/>
        <w:bottom w:val="none" w:sz="0" w:space="0" w:color="auto"/>
        <w:right w:val="none" w:sz="0" w:space="0" w:color="auto"/>
      </w:divBdr>
    </w:div>
    <w:div w:id="2065175348">
      <w:bodyDiv w:val="1"/>
      <w:marLeft w:val="0"/>
      <w:marRight w:val="0"/>
      <w:marTop w:val="0"/>
      <w:marBottom w:val="0"/>
      <w:divBdr>
        <w:top w:val="none" w:sz="0" w:space="0" w:color="auto"/>
        <w:left w:val="none" w:sz="0" w:space="0" w:color="auto"/>
        <w:bottom w:val="none" w:sz="0" w:space="0" w:color="auto"/>
        <w:right w:val="none" w:sz="0" w:space="0" w:color="auto"/>
      </w:divBdr>
    </w:div>
    <w:div w:id="2067601345">
      <w:bodyDiv w:val="1"/>
      <w:marLeft w:val="0"/>
      <w:marRight w:val="0"/>
      <w:marTop w:val="0"/>
      <w:marBottom w:val="0"/>
      <w:divBdr>
        <w:top w:val="none" w:sz="0" w:space="0" w:color="auto"/>
        <w:left w:val="none" w:sz="0" w:space="0" w:color="auto"/>
        <w:bottom w:val="none" w:sz="0" w:space="0" w:color="auto"/>
        <w:right w:val="none" w:sz="0" w:space="0" w:color="auto"/>
      </w:divBdr>
      <w:divsChild>
        <w:div w:id="88935340">
          <w:marLeft w:val="0"/>
          <w:marRight w:val="0"/>
          <w:marTop w:val="0"/>
          <w:marBottom w:val="0"/>
          <w:divBdr>
            <w:top w:val="none" w:sz="0" w:space="0" w:color="auto"/>
            <w:left w:val="none" w:sz="0" w:space="0" w:color="auto"/>
            <w:bottom w:val="none" w:sz="0" w:space="0" w:color="auto"/>
            <w:right w:val="none" w:sz="0" w:space="0" w:color="auto"/>
          </w:divBdr>
          <w:divsChild>
            <w:div w:id="1532189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5297667">
      <w:bodyDiv w:val="1"/>
      <w:marLeft w:val="0"/>
      <w:marRight w:val="0"/>
      <w:marTop w:val="0"/>
      <w:marBottom w:val="0"/>
      <w:divBdr>
        <w:top w:val="none" w:sz="0" w:space="0" w:color="auto"/>
        <w:left w:val="none" w:sz="0" w:space="0" w:color="auto"/>
        <w:bottom w:val="none" w:sz="0" w:space="0" w:color="auto"/>
        <w:right w:val="none" w:sz="0" w:space="0" w:color="auto"/>
      </w:divBdr>
    </w:div>
    <w:div w:id="2090492022">
      <w:bodyDiv w:val="1"/>
      <w:marLeft w:val="0"/>
      <w:marRight w:val="0"/>
      <w:marTop w:val="0"/>
      <w:marBottom w:val="0"/>
      <w:divBdr>
        <w:top w:val="none" w:sz="0" w:space="0" w:color="auto"/>
        <w:left w:val="none" w:sz="0" w:space="0" w:color="auto"/>
        <w:bottom w:val="none" w:sz="0" w:space="0" w:color="auto"/>
        <w:right w:val="none" w:sz="0" w:space="0" w:color="auto"/>
      </w:divBdr>
    </w:div>
    <w:div w:id="2099397597">
      <w:bodyDiv w:val="1"/>
      <w:marLeft w:val="0"/>
      <w:marRight w:val="0"/>
      <w:marTop w:val="0"/>
      <w:marBottom w:val="0"/>
      <w:divBdr>
        <w:top w:val="none" w:sz="0" w:space="0" w:color="auto"/>
        <w:left w:val="none" w:sz="0" w:space="0" w:color="auto"/>
        <w:bottom w:val="none" w:sz="0" w:space="0" w:color="auto"/>
        <w:right w:val="none" w:sz="0" w:space="0" w:color="auto"/>
      </w:divBdr>
      <w:divsChild>
        <w:div w:id="1172378857">
          <w:marLeft w:val="0"/>
          <w:marRight w:val="0"/>
          <w:marTop w:val="0"/>
          <w:marBottom w:val="0"/>
          <w:divBdr>
            <w:top w:val="none" w:sz="0" w:space="0" w:color="auto"/>
            <w:left w:val="none" w:sz="0" w:space="0" w:color="auto"/>
            <w:bottom w:val="none" w:sz="0" w:space="0" w:color="auto"/>
            <w:right w:val="none" w:sz="0" w:space="0" w:color="auto"/>
          </w:divBdr>
        </w:div>
        <w:div w:id="1197041077">
          <w:marLeft w:val="0"/>
          <w:marRight w:val="0"/>
          <w:marTop w:val="0"/>
          <w:marBottom w:val="0"/>
          <w:divBdr>
            <w:top w:val="none" w:sz="0" w:space="0" w:color="auto"/>
            <w:left w:val="none" w:sz="0" w:space="0" w:color="auto"/>
            <w:bottom w:val="none" w:sz="0" w:space="0" w:color="auto"/>
            <w:right w:val="none" w:sz="0" w:space="0" w:color="auto"/>
          </w:divBdr>
        </w:div>
      </w:divsChild>
    </w:div>
    <w:div w:id="2112385363">
      <w:bodyDiv w:val="1"/>
      <w:marLeft w:val="0"/>
      <w:marRight w:val="0"/>
      <w:marTop w:val="0"/>
      <w:marBottom w:val="0"/>
      <w:divBdr>
        <w:top w:val="none" w:sz="0" w:space="0" w:color="auto"/>
        <w:left w:val="none" w:sz="0" w:space="0" w:color="auto"/>
        <w:bottom w:val="none" w:sz="0" w:space="0" w:color="auto"/>
        <w:right w:val="none" w:sz="0" w:space="0" w:color="auto"/>
      </w:divBdr>
    </w:div>
    <w:div w:id="2146190928">
      <w:bodyDiv w:val="1"/>
      <w:marLeft w:val="0"/>
      <w:marRight w:val="0"/>
      <w:marTop w:val="0"/>
      <w:marBottom w:val="0"/>
      <w:divBdr>
        <w:top w:val="none" w:sz="0" w:space="0" w:color="auto"/>
        <w:left w:val="none" w:sz="0" w:space="0" w:color="auto"/>
        <w:bottom w:val="none" w:sz="0" w:space="0" w:color="auto"/>
        <w:right w:val="none" w:sz="0" w:space="0" w:color="auto"/>
      </w:divBdr>
      <w:divsChild>
        <w:div w:id="346755559">
          <w:marLeft w:val="0"/>
          <w:marRight w:val="0"/>
          <w:marTop w:val="0"/>
          <w:marBottom w:val="0"/>
          <w:divBdr>
            <w:top w:val="none" w:sz="0" w:space="0" w:color="auto"/>
            <w:left w:val="none" w:sz="0" w:space="0" w:color="auto"/>
            <w:bottom w:val="none" w:sz="0" w:space="0" w:color="auto"/>
            <w:right w:val="none" w:sz="0" w:space="0" w:color="auto"/>
          </w:divBdr>
        </w:div>
        <w:div w:id="1293439378">
          <w:marLeft w:val="0"/>
          <w:marRight w:val="0"/>
          <w:marTop w:val="0"/>
          <w:marBottom w:val="0"/>
          <w:divBdr>
            <w:top w:val="none" w:sz="0" w:space="0" w:color="auto"/>
            <w:left w:val="none" w:sz="0" w:space="0" w:color="auto"/>
            <w:bottom w:val="none" w:sz="0" w:space="0" w:color="auto"/>
            <w:right w:val="none" w:sz="0" w:space="0" w:color="auto"/>
          </w:divBdr>
        </w:div>
        <w:div w:id="1614625930">
          <w:marLeft w:val="0"/>
          <w:marRight w:val="0"/>
          <w:marTop w:val="0"/>
          <w:marBottom w:val="0"/>
          <w:divBdr>
            <w:top w:val="none" w:sz="0" w:space="0" w:color="auto"/>
            <w:left w:val="none" w:sz="0" w:space="0" w:color="auto"/>
            <w:bottom w:val="none" w:sz="0" w:space="0" w:color="auto"/>
            <w:right w:val="none" w:sz="0" w:space="0" w:color="auto"/>
          </w:divBdr>
        </w:div>
      </w:divsChild>
    </w:div>
  </w:divs>
  <w:encoding w:val="macintosh"/>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visy.com/sites/default/files/styles/accelerator_landscape_crop_16_9/public/2023-10/Visy_Web_002.jpg?h=8740e618&amp;itok=lv939gKx" TargetMode="External"/><Relationship Id="rId21" Type="http://schemas.openxmlformats.org/officeDocument/2006/relationships/hyperlink" Target="https://www.aofm.gov.au/sites/default/files/2024-03-18/Green%20Bond%20Framework_WEB_2024_0.pdf" TargetMode="External"/><Relationship Id="rId42" Type="http://schemas.openxmlformats.org/officeDocument/2006/relationships/image" Target="media/image18.png"/><Relationship Id="rId63" Type="http://schemas.openxmlformats.org/officeDocument/2006/relationships/image" Target="media/image28.png"/><Relationship Id="rId84" Type="http://schemas.openxmlformats.org/officeDocument/2006/relationships/hyperlink" Target="https://adp.dfat.gov.au/investments/Investment?id=AU-5-INO165" TargetMode="External"/><Relationship Id="rId16" Type="http://schemas.openxmlformats.org/officeDocument/2006/relationships/header" Target="header1.xml"/><Relationship Id="rId107" Type="http://schemas.openxmlformats.org/officeDocument/2006/relationships/image" Target="media/image36.jpeg"/><Relationship Id="rId11" Type="http://schemas.openxmlformats.org/officeDocument/2006/relationships/hyperlink" Target="https://creativecommons.org/licenses/by/4.0/" TargetMode="External"/><Relationship Id="rId32" Type="http://schemas.openxmlformats.org/officeDocument/2006/relationships/image" Target="media/image10.png"/><Relationship Id="rId37" Type="http://schemas.openxmlformats.org/officeDocument/2006/relationships/image" Target="media/image15.png"/><Relationship Id="rId53" Type="http://schemas.openxmlformats.org/officeDocument/2006/relationships/hyperlink" Target="https://www.legislation.gov.au/F2023L01023/latest/text" TargetMode="External"/><Relationship Id="rId58" Type="http://schemas.openxmlformats.org/officeDocument/2006/relationships/image" Target="media/image25.jpg"/><Relationship Id="rId74" Type="http://schemas.openxmlformats.org/officeDocument/2006/relationships/hyperlink" Target="https://www.pta.wa.gov.au/projects/current-projects/electric-buses-and-transperth-bus-depots" TargetMode="External"/><Relationship Id="rId79" Type="http://schemas.openxmlformats.org/officeDocument/2006/relationships/hyperlink" Target="https://adp.dfat.gov.au/" TargetMode="External"/><Relationship Id="rId102" Type="http://schemas.openxmlformats.org/officeDocument/2006/relationships/image" Target="media/image33.jpeg"/><Relationship Id="rId123" Type="http://schemas.openxmlformats.org/officeDocument/2006/relationships/hyperlink" Target="https://www.aofm.gov.au/securities/green-bond-program" TargetMode="External"/><Relationship Id="rId128" Type="http://schemas.openxmlformats.org/officeDocument/2006/relationships/image" Target="media/image45.png"/><Relationship Id="rId5" Type="http://schemas.openxmlformats.org/officeDocument/2006/relationships/footnotes" Target="footnotes.xml"/><Relationship Id="rId90" Type="http://schemas.openxmlformats.org/officeDocument/2006/relationships/hyperlink" Target="https://unfccc.int/sites/default/files/resource/GEF%20report%20to%20COP30.pdf" TargetMode="External"/><Relationship Id="rId95" Type="http://schemas.openxmlformats.org/officeDocument/2006/relationships/hyperlink" Target="https://renewpacific.com.au/" TargetMode="External"/><Relationship Id="rId22" Type="http://schemas.openxmlformats.org/officeDocument/2006/relationships/hyperlink" Target="https://www.aofm.gov.au/securities/green-bond-program" TargetMode="External"/><Relationship Id="rId27" Type="http://schemas.openxmlformats.org/officeDocument/2006/relationships/image" Target="media/image8.jpeg"/><Relationship Id="rId43" Type="http://schemas.openxmlformats.org/officeDocument/2006/relationships/hyperlink" Target="https://www.dcceew.gov.au/climate-change/publications/net-zero-plan" TargetMode="External"/><Relationship Id="rId48" Type="http://schemas.openxmlformats.org/officeDocument/2006/relationships/image" Target="media/image20.jpeg"/><Relationship Id="rId64" Type="http://schemas.openxmlformats.org/officeDocument/2006/relationships/hyperlink" Target="https://www.qtc.com.au/wp-content/uploads/2025/05/2025-QTC-Green-Bond-Annual-Report.pdf" TargetMode="External"/><Relationship Id="rId69" Type="http://schemas.openxmlformats.org/officeDocument/2006/relationships/hyperlink" Target="https://arena.gov.au/projects/origin-accelerate-ev-fleet-program/" TargetMode="External"/><Relationship Id="rId113" Type="http://schemas.openxmlformats.org/officeDocument/2006/relationships/hyperlink" Target="https://www.dcceew.gov.au/cewh/manage-water/basin/water-holdings" TargetMode="External"/><Relationship Id="rId118" Type="http://schemas.openxmlformats.org/officeDocument/2006/relationships/image" Target="media/image40.jpg"/><Relationship Id="rId134" Type="http://schemas.openxmlformats.org/officeDocument/2006/relationships/theme" Target="theme/theme1.xml"/><Relationship Id="rId80" Type="http://schemas.openxmlformats.org/officeDocument/2006/relationships/hyperlink" Target="https://adp.dfat.gov.au/investments/Investment?id=AU-5-INN793" TargetMode="External"/><Relationship Id="rId85" Type="http://schemas.openxmlformats.org/officeDocument/2006/relationships/hyperlink" Target="https://adp.dfat.gov.au/investments/Investment?id=AU-5-INO093" TargetMode="External"/><Relationship Id="rId12" Type="http://schemas.openxmlformats.org/officeDocument/2006/relationships/hyperlink" Target="http://www.pmc.gov.au/government/commonwealth-coat-arms" TargetMode="External"/><Relationship Id="rId17" Type="http://schemas.openxmlformats.org/officeDocument/2006/relationships/header" Target="header2.xml"/><Relationship Id="rId33" Type="http://schemas.openxmlformats.org/officeDocument/2006/relationships/image" Target="media/image11.png"/><Relationship Id="rId38" Type="http://schemas.openxmlformats.org/officeDocument/2006/relationships/image" Target="media/image16.png"/><Relationship Id="rId59" Type="http://schemas.openxmlformats.org/officeDocument/2006/relationships/hyperlink" Target="https://arena.gov.au/news/arena-backs-hunter-valley-renewable-hydrogen-project-with-432-million/" TargetMode="External"/><Relationship Id="rId103" Type="http://schemas.openxmlformats.org/officeDocument/2006/relationships/hyperlink" Target="https://fieldcapture.ala.org.au/merit" TargetMode="External"/><Relationship Id="rId108" Type="http://schemas.openxmlformats.org/officeDocument/2006/relationships/image" Target="media/image37.png"/><Relationship Id="rId124" Type="http://schemas.openxmlformats.org/officeDocument/2006/relationships/image" Target="media/image43.jpeg"/><Relationship Id="rId129" Type="http://schemas.openxmlformats.org/officeDocument/2006/relationships/image" Target="media/image46.png"/><Relationship Id="rId54" Type="http://schemas.openxmlformats.org/officeDocument/2006/relationships/image" Target="media/image23.png"/><Relationship Id="rId70" Type="http://schemas.openxmlformats.org/officeDocument/2006/relationships/hyperlink" Target="https://arena.gov.au/projects/rigid-and-prime-mover-truck-electrification-project/" TargetMode="External"/><Relationship Id="rId75" Type="http://schemas.openxmlformats.org/officeDocument/2006/relationships/hyperlink" Target="https://investment.infrastructure.gov.au/projects/120992-22wa-np" TargetMode="External"/><Relationship Id="rId91" Type="http://schemas.openxmlformats.org/officeDocument/2006/relationships/hyperlink" Target="https://www.multilateralfund.org/our-impact" TargetMode="External"/><Relationship Id="rId96" Type="http://schemas.openxmlformats.org/officeDocument/2006/relationships/hyperlink" Target="https://adp.dfat.gov.au/investments/Investment?id=AU-5-INO248" TargetMode="Externa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hyperlink" Target="https://www.aofm.gov.au/securities/green-bond-program" TargetMode="External"/><Relationship Id="rId28" Type="http://schemas.openxmlformats.org/officeDocument/2006/relationships/header" Target="header3.xml"/><Relationship Id="rId49" Type="http://schemas.openxmlformats.org/officeDocument/2006/relationships/hyperlink" Target="https://www.dcceew.gov.au/climate-change/publications/national-adaptation-plan" TargetMode="External"/><Relationship Id="rId114" Type="http://schemas.openxmlformats.org/officeDocument/2006/relationships/hyperlink" Target="https://www.dcceew.gov.au/environment/protection/waste/how-we-manage-waste/recycling-modernisation-fund" TargetMode="External"/><Relationship Id="rId119" Type="http://schemas.openxmlformats.org/officeDocument/2006/relationships/image" Target="media/image41.jpg"/><Relationship Id="rId44" Type="http://schemas.openxmlformats.org/officeDocument/2006/relationships/image" Target="media/image19.png"/><Relationship Id="rId60" Type="http://schemas.openxmlformats.org/officeDocument/2006/relationships/image" Target="media/image26.jpg"/><Relationship Id="rId65" Type="http://schemas.openxmlformats.org/officeDocument/2006/relationships/hyperlink" Target="https://www.metronet.wa.gov.au/strategies/sustainability" TargetMode="External"/><Relationship Id="rId81" Type="http://schemas.openxmlformats.org/officeDocument/2006/relationships/hyperlink" Target="https://adp.dfat.gov.au/investments/Investment?id=AU-5-INM616" TargetMode="External"/><Relationship Id="rId86" Type="http://schemas.openxmlformats.org/officeDocument/2006/relationships/hyperlink" Target="https://adp.dfat.gov.au/investments/Investment?id=AU-5-INN995" TargetMode="External"/><Relationship Id="rId130" Type="http://schemas.openxmlformats.org/officeDocument/2006/relationships/hyperlink" Target="https://www.aofm.gov.au/securities/green-bond-program" TargetMode="External"/><Relationship Id="rId13" Type="http://schemas.openxmlformats.org/officeDocument/2006/relationships/hyperlink" Target="mailto:media@treasury.gov.au" TargetMode="External"/><Relationship Id="rId18" Type="http://schemas.openxmlformats.org/officeDocument/2006/relationships/footer" Target="footer1.xml"/><Relationship Id="rId39" Type="http://schemas.openxmlformats.org/officeDocument/2006/relationships/hyperlink" Target="https://www.climatechangeauthority.gov.au/2035-emissions-reduction-targets-advice" TargetMode="External"/><Relationship Id="rId109" Type="http://schemas.openxmlformats.org/officeDocument/2006/relationships/hyperlink" Target="https://www.dcceew.gov.au/parks-heritage/great-barrier-reef/publications/reef-2050-long-term-sustainability-plan-2021-25" TargetMode="External"/><Relationship Id="rId34" Type="http://schemas.openxmlformats.org/officeDocument/2006/relationships/image" Target="media/image12.png"/><Relationship Id="rId50" Type="http://schemas.openxmlformats.org/officeDocument/2006/relationships/image" Target="media/image21.jpeg"/><Relationship Id="rId55" Type="http://schemas.openxmlformats.org/officeDocument/2006/relationships/hyperlink" Target="https://www.legislation.gov.au/F2023L01023/latest/text" TargetMode="External"/><Relationship Id="rId76" Type="http://schemas.openxmlformats.org/officeDocument/2006/relationships/image" Target="media/image31.jpeg"/><Relationship Id="rId97" Type="http://schemas.openxmlformats.org/officeDocument/2006/relationships/hyperlink" Target="https://adp.dfat.gov.au/investments/Investment?id=AU-5-INO438" TargetMode="External"/><Relationship Id="rId104" Type="http://schemas.openxmlformats.org/officeDocument/2006/relationships/image" Target="media/image34.jpeg"/><Relationship Id="rId120" Type="http://schemas.openxmlformats.org/officeDocument/2006/relationships/hyperlink" Target="https://www.dcceew.gov.au/environment/protection/waste/how-we-manage-waste/recycling-modernisation-fund" TargetMode="External"/><Relationship Id="rId125" Type="http://schemas.openxmlformats.org/officeDocument/2006/relationships/image" Target="media/image44.png"/><Relationship Id="rId7" Type="http://schemas.openxmlformats.org/officeDocument/2006/relationships/image" Target="media/image1.jpeg"/><Relationship Id="rId71" Type="http://schemas.openxmlformats.org/officeDocument/2006/relationships/hyperlink" Target="https://arena.gov.au/projects/depot-of-the-future-vehicle-electrification-project/" TargetMode="External"/><Relationship Id="rId92" Type="http://schemas.openxmlformats.org/officeDocument/2006/relationships/hyperlink" Target="https://unfccc.int/sites/default/files/resource/cp2025_07_adv.pdf" TargetMode="External"/><Relationship Id="rId2" Type="http://schemas.openxmlformats.org/officeDocument/2006/relationships/styles" Target="styles.xml"/><Relationship Id="rId29" Type="http://schemas.openxmlformats.org/officeDocument/2006/relationships/header" Target="header4.xml"/><Relationship Id="rId24" Type="http://schemas.openxmlformats.org/officeDocument/2006/relationships/image" Target="media/image5.png"/><Relationship Id="rId40" Type="http://schemas.openxmlformats.org/officeDocument/2006/relationships/image" Target="media/image17.png"/><Relationship Id="rId45" Type="http://schemas.openxmlformats.org/officeDocument/2006/relationships/hyperlink" Target="https://www.agriculture.gov.au/agriculture-land/farm-food-drought/climatechange/ag-and-land-sector-plan" TargetMode="External"/><Relationship Id="rId66" Type="http://schemas.openxmlformats.org/officeDocument/2006/relationships/hyperlink" Target="https://www.metronet.wa.gov.au/projects" TargetMode="External"/><Relationship Id="rId87" Type="http://schemas.openxmlformats.org/officeDocument/2006/relationships/hyperlink" Target="https://adp.dfat.gov.au/investments/Investment?id=AU-5-INO227" TargetMode="External"/><Relationship Id="rId110" Type="http://schemas.openxmlformats.org/officeDocument/2006/relationships/hyperlink" Target="https://reportcard.reefplan.qld.gov.au/home?report=overview&amp;year=63feba8962a7eebd85fb06ac" TargetMode="External"/><Relationship Id="rId115" Type="http://schemas.openxmlformats.org/officeDocument/2006/relationships/hyperlink" Target="https://www.dcceew.gov.au/environment/protection/waste/publications/national-waste-resource-recovery-reporting" TargetMode="External"/><Relationship Id="rId131" Type="http://schemas.openxmlformats.org/officeDocument/2006/relationships/image" Target="media/image47.jpeg"/><Relationship Id="rId61" Type="http://schemas.openxmlformats.org/officeDocument/2006/relationships/hyperlink" Target="https://www.dcceew.gov.au/energy/strategies-and-frameworks/national-energy-performance-strategy" TargetMode="External"/><Relationship Id="rId82" Type="http://schemas.openxmlformats.org/officeDocument/2006/relationships/hyperlink" Target="https://adp.dfat.gov.au/investments/Investment?id=AU-5-INN464" TargetMode="External"/><Relationship Id="rId19" Type="http://schemas.openxmlformats.org/officeDocument/2006/relationships/footer" Target="footer2.xml"/><Relationship Id="rId14" Type="http://schemas.openxmlformats.org/officeDocument/2006/relationships/image" Target="media/image3.jpeg"/><Relationship Id="rId30" Type="http://schemas.openxmlformats.org/officeDocument/2006/relationships/footer" Target="footer3.xml"/><Relationship Id="rId35" Type="http://schemas.openxmlformats.org/officeDocument/2006/relationships/image" Target="media/image13.png"/><Relationship Id="rId56" Type="http://schemas.openxmlformats.org/officeDocument/2006/relationships/hyperlink" Target="https://www.cefc.com.au/case-studies/vni-west-nsw-to-provide-essential-infrastructure-for-net-zero-transition/" TargetMode="External"/><Relationship Id="rId77" Type="http://schemas.openxmlformats.org/officeDocument/2006/relationships/hyperlink" Target="https://www.dcceew.gov.au/climate-change/international-climate-action" TargetMode="External"/><Relationship Id="rId100" Type="http://schemas.openxmlformats.org/officeDocument/2006/relationships/hyperlink" Target="https://adp.dfat.gov.au/investments/Investment?id=AU-5-INO260" TargetMode="External"/><Relationship Id="rId105" Type="http://schemas.openxmlformats.org/officeDocument/2006/relationships/image" Target="media/image35.jpeg"/><Relationship Id="rId126" Type="http://schemas.openxmlformats.org/officeDocument/2006/relationships/hyperlink" Target="https://www.aofm.gov.au/sites/default/files/2024-03-18/Green%20Bond%20Framework_WEB_2024_0.pdf" TargetMode="External"/><Relationship Id="rId8" Type="http://schemas.openxmlformats.org/officeDocument/2006/relationships/hyperlink" Target="https://creativecommons.org/licenses/by/4.0/" TargetMode="External"/><Relationship Id="rId51" Type="http://schemas.openxmlformats.org/officeDocument/2006/relationships/hyperlink" Target="https://www.cefc.com.au/case-studies/golden-plains-wind-farm-supports-grid-decarbonisation/" TargetMode="External"/><Relationship Id="rId72" Type="http://schemas.openxmlformats.org/officeDocument/2006/relationships/hyperlink" Target="https://arena.gov.au/projects/amber-automating-ev-charging-in-line-with-wholesale-pricing/" TargetMode="External"/><Relationship Id="rId93" Type="http://schemas.openxmlformats.org/officeDocument/2006/relationships/hyperlink" Target="https://adp.dfat.gov.au/investments/Investment?id=AU-5-INM136" TargetMode="External"/><Relationship Id="rId98" Type="http://schemas.openxmlformats.org/officeDocument/2006/relationships/hyperlink" Target="https://adp.dfat.gov.au/investments/Investment?id=AU-5-INO484" TargetMode="External"/><Relationship Id="rId121" Type="http://schemas.openxmlformats.org/officeDocument/2006/relationships/image" Target="media/image42.jpeg"/><Relationship Id="rId3" Type="http://schemas.openxmlformats.org/officeDocument/2006/relationships/settings" Target="settings.xml"/><Relationship Id="rId25" Type="http://schemas.openxmlformats.org/officeDocument/2006/relationships/image" Target="media/image6.png"/><Relationship Id="rId46" Type="http://schemas.openxmlformats.org/officeDocument/2006/relationships/hyperlink" Target="https://www.industry.gov.au/publications/industry-sector-plan" TargetMode="External"/><Relationship Id="rId67" Type="http://schemas.openxmlformats.org/officeDocument/2006/relationships/image" Target="media/image29.jpeg"/><Relationship Id="rId116" Type="http://schemas.openxmlformats.org/officeDocument/2006/relationships/hyperlink" Target="https://www.dcceew.gov.au/environment/protection/waste/how-we-manage-waste/recycling-modernisation-fund" TargetMode="External"/><Relationship Id="rId20" Type="http://schemas.openxmlformats.org/officeDocument/2006/relationships/hyperlink" Target="https://www.environmental-finance.com/content/awards/environmental-finances-sustainable-debt-awards-2025/winners/green-bond-of-the-year-sovereign-australias-green-treasury-bond.html" TargetMode="External"/><Relationship Id="rId41" Type="http://schemas.openxmlformats.org/officeDocument/2006/relationships/hyperlink" Target="https://treasury.gov.au/publication/p2024-536290" TargetMode="External"/><Relationship Id="rId62" Type="http://schemas.openxmlformats.org/officeDocument/2006/relationships/image" Target="media/image27.jpeg"/><Relationship Id="rId83" Type="http://schemas.openxmlformats.org/officeDocument/2006/relationships/hyperlink" Target="https://adp.dfat.gov.au/investments/Investment?id=AU-5-INO220" TargetMode="External"/><Relationship Id="rId88" Type="http://schemas.openxmlformats.org/officeDocument/2006/relationships/hyperlink" Target="https://adp.dfat.gov.au/investments/Investment?id=AU-5-INN813" TargetMode="External"/><Relationship Id="rId111" Type="http://schemas.openxmlformats.org/officeDocument/2006/relationships/image" Target="media/image38.jpeg"/><Relationship Id="rId132" Type="http://schemas.openxmlformats.org/officeDocument/2006/relationships/image" Target="media/image48.png"/><Relationship Id="rId15" Type="http://schemas.openxmlformats.org/officeDocument/2006/relationships/image" Target="media/image4.jpeg"/><Relationship Id="rId36" Type="http://schemas.openxmlformats.org/officeDocument/2006/relationships/image" Target="media/image14.png"/><Relationship Id="rId57" Type="http://schemas.openxmlformats.org/officeDocument/2006/relationships/image" Target="media/image24.jpg"/><Relationship Id="rId106" Type="http://schemas.openxmlformats.org/officeDocument/2006/relationships/hyperlink" Target="https://www.dcceew.gov.au/sites/default/files/documents/australias-strategy-for-nature-2024-2030.pdf" TargetMode="External"/><Relationship Id="rId127" Type="http://schemas.openxmlformats.org/officeDocument/2006/relationships/hyperlink" Target="https://www.aofm.gov.au/sites/default/files/2023-12-05/Australian%20Government%20Green%20Bond%20Framework%20Second-Party%20Opinion%202023%20December.pdf" TargetMode="External"/><Relationship Id="rId10" Type="http://schemas.openxmlformats.org/officeDocument/2006/relationships/image" Target="media/image2.wmf"/><Relationship Id="rId31" Type="http://schemas.openxmlformats.org/officeDocument/2006/relationships/image" Target="media/image9.png"/><Relationship Id="rId52" Type="http://schemas.openxmlformats.org/officeDocument/2006/relationships/image" Target="media/image22.jpeg"/><Relationship Id="rId73" Type="http://schemas.openxmlformats.org/officeDocument/2006/relationships/image" Target="media/image30.jpg"/><Relationship Id="rId78" Type="http://schemas.openxmlformats.org/officeDocument/2006/relationships/image" Target="media/image32.png"/><Relationship Id="rId94" Type="http://schemas.openxmlformats.org/officeDocument/2006/relationships/hyperlink" Target="https://adp.dfat.gov.au/investments/Investment?id=AU-5-INO237" TargetMode="External"/><Relationship Id="rId99" Type="http://schemas.openxmlformats.org/officeDocument/2006/relationships/hyperlink" Target="https://www.frld.org/nodebim" TargetMode="External"/><Relationship Id="rId101" Type="http://schemas.openxmlformats.org/officeDocument/2006/relationships/hyperlink" Target="https://www.dfat.gov.au/international-relations/themes/climate-change/supporting-indo-pacific-tackle-climate-change/climate-resilient-communities" TargetMode="External"/><Relationship Id="rId122" Type="http://schemas.openxmlformats.org/officeDocument/2006/relationships/hyperlink" Target="https://www.aofm.gov.au/sites/default/files/2024-03-18/Green%20Bond%20Framework_WEB_2024_0.pdf" TargetMode="External"/><Relationship Id="rId4" Type="http://schemas.openxmlformats.org/officeDocument/2006/relationships/webSettings" Target="webSettings.xml"/><Relationship Id="rId9" Type="http://schemas.openxmlformats.org/officeDocument/2006/relationships/hyperlink" Target="http://creativecommons.org/licenses/by/4.0/legalcode" TargetMode="External"/><Relationship Id="rId26" Type="http://schemas.openxmlformats.org/officeDocument/2006/relationships/image" Target="media/image7.png"/><Relationship Id="rId47" Type="http://schemas.openxmlformats.org/officeDocument/2006/relationships/hyperlink" Target="https://www.infrastructure.gov.au/infrastructure-transport-vehicles/towards-net-zero-transport-and-infrastructure" TargetMode="External"/><Relationship Id="rId68" Type="http://schemas.openxmlformats.org/officeDocument/2006/relationships/hyperlink" Target="https://arena.gov.au/projects/accelerating-the-local-government-transition-to-bevs-in-western-australia/" TargetMode="External"/><Relationship Id="rId89" Type="http://schemas.openxmlformats.org/officeDocument/2006/relationships/hyperlink" Target="https://adp.dfat.gov.au/investments/Investment?id=AU-5-INN810" TargetMode="External"/><Relationship Id="rId112" Type="http://schemas.openxmlformats.org/officeDocument/2006/relationships/image" Target="media/image39.jpeg"/><Relationship Id="rId133" Type="http://schemas.openxmlformats.org/officeDocument/2006/relationships/fontTable" Target="fontTable.xml"/></Relationships>
</file>

<file path=word/_rels/endnotes.xml.rels><?xml version="1.0" encoding="UTF-8" standalone="yes"?>
<Relationships xmlns="http://schemas.openxmlformats.org/package/2006/relationships"><Relationship Id="rId26" Type="http://schemas.openxmlformats.org/officeDocument/2006/relationships/hyperlink" Target="https://www.cefc.com.au/media/media-release/major-construction-underway-on-nation-critical-humelink-project/" TargetMode="External"/><Relationship Id="rId21" Type="http://schemas.openxmlformats.org/officeDocument/2006/relationships/hyperlink" Target="https://www.aemo.com.au/energy-systems/major-publications/integrated-system-plan-isp/2026-integrated-system-plan-isp" TargetMode="External"/><Relationship Id="rId42" Type="http://schemas.openxmlformats.org/officeDocument/2006/relationships/hyperlink" Target="https://www.dcceew.gov.au/climate-change/publications/australias-emissions-projections-2025" TargetMode="External"/><Relationship Id="rId47" Type="http://schemas.openxmlformats.org/officeDocument/2006/relationships/hyperlink" Target="https://www.engineersaustralia.org.au/publications/future-rail-transport" TargetMode="External"/><Relationship Id="rId63" Type="http://schemas.openxmlformats.org/officeDocument/2006/relationships/hyperlink" Target="https://www.dcceew.gov.au/environment/biodiversity/conservation/urban-rivers-catchments-program" TargetMode="External"/><Relationship Id="rId68" Type="http://schemas.openxmlformats.org/officeDocument/2006/relationships/hyperlink" Target="https://www.dcceew.gov.au/environment/protection/waste/publications/national-waste-resource-recovery-reporting" TargetMode="External"/><Relationship Id="rId7" Type="http://schemas.openxmlformats.org/officeDocument/2006/relationships/hyperlink" Target="https://www.dcceew.gov.au/climate-change/emissions-reduction/net-zero" TargetMode="External"/><Relationship Id="rId2" Type="http://schemas.openxmlformats.org/officeDocument/2006/relationships/hyperlink" Target="https://www.aofm.gov.au/securities/green-bond-program" TargetMode="External"/><Relationship Id="rId16" Type="http://schemas.openxmlformats.org/officeDocument/2006/relationships/hyperlink" Target="https://www.acs.gov.au/pages/national-climate-risk-assessment" TargetMode="External"/><Relationship Id="rId29" Type="http://schemas.openxmlformats.org/officeDocument/2006/relationships/hyperlink" Target="https://www.cefc.com.au/media/media-release/cefc-to-invest-in-visionary-marinus-link-project-in-largest-ever-transaction/" TargetMode="External"/><Relationship Id="rId11" Type="http://schemas.openxmlformats.org/officeDocument/2006/relationships/hyperlink" Target="https://www.dcceew.gov.au/climate-change/publications/australias-emissions-projections-2024" TargetMode="External"/><Relationship Id="rId24" Type="http://schemas.openxmlformats.org/officeDocument/2006/relationships/hyperlink" Target="https://www.cefc.com.au/media/media-release/cefc-advancing-australia-s-energy-transformation-with-vni-west-commitment/" TargetMode="External"/><Relationship Id="rId32" Type="http://schemas.openxmlformats.org/officeDocument/2006/relationships/hyperlink" Target="https://www.marinuslink.com.au/overview/" TargetMode="External"/><Relationship Id="rId37" Type="http://schemas.openxmlformats.org/officeDocument/2006/relationships/hyperlink" Target="https://www.snowyhydro.com.au/news/cost-reassessment-underway-for-on-schedule-snowy-2-0/" TargetMode="External"/><Relationship Id="rId40" Type="http://schemas.openxmlformats.org/officeDocument/2006/relationships/hyperlink" Target="https://www.dcceew.gov.au/energy/programs/household-energy-upgrades-fund" TargetMode="External"/><Relationship Id="rId45" Type="http://schemas.openxmlformats.org/officeDocument/2006/relationships/hyperlink" Target="https://www.infrastructure.gov.au/department/media/publications/transport-and-infrastructure-net-zero-roadmap-and-action-plan" TargetMode="External"/><Relationship Id="rId53" Type="http://schemas.openxmlformats.org/officeDocument/2006/relationships/hyperlink" Target="https://www.act.gov.au/lightrailtowoden/stage-2a" TargetMode="External"/><Relationship Id="rId58" Type="http://schemas.openxmlformats.org/officeDocument/2006/relationships/hyperlink" Target="https://www.metronet.wa.gov.au/projects/level-crossing-removal" TargetMode="External"/><Relationship Id="rId66" Type="http://schemas.openxmlformats.org/officeDocument/2006/relationships/hyperlink" Target="https://www.dcceew.gov.au/parks-heritage/great-barrier-reef/publications/reef-2050-activities-report-2023-24" TargetMode="External"/><Relationship Id="rId5" Type="http://schemas.openxmlformats.org/officeDocument/2006/relationships/hyperlink" Target="https://acsi.org.au/research-reports/promises-pathways-and-performance-climate-change-disclosure-in-the-asx200/" TargetMode="External"/><Relationship Id="rId61" Type="http://schemas.openxmlformats.org/officeDocument/2006/relationships/hyperlink" Target="https://www.metronet.wa.gov.au/projects/yanchep-rail-extension" TargetMode="External"/><Relationship Id="rId19" Type="http://schemas.openxmlformats.org/officeDocument/2006/relationships/hyperlink" Target="https://www.aemo.com.au/energy-systems/major-publications/integrated-system-plan-isp/2024-integrated-system-plan-isp" TargetMode="External"/><Relationship Id="rId14" Type="http://schemas.openxmlformats.org/officeDocument/2006/relationships/hyperlink" Target="https://cer.gov.au/news-and-media/media/2025/february/latest-report-shows-australian-government-schemes-working-to-reduce-emissions" TargetMode="External"/><Relationship Id="rId22" Type="http://schemas.openxmlformats.org/officeDocument/2006/relationships/hyperlink" Target="https://www.dcceew.gov.au/energy/renewable/rewiring-the-nation" TargetMode="External"/><Relationship Id="rId27" Type="http://schemas.openxmlformats.org/officeDocument/2006/relationships/hyperlink" Target="https://www.cefc.com.au/media/statement/cefc-statement-regarding-central-west-orana-rez/" TargetMode="External"/><Relationship Id="rId30" Type="http://schemas.openxmlformats.org/officeDocument/2006/relationships/hyperlink" Target="https://www.energyco.nsw.gov.au/cwo-rez" TargetMode="External"/><Relationship Id="rId35" Type="http://schemas.openxmlformats.org/officeDocument/2006/relationships/hyperlink" Target="https://www.transgrid.com.au/projects-innovation/humelink/" TargetMode="External"/><Relationship Id="rId43" Type="http://schemas.openxmlformats.org/officeDocument/2006/relationships/hyperlink" Target="https://www.infrastructure.gov.au/department/media/publications/transport-and-infrastructure-net-zero-roadmap-and-action-plan" TargetMode="External"/><Relationship Id="rId48" Type="http://schemas.openxmlformats.org/officeDocument/2006/relationships/hyperlink" Target="https://investment.infrastructure.gov.au/key-projects/sydney-metro-western-sydney-airport" TargetMode="External"/><Relationship Id="rId56" Type="http://schemas.openxmlformats.org/officeDocument/2006/relationships/hyperlink" Target="https://www.metronet.wa.gov.au/about" TargetMode="External"/><Relationship Id="rId64" Type="http://schemas.openxmlformats.org/officeDocument/2006/relationships/hyperlink" Target="https://www.dcceew.gov.au/environment/biodiversity/conservation/urban-rivers-catchments-program" TargetMode="External"/><Relationship Id="rId69" Type="http://schemas.openxmlformats.org/officeDocument/2006/relationships/hyperlink" Target="https://www.aofm.gov.au/securities/green-bond-program" TargetMode="External"/><Relationship Id="rId8" Type="http://schemas.openxmlformats.org/officeDocument/2006/relationships/hyperlink" Target="https://www.dcceew.gov.au/climate-change/strategies/annual-climate-change-statement-2025" TargetMode="External"/><Relationship Id="rId51" Type="http://schemas.openxmlformats.org/officeDocument/2006/relationships/hyperlink" Target="https://www.sydneymetro.info/westernsydneyairportline" TargetMode="External"/><Relationship Id="rId3" Type="http://schemas.openxmlformats.org/officeDocument/2006/relationships/hyperlink" Target="https://www.icmagroup.org/sustainable-finance/the-principles-guidelines-and-handbooks/green-bond-principles-gbp/" TargetMode="External"/><Relationship Id="rId12" Type="http://schemas.openxmlformats.org/officeDocument/2006/relationships/hyperlink" Target="https://www.dcceew.gov.au/climate-change/publications/net-zero-plan" TargetMode="External"/><Relationship Id="rId17" Type="http://schemas.openxmlformats.org/officeDocument/2006/relationships/hyperlink" Target="https://www.dcceew.gov.au/climate-change/publications/national-greenhouse-gas-inventory-quarterly-update-march-2025" TargetMode="External"/><Relationship Id="rId25" Type="http://schemas.openxmlformats.org/officeDocument/2006/relationships/hyperlink" Target="https://www.cefc.com.au/media/media-release/cefc-makes-first-rtn-investment-as-nsw-steps-up-clean-energy-transformation/" TargetMode="External"/><Relationship Id="rId33" Type="http://schemas.openxmlformats.org/officeDocument/2006/relationships/hyperlink" Target="https://www.energyco.nsw.gov.au/cwo-rez" TargetMode="External"/><Relationship Id="rId38" Type="http://schemas.openxmlformats.org/officeDocument/2006/relationships/hyperlink" Target="https://business.gov.au/grants-and-programs/hydrogen-hubs-implementation-grants-round-1" TargetMode="External"/><Relationship Id="rId46" Type="http://schemas.openxmlformats.org/officeDocument/2006/relationships/hyperlink" Target="https://consult.dcceew.gov.au/transport-and-infrastructure-net-zero-consultation-roadmap" TargetMode="External"/><Relationship Id="rId59" Type="http://schemas.openxmlformats.org/officeDocument/2006/relationships/hyperlink" Target="https://www.metronet.wa.gov.au/projects/morley-ellenbrook-line" TargetMode="External"/><Relationship Id="rId67" Type="http://schemas.openxmlformats.org/officeDocument/2006/relationships/hyperlink" Target="https://www.dcceew.gov.au/water/policy/policy" TargetMode="External"/><Relationship Id="rId20" Type="http://schemas.openxmlformats.org/officeDocument/2006/relationships/hyperlink" Target="https://www.cefc.com.au/where-we-invest/investment-focus-areas/renewable-energy/" TargetMode="External"/><Relationship Id="rId41" Type="http://schemas.openxmlformats.org/officeDocument/2006/relationships/hyperlink" Target="https://www.dcceew.gov.au/climate-change/publications/australias-emissions-projections-2025" TargetMode="External"/><Relationship Id="rId54" Type="http://schemas.openxmlformats.org/officeDocument/2006/relationships/hyperlink" Target="https://www.sydneymetro.info/westernsydneyairportline" TargetMode="External"/><Relationship Id="rId62" Type="http://schemas.openxmlformats.org/officeDocument/2006/relationships/hyperlink" Target="https://www.dcceew.gov.au/climate-change/policy/adaptation/ncra" TargetMode="External"/><Relationship Id="rId1" Type="http://schemas.openxmlformats.org/officeDocument/2006/relationships/hyperlink" Target="https://treasury.gov.au/publication/p2024-536290" TargetMode="External"/><Relationship Id="rId6" Type="http://schemas.openxmlformats.org/officeDocument/2006/relationships/hyperlink" Target="https://www.westpaciq.com.au/thought-leadership/2025/11/sustainable-finance-market-update-q3-fy25" TargetMode="External"/><Relationship Id="rId15" Type="http://schemas.openxmlformats.org/officeDocument/2006/relationships/hyperlink" Target="https://www.dcceew.gov.au/sites/default/files/documents/national-adaptation-plan.pdf" TargetMode="External"/><Relationship Id="rId23" Type="http://schemas.openxmlformats.org/officeDocument/2006/relationships/hyperlink" Target="https://www.cefc.com.au/media/media-release/cefc-confirms-single-largest-investment-with-490-million-backing-for-nsw-energy-grid/" TargetMode="External"/><Relationship Id="rId28" Type="http://schemas.openxmlformats.org/officeDocument/2006/relationships/hyperlink" Target="https://www.cefc.com.au/media/media-release/vni-west-gets-greenlight-for-early-works-with-700m-equity-commitment/" TargetMode="External"/><Relationship Id="rId36" Type="http://schemas.openxmlformats.org/officeDocument/2006/relationships/hyperlink" Target="https://www.marinuslink.com.au/economic-contribution-2023/" TargetMode="External"/><Relationship Id="rId49" Type="http://schemas.openxmlformats.org/officeDocument/2006/relationships/hyperlink" Target="https://www.tmr.qld.gov.au/projects/gold-coast-light-rail" TargetMode="External"/><Relationship Id="rId57" Type="http://schemas.openxmlformats.org/officeDocument/2006/relationships/hyperlink" Target="https://www.metronet.wa.gov.au/projects/byford-extension" TargetMode="External"/><Relationship Id="rId10" Type="http://schemas.openxmlformats.org/officeDocument/2006/relationships/hyperlink" Target="https://www.dcceew.gov.au/about/news/national-greenhouse-gas-inventory-quarterly-update-december-2024" TargetMode="External"/><Relationship Id="rId31" Type="http://schemas.openxmlformats.org/officeDocument/2006/relationships/hyperlink" Target="https://www.transgrid.com.au/media-publications/news-articles/nation-critical-humelink-project-marks-major-milestone-as-first-towers-rise/" TargetMode="External"/><Relationship Id="rId44" Type="http://schemas.openxmlformats.org/officeDocument/2006/relationships/hyperlink" Target="https://www.dcceew.gov.au/energy/transport/national-electric-vehicle-strategy" TargetMode="External"/><Relationship Id="rId52" Type="http://schemas.openxmlformats.org/officeDocument/2006/relationships/hyperlink" Target="https://www.tmr.qld.gov.au/projects/gold-coast-light-rail" TargetMode="External"/><Relationship Id="rId60" Type="http://schemas.openxmlformats.org/officeDocument/2006/relationships/hyperlink" Target="https://www.metronet.wa.gov.au/projects/thornlie-cockburn-link" TargetMode="External"/><Relationship Id="rId65" Type="http://schemas.openxmlformats.org/officeDocument/2006/relationships/hyperlink" Target="https://www.dcceew.gov.au/environment/biodiversity/threatened/species/koalas/national-koala-monitoring-program" TargetMode="External"/><Relationship Id="rId4" Type="http://schemas.openxmlformats.org/officeDocument/2006/relationships/hyperlink" Target="https://www.dcceew.gov.au/climate-change/emissions-reduction/net-zero" TargetMode="External"/><Relationship Id="rId9" Type="http://schemas.openxmlformats.org/officeDocument/2006/relationships/hyperlink" Target="https://www.dcceew.gov.au/climate-change/publications/australias-emissions-projections-2025" TargetMode="External"/><Relationship Id="rId13" Type="http://schemas.openxmlformats.org/officeDocument/2006/relationships/hyperlink" Target="https://cer.gov.au/markets/reports-and-data/safeguard-data" TargetMode="External"/><Relationship Id="rId18" Type="http://schemas.openxmlformats.org/officeDocument/2006/relationships/hyperlink" Target="https://www.energy.gov.au/publications/australian-energy-update-2025" TargetMode="External"/><Relationship Id="rId39" Type="http://schemas.openxmlformats.org/officeDocument/2006/relationships/hyperlink" Target="https://arena.gov.au/funding/community-batteries-funding-round-2/" TargetMode="External"/><Relationship Id="rId34" Type="http://schemas.openxmlformats.org/officeDocument/2006/relationships/hyperlink" Target="https://www.energyco.nsw.gov.au/cwo-rez" TargetMode="External"/><Relationship Id="rId50" Type="http://schemas.openxmlformats.org/officeDocument/2006/relationships/hyperlink" Target="https://investment.infrastructure.gov.au/projects/113788-20act-np" TargetMode="External"/><Relationship Id="rId55" Type="http://schemas.openxmlformats.org/officeDocument/2006/relationships/hyperlink" Target="https://www.gclr3.com.au/goldlinq/gclr3" TargetMode="External"/></Relationships>
</file>

<file path=word/theme/theme1.xml><?xml version="1.0" encoding="utf-8"?>
<a:theme xmlns:a="http://schemas.openxmlformats.org/drawingml/2006/main" name="TSYBrand">
  <a:themeElements>
    <a:clrScheme name="Treasury Grayscale">
      <a:dk1>
        <a:sysClr val="windowText" lastClr="000000"/>
      </a:dk1>
      <a:lt1>
        <a:sysClr val="window" lastClr="FFFFFF"/>
      </a:lt1>
      <a:dk2>
        <a:srgbClr val="000000"/>
      </a:dk2>
      <a:lt2>
        <a:srgbClr val="F8F8F8"/>
      </a:lt2>
      <a:accent1>
        <a:srgbClr val="E6E6E6"/>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Custom 1">
      <a:majorFont>
        <a:latin typeface="Calibri"/>
        <a:ea typeface=""/>
        <a:cs typeface=""/>
      </a:majorFont>
      <a:minorFont>
        <a:latin typeface="Calibri"/>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Metadata/LabelInfo.xml><?xml version="1.0" encoding="utf-8"?>
<clbl:labelList xmlns:clbl="http://schemas.microsoft.com/office/2020/mipLabelMetadata">
  <clbl:label id="{4f932d64-9ab1-4d9b-81d2-a3a8b82dd47d}" enabled="1" method="Privileged" siteId="{214f1646-2021-47cc-8397-e3d3a7ba7d9d}" contentBits="0" removed="0"/>
</clbl:labelList>
</file>

<file path=docProps/app.xml><?xml version="1.0" encoding="utf-8"?>
<Properties xmlns="http://schemas.openxmlformats.org/officeDocument/2006/extended-properties" xmlns:vt="http://schemas.openxmlformats.org/officeDocument/2006/docPropsVTypes">
  <Template>Normal.dotm</Template>
  <TotalTime>0</TotalTime>
  <Pages>114</Pages>
  <Words>31116</Words>
  <Characters>177363</Characters>
  <Application>Microsoft Office Word</Application>
  <DocSecurity>0</DocSecurity>
  <Lines>1478</Lines>
  <Paragraphs>416</Paragraphs>
  <ScaleCrop>false</ScaleCrop>
  <Company/>
  <LinksUpToDate>false</LinksUpToDate>
  <CharactersWithSpaces>208063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subject/>
  <dc:creator>The Treasury and Australian Office of Financial Management</dc:creator>
  <cp:keywords/>
  <cp:lastModifiedBy/>
  <cp:revision>1</cp:revision>
  <dcterms:created xsi:type="dcterms:W3CDTF">2026-03-29T23:50:00Z</dcterms:created>
  <dcterms:modified xsi:type="dcterms:W3CDTF">2026-03-30T00:37:00Z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4f932d64-9ab1-4d9b-81d2-a3a8b82dd47d_Enabled">
    <vt:lpwstr>true</vt:lpwstr>
  </property>
  <property fmtid="{D5CDD505-2E9C-101B-9397-08002B2CF9AE}" pid="3" name="MSIP_Label_4f932d64-9ab1-4d9b-81d2-a3a8b82dd47d_SetDate">
    <vt:lpwstr>2026-03-29T23:50:28Z</vt:lpwstr>
  </property>
  <property fmtid="{D5CDD505-2E9C-101B-9397-08002B2CF9AE}" pid="4" name="MSIP_Label_4f932d64-9ab1-4d9b-81d2-a3a8b82dd47d_Method">
    <vt:lpwstr>Privileged</vt:lpwstr>
  </property>
  <property fmtid="{D5CDD505-2E9C-101B-9397-08002B2CF9AE}" pid="5" name="MSIP_Label_4f932d64-9ab1-4d9b-81d2-a3a8b82dd47d_Name">
    <vt:lpwstr>OFFICIAL No Visual Marking</vt:lpwstr>
  </property>
  <property fmtid="{D5CDD505-2E9C-101B-9397-08002B2CF9AE}" pid="6" name="MSIP_Label_4f932d64-9ab1-4d9b-81d2-a3a8b82dd47d_SiteId">
    <vt:lpwstr>214f1646-2021-47cc-8397-e3d3a7ba7d9d</vt:lpwstr>
  </property>
  <property fmtid="{D5CDD505-2E9C-101B-9397-08002B2CF9AE}" pid="7" name="MSIP_Label_4f932d64-9ab1-4d9b-81d2-a3a8b82dd47d_ActionId">
    <vt:lpwstr>730e59f9-dfa9-4d54-8471-f741c8003b13</vt:lpwstr>
  </property>
  <property fmtid="{D5CDD505-2E9C-101B-9397-08002B2CF9AE}" pid="8" name="MSIP_Label_4f932d64-9ab1-4d9b-81d2-a3a8b82dd47d_ContentBits">
    <vt:lpwstr>0</vt:lpwstr>
  </property>
  <property fmtid="{D5CDD505-2E9C-101B-9397-08002B2CF9AE}" pid="9" name="MSIP_Label_4f932d64-9ab1-4d9b-81d2-a3a8b82dd47d_Tag">
    <vt:lpwstr>10, 0, 1, 1</vt:lpwstr>
  </property>
</Properties>
</file>